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6C" w:rsidRDefault="00755B6C" w:rsidP="00755B6C">
      <w:pPr>
        <w:tabs>
          <w:tab w:val="left" w:pos="851"/>
        </w:tabs>
        <w:rPr>
          <w:b/>
          <w:bCs/>
          <w:sz w:val="18"/>
          <w:szCs w:val="18"/>
        </w:rPr>
      </w:pPr>
      <w:r w:rsidRPr="00C93C3B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</w:t>
      </w:r>
      <w:r w:rsidRPr="00C93C3B">
        <w:rPr>
          <w:sz w:val="18"/>
          <w:szCs w:val="18"/>
        </w:rPr>
        <w:t>1 k Rozhodnutiu  č.:</w:t>
      </w:r>
      <w:r w:rsidRPr="00C93C3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135</w:t>
      </w:r>
      <w:r w:rsidRPr="00C93C3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VPo</w:t>
      </w:r>
      <w:r w:rsidRPr="00C93C3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5</w:t>
      </w:r>
      <w:r w:rsidRPr="00C93C3B">
        <w:rPr>
          <w:b/>
          <w:bCs/>
          <w:sz w:val="18"/>
          <w:szCs w:val="18"/>
        </w:rPr>
        <w:t>-S</w:t>
      </w:r>
    </w:p>
    <w:p w:rsidR="00755B6C" w:rsidRPr="00D673B5" w:rsidRDefault="00755B6C" w:rsidP="00755B6C">
      <w:pPr>
        <w:tabs>
          <w:tab w:val="left" w:pos="851"/>
        </w:tabs>
        <w:rPr>
          <w:sz w:val="22"/>
          <w:szCs w:val="22"/>
        </w:rPr>
      </w:pPr>
    </w:p>
    <w:p w:rsidR="00755B6C" w:rsidRPr="00D673B5" w:rsidRDefault="00755B6C" w:rsidP="00755B6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673B5">
        <w:rPr>
          <w:b/>
          <w:sz w:val="22"/>
          <w:szCs w:val="22"/>
        </w:rPr>
        <w:t>NÁVOD NA POUŽITIE</w:t>
      </w:r>
    </w:p>
    <w:p w:rsidR="00755B6C" w:rsidRPr="00D673B5" w:rsidRDefault="00755B6C" w:rsidP="00755B6C">
      <w:pPr>
        <w:jc w:val="center"/>
        <w:rPr>
          <w:b/>
          <w:sz w:val="22"/>
          <w:szCs w:val="22"/>
        </w:rPr>
      </w:pP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sz w:val="22"/>
          <w:szCs w:val="22"/>
        </w:rPr>
      </w:pPr>
      <w:r w:rsidRPr="00D673B5">
        <w:rPr>
          <w:sz w:val="22"/>
          <w:szCs w:val="22"/>
        </w:rPr>
        <w:t xml:space="preserve">Názov veterinárnej </w:t>
      </w:r>
    </w:p>
    <w:p w:rsidR="00755B6C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/>
          <w:sz w:val="22"/>
          <w:szCs w:val="22"/>
        </w:rPr>
      </w:pPr>
      <w:r w:rsidRPr="00D673B5">
        <w:rPr>
          <w:sz w:val="22"/>
          <w:szCs w:val="22"/>
        </w:rPr>
        <w:t>zdravotníckej pomôcky</w:t>
      </w:r>
      <w:r w:rsidRPr="00D673B5">
        <w:rPr>
          <w:sz w:val="22"/>
          <w:szCs w:val="22"/>
        </w:rPr>
        <w:tab/>
        <w:t>:</w:t>
      </w:r>
      <w:r w:rsidRPr="00D673B5">
        <w:rPr>
          <w:sz w:val="22"/>
          <w:szCs w:val="22"/>
        </w:rPr>
        <w:tab/>
      </w:r>
      <w:proofErr w:type="spellStart"/>
      <w:r w:rsidRPr="00A17BAE">
        <w:rPr>
          <w:b/>
          <w:sz w:val="22"/>
          <w:szCs w:val="22"/>
        </w:rPr>
        <w:t>Vetsuture</w:t>
      </w:r>
      <w:proofErr w:type="spellEnd"/>
      <w:r w:rsidRPr="00A17BAE">
        <w:rPr>
          <w:b/>
          <w:sz w:val="22"/>
          <w:szCs w:val="22"/>
        </w:rPr>
        <w:t xml:space="preserve"> PGLA + </w:t>
      </w:r>
      <w:proofErr w:type="spellStart"/>
      <w:r w:rsidRPr="00A17BAE">
        <w:rPr>
          <w:b/>
          <w:sz w:val="22"/>
          <w:szCs w:val="22"/>
        </w:rPr>
        <w:t>absorbable</w:t>
      </w:r>
      <w:proofErr w:type="spellEnd"/>
      <w:r w:rsidRPr="00A17BAE">
        <w:rPr>
          <w:b/>
          <w:sz w:val="22"/>
          <w:szCs w:val="22"/>
        </w:rPr>
        <w:t xml:space="preserve"> </w:t>
      </w:r>
      <w:proofErr w:type="spellStart"/>
      <w:r w:rsidRPr="00A17BAE">
        <w:rPr>
          <w:b/>
          <w:sz w:val="22"/>
          <w:szCs w:val="22"/>
        </w:rPr>
        <w:t>surgical</w:t>
      </w:r>
      <w:proofErr w:type="spellEnd"/>
      <w:r w:rsidRPr="00A17BAE">
        <w:rPr>
          <w:b/>
          <w:sz w:val="22"/>
          <w:szCs w:val="22"/>
        </w:rPr>
        <w:t xml:space="preserve"> </w:t>
      </w:r>
      <w:proofErr w:type="spellStart"/>
      <w:r w:rsidRPr="00A17BAE">
        <w:rPr>
          <w:b/>
          <w:sz w:val="22"/>
          <w:szCs w:val="22"/>
        </w:rPr>
        <w:t>suture</w:t>
      </w:r>
      <w:proofErr w:type="spellEnd"/>
      <w:r w:rsidRPr="00A17BAE">
        <w:rPr>
          <w:b/>
          <w:sz w:val="22"/>
          <w:szCs w:val="22"/>
        </w:rPr>
        <w:t xml:space="preserve"> </w:t>
      </w:r>
      <w:proofErr w:type="spellStart"/>
      <w:r w:rsidRPr="00A17BAE">
        <w:rPr>
          <w:b/>
          <w:sz w:val="22"/>
          <w:szCs w:val="22"/>
        </w:rPr>
        <w:t>sterile</w:t>
      </w:r>
      <w:proofErr w:type="spellEnd"/>
      <w:r w:rsidRPr="00A17BAE">
        <w:rPr>
          <w:b/>
          <w:sz w:val="22"/>
          <w:szCs w:val="22"/>
        </w:rPr>
        <w:t xml:space="preserve"> (</w:t>
      </w:r>
      <w:proofErr w:type="spellStart"/>
      <w:r w:rsidRPr="00A17BAE">
        <w:rPr>
          <w:b/>
          <w:sz w:val="22"/>
          <w:szCs w:val="22"/>
        </w:rPr>
        <w:t>Antibacterial</w:t>
      </w:r>
      <w:proofErr w:type="spellEnd"/>
      <w:r w:rsidRPr="00A17BAE">
        <w:rPr>
          <w:b/>
          <w:sz w:val="22"/>
          <w:szCs w:val="22"/>
        </w:rPr>
        <w:t xml:space="preserve"> </w:t>
      </w:r>
      <w:proofErr w:type="spellStart"/>
      <w:r w:rsidRPr="00A17BAE">
        <w:rPr>
          <w:b/>
          <w:sz w:val="22"/>
          <w:szCs w:val="22"/>
        </w:rPr>
        <w:t>coated</w:t>
      </w:r>
      <w:proofErr w:type="spellEnd"/>
      <w:r w:rsidRPr="00A17BAE">
        <w:rPr>
          <w:b/>
          <w:sz w:val="22"/>
          <w:szCs w:val="22"/>
        </w:rPr>
        <w:t xml:space="preserve">, </w:t>
      </w:r>
      <w:proofErr w:type="spellStart"/>
      <w:r w:rsidRPr="00A17BAE">
        <w:rPr>
          <w:b/>
          <w:sz w:val="22"/>
          <w:szCs w:val="22"/>
        </w:rPr>
        <w:t>braided</w:t>
      </w:r>
      <w:proofErr w:type="spellEnd"/>
      <w:r w:rsidRPr="00A17BAE">
        <w:rPr>
          <w:b/>
          <w:sz w:val="22"/>
          <w:szCs w:val="22"/>
        </w:rPr>
        <w:t xml:space="preserve"> </w:t>
      </w:r>
      <w:proofErr w:type="spellStart"/>
      <w:r w:rsidRPr="00A17BAE">
        <w:rPr>
          <w:b/>
          <w:sz w:val="22"/>
          <w:szCs w:val="22"/>
        </w:rPr>
        <w:t>Polyglactin</w:t>
      </w:r>
      <w:proofErr w:type="spellEnd"/>
      <w:r w:rsidRPr="00A17BAE">
        <w:rPr>
          <w:b/>
          <w:sz w:val="22"/>
          <w:szCs w:val="22"/>
        </w:rPr>
        <w:t xml:space="preserve"> 910)</w:t>
      </w:r>
      <w:r w:rsidRPr="00542202">
        <w:rPr>
          <w:i/>
          <w:sz w:val="18"/>
          <w:szCs w:val="18"/>
        </w:rPr>
        <w:t xml:space="preserve">  </w:t>
      </w:r>
    </w:p>
    <w:p w:rsidR="00755B6C" w:rsidRPr="00390921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90921">
        <w:rPr>
          <w:sz w:val="22"/>
          <w:szCs w:val="22"/>
        </w:rPr>
        <w:t xml:space="preserve">Absorbovateľný chirurgický šijací materiál (syntetický) </w:t>
      </w:r>
      <w:r>
        <w:rPr>
          <w:sz w:val="22"/>
          <w:szCs w:val="22"/>
        </w:rPr>
        <w:t>antibakteriálny pletený a potiahnutý (</w:t>
      </w:r>
      <w:proofErr w:type="spellStart"/>
      <w:r>
        <w:rPr>
          <w:sz w:val="22"/>
          <w:szCs w:val="22"/>
        </w:rPr>
        <w:t>Polyglactin</w:t>
      </w:r>
      <w:proofErr w:type="spellEnd"/>
      <w:r>
        <w:rPr>
          <w:sz w:val="22"/>
          <w:szCs w:val="22"/>
        </w:rPr>
        <w:t xml:space="preserve"> 910)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sz w:val="22"/>
          <w:szCs w:val="22"/>
        </w:rPr>
      </w:pPr>
      <w:r w:rsidRPr="00D673B5">
        <w:rPr>
          <w:sz w:val="22"/>
          <w:szCs w:val="22"/>
        </w:rPr>
        <w:tab/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 w:rsidRPr="00D673B5">
        <w:rPr>
          <w:sz w:val="22"/>
          <w:szCs w:val="22"/>
        </w:rPr>
        <w:tab/>
        <w:t>:</w:t>
      </w:r>
      <w:r w:rsidRPr="00D673B5">
        <w:rPr>
          <w:sz w:val="22"/>
          <w:szCs w:val="22"/>
        </w:rPr>
        <w:tab/>
      </w:r>
      <w:proofErr w:type="spellStart"/>
      <w:r w:rsidRPr="00D673B5">
        <w:rPr>
          <w:sz w:val="22"/>
          <w:szCs w:val="22"/>
        </w:rPr>
        <w:t>Sutures</w:t>
      </w:r>
      <w:proofErr w:type="spellEnd"/>
      <w:r w:rsidRPr="00D673B5">
        <w:rPr>
          <w:sz w:val="22"/>
          <w:szCs w:val="22"/>
        </w:rPr>
        <w:t xml:space="preserve"> India PVT. LTD, India.</w:t>
      </w:r>
    </w:p>
    <w:p w:rsidR="00755B6C" w:rsidRPr="00D673B5" w:rsidRDefault="00755B6C" w:rsidP="00755B6C">
      <w:pPr>
        <w:pStyle w:val="Nadpis1"/>
        <w:tabs>
          <w:tab w:val="clear" w:pos="851"/>
          <w:tab w:val="left" w:pos="2552"/>
          <w:tab w:val="left" w:pos="2694"/>
        </w:tabs>
        <w:spacing w:before="0" w:line="240" w:lineRule="auto"/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673B5">
        <w:rPr>
          <w:sz w:val="22"/>
          <w:szCs w:val="22"/>
        </w:rPr>
        <w:t>ržiteľ</w:t>
      </w:r>
      <w:r>
        <w:rPr>
          <w:sz w:val="22"/>
          <w:szCs w:val="22"/>
        </w:rPr>
        <w:t xml:space="preserve"> rozhodnutia</w:t>
      </w:r>
      <w:r w:rsidRPr="00D673B5">
        <w:rPr>
          <w:sz w:val="22"/>
          <w:szCs w:val="22"/>
        </w:rPr>
        <w:tab/>
        <w:t>:</w:t>
      </w:r>
      <w:r w:rsidRPr="00D673B5">
        <w:rPr>
          <w:sz w:val="22"/>
          <w:szCs w:val="22"/>
        </w:rPr>
        <w:tab/>
      </w:r>
      <w:proofErr w:type="spellStart"/>
      <w:r w:rsidRPr="00390921">
        <w:rPr>
          <w:sz w:val="22"/>
          <w:szCs w:val="22"/>
        </w:rPr>
        <w:t>Noevia</w:t>
      </w:r>
      <w:proofErr w:type="spellEnd"/>
      <w:r w:rsidRPr="00390921">
        <w:rPr>
          <w:sz w:val="22"/>
          <w:szCs w:val="22"/>
        </w:rPr>
        <w:t xml:space="preserve"> SAS, 54 </w:t>
      </w:r>
      <w:proofErr w:type="spellStart"/>
      <w:r w:rsidRPr="00390921">
        <w:rPr>
          <w:sz w:val="22"/>
          <w:szCs w:val="22"/>
        </w:rPr>
        <w:t>rue</w:t>
      </w:r>
      <w:proofErr w:type="spellEnd"/>
      <w:r w:rsidRPr="00390921">
        <w:rPr>
          <w:sz w:val="22"/>
          <w:szCs w:val="22"/>
        </w:rPr>
        <w:t xml:space="preserve"> </w:t>
      </w:r>
      <w:proofErr w:type="spellStart"/>
      <w:r w:rsidRPr="00390921">
        <w:rPr>
          <w:sz w:val="22"/>
          <w:szCs w:val="22"/>
        </w:rPr>
        <w:t>Stendhal</w:t>
      </w:r>
      <w:proofErr w:type="spellEnd"/>
      <w:r w:rsidRPr="00390921">
        <w:rPr>
          <w:sz w:val="22"/>
          <w:szCs w:val="22"/>
        </w:rPr>
        <w:t xml:space="preserve">, 75020 </w:t>
      </w:r>
      <w:proofErr w:type="spellStart"/>
      <w:r w:rsidRPr="00390921">
        <w:rPr>
          <w:sz w:val="22"/>
          <w:szCs w:val="22"/>
        </w:rPr>
        <w:t>Paris</w:t>
      </w:r>
      <w:proofErr w:type="spellEnd"/>
      <w:r w:rsidRPr="00390921">
        <w:rPr>
          <w:sz w:val="22"/>
          <w:szCs w:val="22"/>
        </w:rPr>
        <w:t>, Francúzsko</w:t>
      </w:r>
      <w:r w:rsidRPr="00D673B5">
        <w:rPr>
          <w:sz w:val="22"/>
          <w:szCs w:val="22"/>
        </w:rPr>
        <w:t>.</w:t>
      </w:r>
    </w:p>
    <w:p w:rsidR="00755B6C" w:rsidRPr="00D673B5" w:rsidRDefault="00755B6C" w:rsidP="00755B6C">
      <w:pPr>
        <w:pStyle w:val="Nadpis1"/>
        <w:tabs>
          <w:tab w:val="clear" w:pos="851"/>
          <w:tab w:val="left" w:pos="2552"/>
          <w:tab w:val="left" w:pos="2694"/>
        </w:tabs>
        <w:spacing w:before="0" w:line="240" w:lineRule="auto"/>
        <w:ind w:left="2694" w:hanging="2694"/>
        <w:jc w:val="both"/>
        <w:rPr>
          <w:color w:val="000000"/>
          <w:sz w:val="22"/>
          <w:szCs w:val="22"/>
        </w:rPr>
      </w:pPr>
      <w:r w:rsidRPr="00D673B5">
        <w:rPr>
          <w:sz w:val="22"/>
          <w:szCs w:val="22"/>
        </w:rPr>
        <w:t>Cieľový druh zvierat</w:t>
      </w:r>
      <w:r w:rsidRPr="00D673B5">
        <w:rPr>
          <w:sz w:val="22"/>
          <w:szCs w:val="22"/>
        </w:rPr>
        <w:tab/>
        <w:t>:</w:t>
      </w:r>
      <w:r w:rsidRPr="00D673B5">
        <w:rPr>
          <w:sz w:val="22"/>
          <w:szCs w:val="22"/>
        </w:rPr>
        <w:tab/>
      </w:r>
      <w:r w:rsidRPr="00D673B5">
        <w:rPr>
          <w:bCs/>
          <w:sz w:val="22"/>
          <w:szCs w:val="22"/>
        </w:rPr>
        <w:t>Všetky druhy zvierat</w:t>
      </w:r>
      <w:r w:rsidRPr="00D673B5">
        <w:rPr>
          <w:sz w:val="22"/>
          <w:szCs w:val="22"/>
        </w:rPr>
        <w:t>.</w:t>
      </w:r>
      <w:r w:rsidRPr="00D673B5">
        <w:rPr>
          <w:sz w:val="22"/>
          <w:szCs w:val="22"/>
        </w:rPr>
        <w:tab/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sz w:val="22"/>
          <w:szCs w:val="22"/>
        </w:rPr>
      </w:pPr>
      <w:r w:rsidRPr="00D673B5">
        <w:rPr>
          <w:sz w:val="22"/>
          <w:szCs w:val="22"/>
        </w:rPr>
        <w:t xml:space="preserve">Popis veterinárnej 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sz w:val="22"/>
          <w:szCs w:val="22"/>
        </w:rPr>
        <w:t>zdravotníckej pomôcky</w:t>
      </w:r>
      <w:r w:rsidRPr="00D673B5">
        <w:rPr>
          <w:sz w:val="22"/>
          <w:szCs w:val="22"/>
        </w:rPr>
        <w:tab/>
        <w:t>:</w:t>
      </w:r>
      <w:r w:rsidRPr="00D673B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je absorbovateľný, sterilný, syntetický chirurgický šijací materiál zložený z </w:t>
      </w:r>
      <w:proofErr w:type="spellStart"/>
      <w:r>
        <w:rPr>
          <w:sz w:val="22"/>
          <w:szCs w:val="22"/>
        </w:rPr>
        <w:t>co-polyméru</w:t>
      </w:r>
      <w:proofErr w:type="spellEnd"/>
      <w:r>
        <w:rPr>
          <w:sz w:val="22"/>
          <w:szCs w:val="22"/>
        </w:rPr>
        <w:t xml:space="preserve"> Poly (</w:t>
      </w:r>
      <w:proofErr w:type="spellStart"/>
      <w:r>
        <w:rPr>
          <w:sz w:val="22"/>
          <w:szCs w:val="22"/>
        </w:rPr>
        <w:t>glycolide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L-Lactide</w:t>
      </w:r>
      <w:proofErr w:type="spellEnd"/>
      <w:r>
        <w:rPr>
          <w:sz w:val="22"/>
          <w:szCs w:val="22"/>
        </w:rPr>
        <w:t xml:space="preserve">) 910, vyrobený z 90% </w:t>
      </w:r>
      <w:proofErr w:type="spellStart"/>
      <w:r>
        <w:rPr>
          <w:sz w:val="22"/>
          <w:szCs w:val="22"/>
        </w:rPr>
        <w:t>Glycolide</w:t>
      </w:r>
      <w:proofErr w:type="spellEnd"/>
      <w:r>
        <w:rPr>
          <w:sz w:val="22"/>
          <w:szCs w:val="22"/>
        </w:rPr>
        <w:t xml:space="preserve"> a 10% </w:t>
      </w:r>
      <w:proofErr w:type="spellStart"/>
      <w:r>
        <w:rPr>
          <w:sz w:val="22"/>
          <w:szCs w:val="22"/>
        </w:rPr>
        <w:t>Lactide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je antibakteriálne vlákno pletené a potiahnuté zmesou zloženou z rovnakých častí z </w:t>
      </w:r>
      <w:proofErr w:type="spellStart"/>
      <w:r>
        <w:rPr>
          <w:sz w:val="22"/>
          <w:szCs w:val="22"/>
        </w:rPr>
        <w:t>co-polyméru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glycolidu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lactidu</w:t>
      </w:r>
      <w:proofErr w:type="spellEnd"/>
      <w:r>
        <w:rPr>
          <w:sz w:val="22"/>
          <w:szCs w:val="22"/>
        </w:rPr>
        <w:t xml:space="preserve"> (PGLA 370) a </w:t>
      </w:r>
      <w:proofErr w:type="spellStart"/>
      <w:r>
        <w:rPr>
          <w:sz w:val="22"/>
          <w:szCs w:val="22"/>
        </w:rPr>
        <w:t>calcium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stearátu</w:t>
      </w:r>
      <w:proofErr w:type="spellEnd"/>
      <w:r>
        <w:rPr>
          <w:sz w:val="22"/>
          <w:szCs w:val="22"/>
        </w:rPr>
        <w:t xml:space="preserve">. Poťahová vrstva tiež obsahuje </w:t>
      </w:r>
      <w:proofErr w:type="spellStart"/>
      <w:r>
        <w:rPr>
          <w:sz w:val="22"/>
          <w:szCs w:val="22"/>
        </w:rPr>
        <w:t>chlórhexidin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diacetate</w:t>
      </w:r>
      <w:proofErr w:type="spellEnd"/>
      <w:r>
        <w:rPr>
          <w:sz w:val="22"/>
          <w:szCs w:val="22"/>
        </w:rPr>
        <w:t xml:space="preserve"> širokospektrálnu antibakteriálnu látku. </w:t>
      </w:r>
      <w:proofErr w:type="spellStart"/>
      <w:r>
        <w:rPr>
          <w:sz w:val="22"/>
          <w:szCs w:val="22"/>
        </w:rPr>
        <w:t>Co-polyméry</w:t>
      </w:r>
      <w:proofErr w:type="spellEnd"/>
      <w:r>
        <w:rPr>
          <w:sz w:val="22"/>
          <w:szCs w:val="22"/>
        </w:rPr>
        <w:t xml:space="preserve"> nemajú antigénne ani </w:t>
      </w:r>
      <w:proofErr w:type="spellStart"/>
      <w:r>
        <w:rPr>
          <w:sz w:val="22"/>
          <w:szCs w:val="22"/>
        </w:rPr>
        <w:t>pyrogénne</w:t>
      </w:r>
      <w:proofErr w:type="spellEnd"/>
      <w:r>
        <w:rPr>
          <w:sz w:val="22"/>
          <w:szCs w:val="22"/>
        </w:rPr>
        <w:t xml:space="preserve"> vlastnosti a vyvolávajú len ľahké reakcie tkaniva počas absorpcie. Vlákno je dostupné nefarebné (prírodné) alebo farbené na fialovo farbivom D&amp;C </w:t>
      </w:r>
      <w:proofErr w:type="spellStart"/>
      <w:r>
        <w:rPr>
          <w:sz w:val="22"/>
          <w:szCs w:val="22"/>
        </w:rPr>
        <w:t>Violet</w:t>
      </w:r>
      <w:proofErr w:type="spellEnd"/>
      <w:r>
        <w:rPr>
          <w:sz w:val="22"/>
          <w:szCs w:val="22"/>
        </w:rPr>
        <w:t xml:space="preserve"> No.2, zhodným s U.S.F.D.A. (</w:t>
      </w:r>
      <w:proofErr w:type="spellStart"/>
      <w:r>
        <w:rPr>
          <w:sz w:val="22"/>
          <w:szCs w:val="22"/>
        </w:rPr>
        <w:t>solvent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violet</w:t>
      </w:r>
      <w:proofErr w:type="spellEnd"/>
      <w:r>
        <w:rPr>
          <w:sz w:val="22"/>
          <w:szCs w:val="22"/>
        </w:rPr>
        <w:t xml:space="preserve"> 13). </w:t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</w:t>
      </w:r>
      <w:r w:rsidRPr="002D13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spĺňa všetky požiadavky podľa U.S. </w:t>
      </w:r>
      <w:proofErr w:type="spellStart"/>
      <w:r>
        <w:rPr>
          <w:sz w:val="22"/>
          <w:szCs w:val="22"/>
        </w:rPr>
        <w:t>Pharmacopeia</w:t>
      </w:r>
      <w:proofErr w:type="spellEnd"/>
      <w:r>
        <w:rPr>
          <w:sz w:val="22"/>
          <w:szCs w:val="22"/>
        </w:rPr>
        <w:t xml:space="preserve"> pre absorbovateľné chirurgické šijacie materiály</w:t>
      </w:r>
      <w:r w:rsidRPr="00D673B5">
        <w:rPr>
          <w:sz w:val="22"/>
          <w:szCs w:val="22"/>
        </w:rPr>
        <w:t>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Charakteristika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je indikovaný na použitie v chirurgii mäkkých tkanív, okrem použitia pri oftalmologických, kardiochirurgických a neurologických zákrokoch. Je určený tam, kde je indikované použitie syntetických </w:t>
      </w:r>
      <w:proofErr w:type="spellStart"/>
      <w:r>
        <w:rPr>
          <w:sz w:val="22"/>
          <w:szCs w:val="22"/>
        </w:rPr>
        <w:t>vstrebateľných</w:t>
      </w:r>
      <w:proofErr w:type="spellEnd"/>
      <w:r>
        <w:rPr>
          <w:sz w:val="22"/>
          <w:szCs w:val="22"/>
        </w:rPr>
        <w:t xml:space="preserve"> vlákien. Druh materiálu je vybratý podľa kondície pacienta, chirurgickej techniky a skúseností chirurga</w:t>
      </w:r>
      <w:r w:rsidRPr="00D673B5">
        <w:rPr>
          <w:bCs/>
          <w:sz w:val="22"/>
          <w:szCs w:val="22"/>
        </w:rPr>
        <w:t>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Oblasť použitia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antibakteriálne/</w:t>
      </w:r>
      <w:proofErr w:type="spellStart"/>
      <w:r>
        <w:rPr>
          <w:sz w:val="22"/>
          <w:szCs w:val="22"/>
        </w:rPr>
        <w:t>antimikrobiálne</w:t>
      </w:r>
      <w:proofErr w:type="spellEnd"/>
      <w:r>
        <w:rPr>
          <w:sz w:val="22"/>
          <w:szCs w:val="22"/>
        </w:rPr>
        <w:t xml:space="preserve"> vlákna vyvolávajú len minimálnu akútnu zápalovú reakciu tkaniva. Progresívna strata pevnosti v ťahu a absorpcia nastáva procesom hydrolýzy, kedy polymér degraduje na kyselinu </w:t>
      </w:r>
      <w:proofErr w:type="spellStart"/>
      <w:r>
        <w:rPr>
          <w:sz w:val="22"/>
          <w:szCs w:val="22"/>
        </w:rPr>
        <w:t>glykolovú</w:t>
      </w:r>
      <w:proofErr w:type="spellEnd"/>
      <w:r>
        <w:rPr>
          <w:sz w:val="22"/>
          <w:szCs w:val="22"/>
        </w:rPr>
        <w:t xml:space="preserve"> a kyselinu mliečnu, ktoré sú pomaly absorbované a metabolizované organizmom. Absorpcia začína stratou pevnosti v ťahu a pokračuje stratou hmotnosti. Implantačné štúdie na potkanoch ukazujú, že približne 70% z pôvodnej pevnosti je zachovaných do 14 dní po chirurgickom zákroku. 20-30% z pôvodnej pevnosti zostáva zachovaných do 4 týždňov po implantácii. K celkovej strate pevnosti dochádza medzi 4. A 5. Týždňom po implantácii. Kompletná absorpcia je dokončená do 70 dní. Štúdie poukazujú, že použitie </w:t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</w:t>
      </w:r>
      <w:proofErr w:type="spellStart"/>
      <w:r>
        <w:rPr>
          <w:sz w:val="22"/>
          <w:szCs w:val="22"/>
        </w:rPr>
        <w:t>inhibuje</w:t>
      </w:r>
      <w:proofErr w:type="spellEnd"/>
      <w:r>
        <w:rPr>
          <w:sz w:val="22"/>
          <w:szCs w:val="22"/>
        </w:rPr>
        <w:t xml:space="preserve"> kolonizáciu </w:t>
      </w:r>
      <w:proofErr w:type="spellStart"/>
      <w:r>
        <w:rPr>
          <w:sz w:val="22"/>
          <w:szCs w:val="22"/>
        </w:rPr>
        <w:t>sutúry</w:t>
      </w:r>
      <w:proofErr w:type="spellEnd"/>
      <w:r>
        <w:rPr>
          <w:sz w:val="22"/>
          <w:szCs w:val="22"/>
        </w:rPr>
        <w:t xml:space="preserve"> baktériami </w:t>
      </w:r>
      <w:proofErr w:type="spellStart"/>
      <w:r>
        <w:rPr>
          <w:sz w:val="22"/>
          <w:szCs w:val="22"/>
        </w:rPr>
        <w:t>Staphylococcus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epidermis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Staphylococcus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aureus</w:t>
      </w:r>
      <w:proofErr w:type="spellEnd"/>
      <w:r>
        <w:rPr>
          <w:sz w:val="22"/>
          <w:szCs w:val="22"/>
        </w:rPr>
        <w:t>. Klinická významnosť týchto zistení je neznáma</w:t>
      </w:r>
      <w:r w:rsidRPr="00D673B5">
        <w:rPr>
          <w:bCs/>
          <w:sz w:val="22"/>
          <w:szCs w:val="22"/>
        </w:rPr>
        <w:t>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Poznámka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</w:t>
      </w:r>
      <w:r w:rsidRPr="00D673B5">
        <w:rPr>
          <w:bCs/>
          <w:sz w:val="22"/>
          <w:szCs w:val="22"/>
        </w:rPr>
        <w:t xml:space="preserve">je sterilizovaný plynom </w:t>
      </w:r>
      <w:proofErr w:type="spellStart"/>
      <w:r w:rsidRPr="00D673B5">
        <w:rPr>
          <w:bCs/>
          <w:sz w:val="22"/>
          <w:szCs w:val="22"/>
        </w:rPr>
        <w:t>ethylen</w:t>
      </w:r>
      <w:proofErr w:type="spellEnd"/>
      <w:r w:rsidRPr="00D673B5">
        <w:rPr>
          <w:bCs/>
          <w:sz w:val="22"/>
          <w:szCs w:val="22"/>
        </w:rPr>
        <w:t xml:space="preserve"> oxidom. Nepoužívajte ak je obal otvorený alebo poškodený. Otvorené a nepoužité balenie zlikvidujte. 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Kontraindikácie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</w:t>
      </w:r>
      <w:r>
        <w:rPr>
          <w:bCs/>
          <w:sz w:val="22"/>
          <w:szCs w:val="22"/>
        </w:rPr>
        <w:t xml:space="preserve">ako absorbovateľné vlákno sa nemá používať tam, kde je požadované rozsiahle priblíženie tkaniva. Nesmie sa použiť u pacientov so známou alergiou na </w:t>
      </w:r>
      <w:proofErr w:type="spellStart"/>
      <w:r>
        <w:rPr>
          <w:bCs/>
          <w:sz w:val="22"/>
          <w:szCs w:val="22"/>
        </w:rPr>
        <w:t>chlorhexidine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diacetate</w:t>
      </w:r>
      <w:proofErr w:type="spellEnd"/>
      <w:r>
        <w:rPr>
          <w:bCs/>
          <w:sz w:val="22"/>
          <w:szCs w:val="22"/>
        </w:rPr>
        <w:t>, látkou so širokým antibakteriálnym spektrom</w:t>
      </w:r>
      <w:r w:rsidRPr="00D673B5">
        <w:rPr>
          <w:bCs/>
          <w:sz w:val="22"/>
          <w:szCs w:val="22"/>
        </w:rPr>
        <w:t>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Upozornenie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  <w:t xml:space="preserve">Otvorené, nepoužité balenie zlikvidujte, nesterilizujte znovu. </w:t>
      </w:r>
      <w:r>
        <w:rPr>
          <w:bCs/>
          <w:sz w:val="22"/>
          <w:szCs w:val="22"/>
        </w:rPr>
        <w:t xml:space="preserve">Skladujte pri izbovej teplote a vyvarujte sa dlhšiemu vystaveniu zvýšeným teplotám. Predĺžený kontakt </w:t>
      </w:r>
      <w:proofErr w:type="spellStart"/>
      <w:r>
        <w:rPr>
          <w:bCs/>
          <w:sz w:val="22"/>
          <w:szCs w:val="22"/>
        </w:rPr>
        <w:t>sutúry</w:t>
      </w:r>
      <w:proofErr w:type="spellEnd"/>
      <w:r>
        <w:rPr>
          <w:bCs/>
          <w:sz w:val="22"/>
          <w:szCs w:val="22"/>
        </w:rPr>
        <w:t xml:space="preserve"> so soľnými roztokmi ako sú v </w:t>
      </w:r>
      <w:proofErr w:type="spellStart"/>
      <w:r>
        <w:rPr>
          <w:bCs/>
          <w:sz w:val="22"/>
          <w:szCs w:val="22"/>
        </w:rPr>
        <w:t>urinárnom</w:t>
      </w:r>
      <w:proofErr w:type="spellEnd"/>
      <w:r>
        <w:rPr>
          <w:bCs/>
          <w:sz w:val="22"/>
          <w:szCs w:val="22"/>
        </w:rPr>
        <w:t xml:space="preserve"> a biliárnom trakte, môže spôsobiť tvorbu kamienkov. </w:t>
      </w:r>
      <w:r w:rsidRPr="00D673B5">
        <w:rPr>
          <w:bCs/>
          <w:sz w:val="22"/>
          <w:szCs w:val="22"/>
        </w:rPr>
        <w:t>Ako absorbovateľn</w:t>
      </w:r>
      <w:r>
        <w:rPr>
          <w:bCs/>
          <w:sz w:val="22"/>
          <w:szCs w:val="22"/>
        </w:rPr>
        <w:t>é vlákno</w:t>
      </w:r>
      <w:r w:rsidRPr="00D673B5">
        <w:rPr>
          <w:bCs/>
          <w:sz w:val="22"/>
          <w:szCs w:val="22"/>
        </w:rPr>
        <w:t xml:space="preserve"> môže</w:t>
      </w:r>
      <w:r>
        <w:rPr>
          <w:bCs/>
          <w:sz w:val="22"/>
          <w:szCs w:val="22"/>
        </w:rPr>
        <w:t xml:space="preserve"> prechodne</w:t>
      </w:r>
      <w:r w:rsidRPr="00D673B5">
        <w:rPr>
          <w:bCs/>
          <w:sz w:val="22"/>
          <w:szCs w:val="22"/>
        </w:rPr>
        <w:t xml:space="preserve"> pôsobiť ako cudzie teleso.</w:t>
      </w:r>
      <w:r>
        <w:rPr>
          <w:bCs/>
          <w:sz w:val="22"/>
          <w:szCs w:val="22"/>
        </w:rPr>
        <w:t xml:space="preserve"> Užívatelia by mali byť oboznámení s chirurgickými postupmi a technikami na uzatváranie rán, pretože riziko znovuotvorenia rany môže byť rôzne v závislosti od miesta aplikácie a použitého chirurgického šijacieho materiálu. Musí byť dodržiavaná prijateľná chirurgická prax pokiaľ ide o drenáž a uzatvorenie infikovaných alebo kontaminovaných rán. Použitie tohto vlákna môže byť nevhodné u pacientov za podmienok, ktoré môžu predlžovať hojenie rán. </w:t>
      </w:r>
      <w:r w:rsidRPr="00D673B5">
        <w:rPr>
          <w:bCs/>
          <w:sz w:val="22"/>
          <w:szCs w:val="22"/>
        </w:rPr>
        <w:t xml:space="preserve">Pretože toto je </w:t>
      </w:r>
      <w:r>
        <w:rPr>
          <w:bCs/>
          <w:sz w:val="22"/>
          <w:szCs w:val="22"/>
        </w:rPr>
        <w:t>absorbovateľné</w:t>
      </w:r>
      <w:r w:rsidRPr="00D673B5">
        <w:rPr>
          <w:bCs/>
          <w:sz w:val="22"/>
          <w:szCs w:val="22"/>
        </w:rPr>
        <w:t xml:space="preserve"> vlákno, chirurg pri uzatváraní </w:t>
      </w:r>
      <w:r>
        <w:rPr>
          <w:bCs/>
          <w:sz w:val="22"/>
          <w:szCs w:val="22"/>
        </w:rPr>
        <w:t>miesta</w:t>
      </w:r>
      <w:r w:rsidRPr="00D673B5">
        <w:rPr>
          <w:bCs/>
          <w:sz w:val="22"/>
          <w:szCs w:val="22"/>
        </w:rPr>
        <w:t xml:space="preserve"> predchádza expanzii</w:t>
      </w:r>
      <w:r>
        <w:rPr>
          <w:bCs/>
          <w:sz w:val="22"/>
          <w:szCs w:val="22"/>
        </w:rPr>
        <w:t>, natiahnutiu</w:t>
      </w:r>
      <w:r w:rsidRPr="00D673B5">
        <w:rPr>
          <w:bCs/>
          <w:sz w:val="22"/>
          <w:szCs w:val="22"/>
        </w:rPr>
        <w:t xml:space="preserve"> alebo stiahnutiu, ktoré by mohli vyžadovať dodatočnú podporu. Tu môže byť d</w:t>
      </w:r>
      <w:r>
        <w:rPr>
          <w:bCs/>
          <w:sz w:val="22"/>
          <w:szCs w:val="22"/>
        </w:rPr>
        <w:t>o</w:t>
      </w:r>
      <w:r w:rsidRPr="00D673B5">
        <w:rPr>
          <w:bCs/>
          <w:sz w:val="22"/>
          <w:szCs w:val="22"/>
        </w:rPr>
        <w:t>poručené použitie doplnkových ne</w:t>
      </w:r>
      <w:r>
        <w:rPr>
          <w:bCs/>
          <w:sz w:val="22"/>
          <w:szCs w:val="22"/>
        </w:rPr>
        <w:t>absorbovateľných</w:t>
      </w:r>
      <w:r w:rsidRPr="00D673B5">
        <w:rPr>
          <w:bCs/>
          <w:sz w:val="22"/>
          <w:szCs w:val="22"/>
        </w:rPr>
        <w:t xml:space="preserve"> vlákien. Za určitých okolností, obzvlášť pri ortopedických zákrokoch, môže byť použité znehybnenie kĺbu externou fixáciou na základe rozhodnutia chirurga. Kožné </w:t>
      </w:r>
      <w:proofErr w:type="spellStart"/>
      <w:r w:rsidRPr="00D673B5">
        <w:rPr>
          <w:bCs/>
          <w:sz w:val="22"/>
          <w:szCs w:val="22"/>
        </w:rPr>
        <w:t>sutúry</w:t>
      </w:r>
      <w:proofErr w:type="spellEnd"/>
      <w:r w:rsidRPr="00D673B5">
        <w:rPr>
          <w:bCs/>
          <w:sz w:val="22"/>
          <w:szCs w:val="22"/>
        </w:rPr>
        <w:t>, ktoré zostanú na mieste viac než 7 dní a môžu spôsobovať lokálne podráždenie by mali byť odstránené ak je to indikované.</w:t>
      </w:r>
      <w:r>
        <w:rPr>
          <w:bCs/>
          <w:sz w:val="22"/>
          <w:szCs w:val="22"/>
        </w:rPr>
        <w:t xml:space="preserve"> Je na zváženie použitie </w:t>
      </w:r>
      <w:proofErr w:type="spellStart"/>
      <w:r>
        <w:rPr>
          <w:bCs/>
          <w:sz w:val="22"/>
          <w:szCs w:val="22"/>
        </w:rPr>
        <w:t>vstrebateľných</w:t>
      </w:r>
      <w:proofErr w:type="spellEnd"/>
      <w:r>
        <w:rPr>
          <w:bCs/>
          <w:sz w:val="22"/>
          <w:szCs w:val="22"/>
        </w:rPr>
        <w:t xml:space="preserve"> materiálov u tkanív so slabým krvným zásobovaním, pretože sa môže vyskytnúť vytláčanie </w:t>
      </w:r>
      <w:proofErr w:type="spellStart"/>
      <w:r>
        <w:rPr>
          <w:bCs/>
          <w:sz w:val="22"/>
          <w:szCs w:val="22"/>
        </w:rPr>
        <w:t>sutúry</w:t>
      </w:r>
      <w:proofErr w:type="spellEnd"/>
      <w:r>
        <w:rPr>
          <w:bCs/>
          <w:sz w:val="22"/>
          <w:szCs w:val="22"/>
        </w:rPr>
        <w:t xml:space="preserve"> a predĺžená absorpcia. Podkožné tkanivo by malo byť zachytené tak hlboko ako je to možné, aby sa minimalizoval </w:t>
      </w:r>
      <w:proofErr w:type="spellStart"/>
      <w:r>
        <w:rPr>
          <w:bCs/>
          <w:sz w:val="22"/>
          <w:szCs w:val="22"/>
        </w:rPr>
        <w:t>erytém</w:t>
      </w:r>
      <w:proofErr w:type="spellEnd"/>
      <w:r>
        <w:rPr>
          <w:bCs/>
          <w:sz w:val="22"/>
          <w:szCs w:val="22"/>
        </w:rPr>
        <w:t xml:space="preserve"> a stvrdnutie tkaniva, ktoré sa bežne vyskytujú počas absorpcie. </w:t>
      </w:r>
      <w:r w:rsidRPr="00D673B5">
        <w:rPr>
          <w:bCs/>
          <w:sz w:val="22"/>
          <w:szCs w:val="22"/>
        </w:rPr>
        <w:t xml:space="preserve">Pri manipulácii so šijacími chirurgickými materiálmi je potrebné dbať, aby sa zabránilo poškodeniu pri vlastnej manipulácii. Vyhnite sa pomliaždeniu tkaniva použitím chirurgických nástrojov ako je pinzeta alebo </w:t>
      </w:r>
      <w:proofErr w:type="spellStart"/>
      <w:r w:rsidRPr="00D673B5">
        <w:rPr>
          <w:bCs/>
          <w:sz w:val="22"/>
          <w:szCs w:val="22"/>
        </w:rPr>
        <w:t>ihelec</w:t>
      </w:r>
      <w:proofErr w:type="spellEnd"/>
      <w:r w:rsidRPr="00D673B5">
        <w:rPr>
          <w:bCs/>
          <w:sz w:val="22"/>
          <w:szCs w:val="22"/>
        </w:rPr>
        <w:t>. Ako aj pri iných chirurgických materiáloch, primeraný bezpečnostný uzol vyžaduje správne chirurgické techniky viazania s dodatočnými uzlami, ak je to opodstatnené chirurgickými okolnosťami a skúsenosťou chirurga.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Nežiaduce účinky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  <w:t xml:space="preserve">Nežiaduce účinky spojené s použitím </w:t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</w:t>
      </w:r>
      <w:r w:rsidRPr="00D673B5">
        <w:rPr>
          <w:bCs/>
          <w:sz w:val="22"/>
          <w:szCs w:val="22"/>
        </w:rPr>
        <w:t xml:space="preserve">zahrňujú alergickú reakciu u určitých pacientov, prechodné lokálne podráždenie v mieste rany, prechodnú zápalovú reakciu na cudzie teleso, </w:t>
      </w:r>
      <w:proofErr w:type="spellStart"/>
      <w:r w:rsidRPr="00D673B5">
        <w:rPr>
          <w:bCs/>
          <w:sz w:val="22"/>
          <w:szCs w:val="22"/>
        </w:rPr>
        <w:t>erytém</w:t>
      </w:r>
      <w:proofErr w:type="spellEnd"/>
      <w:r w:rsidRPr="00D673B5">
        <w:rPr>
          <w:bCs/>
          <w:sz w:val="22"/>
          <w:szCs w:val="22"/>
        </w:rPr>
        <w:t xml:space="preserve"> a stvrdnutie počas procesu absorpcie podkožnej </w:t>
      </w:r>
      <w:proofErr w:type="spellStart"/>
      <w:r w:rsidRPr="00D673B5">
        <w:rPr>
          <w:bCs/>
          <w:sz w:val="22"/>
          <w:szCs w:val="22"/>
        </w:rPr>
        <w:t>sutúry</w:t>
      </w:r>
      <w:proofErr w:type="spellEnd"/>
      <w:r w:rsidRPr="00D673B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Ako každé cudzie teleso, PGLLA PLUS môže zosilniť existujúcu infekciu.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Veľkosť balenia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Vetsuture</w:t>
      </w:r>
      <w:proofErr w:type="spellEnd"/>
      <w:r w:rsidRPr="00596D4F"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PGLA Plus je dostupný v niekoľkých USP veľkostiach. Vlákna sú dodávané s rôznymi typmi ihiel v balení po 12 ks</w:t>
      </w:r>
      <w:r w:rsidRPr="00D673B5">
        <w:rPr>
          <w:bCs/>
          <w:sz w:val="22"/>
          <w:szCs w:val="22"/>
        </w:rPr>
        <w:t>.</w:t>
      </w:r>
    </w:p>
    <w:p w:rsidR="00755B6C" w:rsidRPr="00D673B5" w:rsidRDefault="00755B6C" w:rsidP="00755B6C">
      <w:pPr>
        <w:pStyle w:val="Zkladntext2"/>
        <w:tabs>
          <w:tab w:val="left" w:pos="2552"/>
          <w:tab w:val="left" w:pos="2694"/>
        </w:tabs>
        <w:spacing w:after="0" w:line="240" w:lineRule="auto"/>
        <w:ind w:left="2694" w:hanging="2694"/>
        <w:jc w:val="both"/>
        <w:rPr>
          <w:bCs/>
          <w:sz w:val="22"/>
          <w:szCs w:val="22"/>
          <w:lang w:eastAsia="sk-SK"/>
        </w:rPr>
      </w:pPr>
      <w:r w:rsidRPr="00D673B5">
        <w:rPr>
          <w:bCs/>
          <w:sz w:val="22"/>
          <w:szCs w:val="22"/>
          <w:lang w:eastAsia="sk-SK"/>
        </w:rPr>
        <w:t>Spôsob uchovávania</w:t>
      </w:r>
      <w:r w:rsidRPr="00D673B5">
        <w:rPr>
          <w:bCs/>
          <w:sz w:val="22"/>
          <w:szCs w:val="22"/>
          <w:lang w:eastAsia="sk-SK"/>
        </w:rPr>
        <w:tab/>
        <w:t>:</w:t>
      </w:r>
      <w:r w:rsidRPr="00D673B5">
        <w:rPr>
          <w:bCs/>
          <w:sz w:val="22"/>
          <w:szCs w:val="22"/>
          <w:lang w:eastAsia="sk-SK"/>
        </w:rPr>
        <w:tab/>
        <w:t xml:space="preserve">Teplota pod </w:t>
      </w:r>
      <w:r>
        <w:rPr>
          <w:bCs/>
          <w:sz w:val="22"/>
          <w:szCs w:val="22"/>
          <w:lang w:eastAsia="sk-SK"/>
        </w:rPr>
        <w:t>30</w:t>
      </w:r>
      <w:r w:rsidRPr="00D673B5">
        <w:rPr>
          <w:bCs/>
          <w:sz w:val="22"/>
          <w:szCs w:val="22"/>
          <w:lang w:eastAsia="sk-SK"/>
        </w:rPr>
        <w:t>°C, mimo vlhkosti a priameho tepla. Uchovávať mimo dosahu a dohľadu detí.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jc w:val="both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Čas použiteľnosti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  <w:t>Spotrebovať do dátumu uvedenom na obale. Nepoužívať po uplynutí exspiračnej doby.</w:t>
      </w:r>
    </w:p>
    <w:p w:rsidR="00755B6C" w:rsidRPr="00D673B5" w:rsidRDefault="00755B6C" w:rsidP="00755B6C">
      <w:pPr>
        <w:tabs>
          <w:tab w:val="left" w:pos="2552"/>
          <w:tab w:val="left" w:pos="2694"/>
        </w:tabs>
        <w:ind w:left="2694" w:hanging="2694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Označenie</w:t>
      </w:r>
      <w:r w:rsidRPr="00D673B5">
        <w:rPr>
          <w:bCs/>
          <w:sz w:val="22"/>
          <w:szCs w:val="22"/>
        </w:rPr>
        <w:tab/>
        <w:t>:</w:t>
      </w:r>
      <w:r w:rsidRPr="00D673B5">
        <w:rPr>
          <w:bCs/>
          <w:sz w:val="22"/>
          <w:szCs w:val="22"/>
        </w:rPr>
        <w:tab/>
        <w:t>Len pre zvieratá.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</w:p>
    <w:p w:rsidR="00755B6C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Použité symboly:</w:t>
      </w:r>
    </w:p>
    <w:p w:rsidR="00755B6C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MFG</w:t>
      </w:r>
      <w:r w:rsidRPr="00D673B5">
        <w:rPr>
          <w:bCs/>
          <w:sz w:val="22"/>
          <w:szCs w:val="22"/>
        </w:rPr>
        <w:tab/>
        <w:t>Vyrobené mesiac &amp; rok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EXP</w:t>
      </w:r>
      <w:r w:rsidRPr="00D673B5">
        <w:rPr>
          <w:bCs/>
          <w:sz w:val="22"/>
          <w:szCs w:val="22"/>
        </w:rPr>
        <w:tab/>
        <w:t>Spotrebovať do mesiac &amp; rok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LOT</w:t>
      </w:r>
      <w:r w:rsidRPr="00D673B5">
        <w:rPr>
          <w:bCs/>
          <w:sz w:val="22"/>
          <w:szCs w:val="22"/>
        </w:rPr>
        <w:tab/>
        <w:t>Číslo šarže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VET USE ONLY</w:t>
      </w:r>
      <w:r w:rsidRPr="00D673B5">
        <w:rPr>
          <w:bCs/>
          <w:sz w:val="22"/>
          <w:szCs w:val="22"/>
        </w:rPr>
        <w:tab/>
        <w:t>Len na veterinárne použitie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Piktogram</w:t>
      </w:r>
      <w:r w:rsidRPr="00D673B5">
        <w:rPr>
          <w:bCs/>
          <w:sz w:val="22"/>
          <w:szCs w:val="22"/>
        </w:rPr>
        <w:tab/>
        <w:t>Nepoužívať znovu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Piktogram</w:t>
      </w:r>
      <w:r w:rsidRPr="00D673B5">
        <w:rPr>
          <w:bCs/>
          <w:sz w:val="22"/>
          <w:szCs w:val="22"/>
        </w:rPr>
        <w:tab/>
        <w:t>Prečítať návod na použitie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>STERILE EO</w:t>
      </w:r>
      <w:r w:rsidRPr="00D673B5">
        <w:rPr>
          <w:bCs/>
          <w:sz w:val="22"/>
          <w:szCs w:val="22"/>
        </w:rPr>
        <w:tab/>
        <w:t>Sterilné, ak obal nie je poškodený alebo otvorený.</w:t>
      </w:r>
    </w:p>
    <w:p w:rsidR="00755B6C" w:rsidRPr="00D673B5" w:rsidRDefault="00755B6C" w:rsidP="00755B6C">
      <w:pPr>
        <w:tabs>
          <w:tab w:val="left" w:pos="2835"/>
          <w:tab w:val="left" w:pos="3119"/>
        </w:tabs>
        <w:ind w:left="3119" w:hanging="3119"/>
        <w:rPr>
          <w:bCs/>
          <w:sz w:val="22"/>
          <w:szCs w:val="22"/>
        </w:rPr>
      </w:pPr>
      <w:r w:rsidRPr="00D673B5">
        <w:rPr>
          <w:bCs/>
          <w:sz w:val="22"/>
          <w:szCs w:val="22"/>
        </w:rPr>
        <w:tab/>
        <w:t xml:space="preserve">Metóda sterilizácie: </w:t>
      </w:r>
      <w:proofErr w:type="spellStart"/>
      <w:r w:rsidRPr="00D673B5">
        <w:rPr>
          <w:bCs/>
          <w:sz w:val="22"/>
          <w:szCs w:val="22"/>
        </w:rPr>
        <w:t>Ethylen</w:t>
      </w:r>
      <w:proofErr w:type="spellEnd"/>
      <w:r w:rsidRPr="00D673B5">
        <w:rPr>
          <w:bCs/>
          <w:sz w:val="22"/>
          <w:szCs w:val="22"/>
        </w:rPr>
        <w:t xml:space="preserve"> oxid</w:t>
      </w:r>
    </w:p>
    <w:p w:rsidR="00755B6C" w:rsidRPr="00D673B5" w:rsidRDefault="00755B6C" w:rsidP="00755B6C">
      <w:pPr>
        <w:rPr>
          <w:sz w:val="22"/>
          <w:szCs w:val="22"/>
        </w:rPr>
      </w:pPr>
    </w:p>
    <w:sectPr w:rsidR="00755B6C" w:rsidRPr="00D6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7B"/>
    <w:rsid w:val="004A60CF"/>
    <w:rsid w:val="00755B6C"/>
    <w:rsid w:val="008E135B"/>
    <w:rsid w:val="009D697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55B6C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5B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755B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755B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55B6C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5B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755B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755B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5201</Characters>
  <Application>Microsoft Office Word</Application>
  <DocSecurity>0</DocSecurity>
  <Lines>43</Lines>
  <Paragraphs>12</Paragraphs>
  <ScaleCrop>false</ScaleCrop>
  <Company>ATC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2020-07-24T08:41:00Z</dcterms:created>
  <dcterms:modified xsi:type="dcterms:W3CDTF">2020-07-24T08:41:00Z</dcterms:modified>
</cp:coreProperties>
</file>