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A3" w:rsidRPr="00B92EC8" w:rsidRDefault="000424A3" w:rsidP="000424A3">
      <w:pPr>
        <w:tabs>
          <w:tab w:val="left" w:pos="851"/>
        </w:tabs>
        <w:spacing w:after="0" w:line="240" w:lineRule="auto"/>
        <w:rPr>
          <w:rFonts w:ascii="Times New Roman" w:hAnsi="Times New Roman"/>
          <w:b/>
          <w:bCs/>
          <w:sz w:val="18"/>
          <w:szCs w:val="18"/>
        </w:rPr>
      </w:pPr>
      <w:r w:rsidRPr="00B92EC8">
        <w:rPr>
          <w:rFonts w:ascii="Times New Roman" w:hAnsi="Times New Roman"/>
          <w:sz w:val="18"/>
          <w:szCs w:val="18"/>
        </w:rPr>
        <w:t xml:space="preserve">Príloha č. </w:t>
      </w:r>
      <w:r>
        <w:rPr>
          <w:rFonts w:ascii="Times New Roman" w:hAnsi="Times New Roman"/>
          <w:sz w:val="18"/>
          <w:szCs w:val="18"/>
        </w:rPr>
        <w:t>2</w:t>
      </w:r>
      <w:r w:rsidRPr="00B92EC8">
        <w:rPr>
          <w:rFonts w:ascii="Times New Roman" w:hAnsi="Times New Roman"/>
          <w:sz w:val="18"/>
          <w:szCs w:val="18"/>
        </w:rPr>
        <w:t xml:space="preserve"> k Rozhodnutiu  č.:</w:t>
      </w:r>
      <w:r w:rsidRPr="00B92EC8">
        <w:rPr>
          <w:rFonts w:ascii="Times New Roman" w:hAnsi="Times New Roman"/>
          <w:bCs/>
          <w:sz w:val="18"/>
          <w:szCs w:val="18"/>
        </w:rPr>
        <w:t xml:space="preserve"> </w:t>
      </w:r>
      <w:r>
        <w:rPr>
          <w:rFonts w:ascii="Times New Roman" w:hAnsi="Times New Roman"/>
          <w:b/>
          <w:bCs/>
          <w:sz w:val="18"/>
          <w:szCs w:val="18"/>
        </w:rPr>
        <w:t>079</w:t>
      </w:r>
      <w:r w:rsidRPr="00986846">
        <w:rPr>
          <w:rFonts w:ascii="Times New Roman" w:hAnsi="Times New Roman"/>
          <w:b/>
          <w:bCs/>
          <w:sz w:val="18"/>
          <w:szCs w:val="18"/>
        </w:rPr>
        <w:t>/</w:t>
      </w:r>
      <w:r>
        <w:rPr>
          <w:rFonts w:ascii="Times New Roman" w:hAnsi="Times New Roman"/>
          <w:b/>
          <w:bCs/>
          <w:sz w:val="18"/>
          <w:szCs w:val="18"/>
        </w:rPr>
        <w:t>VZP</w:t>
      </w:r>
      <w:r w:rsidRPr="00986846">
        <w:rPr>
          <w:rFonts w:ascii="Times New Roman" w:hAnsi="Times New Roman"/>
          <w:b/>
          <w:bCs/>
          <w:sz w:val="18"/>
          <w:szCs w:val="18"/>
        </w:rPr>
        <w:t>/</w:t>
      </w:r>
      <w:r>
        <w:rPr>
          <w:rFonts w:ascii="Times New Roman" w:hAnsi="Times New Roman"/>
          <w:b/>
          <w:bCs/>
          <w:sz w:val="18"/>
          <w:szCs w:val="18"/>
        </w:rPr>
        <w:t>1</w:t>
      </w:r>
      <w:r w:rsidRPr="00986846">
        <w:rPr>
          <w:rFonts w:ascii="Times New Roman" w:hAnsi="Times New Roman"/>
          <w:b/>
          <w:bCs/>
          <w:sz w:val="18"/>
          <w:szCs w:val="18"/>
        </w:rPr>
        <w:t>2-S</w:t>
      </w:r>
    </w:p>
    <w:p w:rsidR="000424A3" w:rsidRPr="004048E5" w:rsidRDefault="000424A3" w:rsidP="000424A3">
      <w:pPr>
        <w:tabs>
          <w:tab w:val="left" w:pos="851"/>
        </w:tabs>
        <w:spacing w:after="0" w:line="240" w:lineRule="auto"/>
        <w:rPr>
          <w:rFonts w:ascii="Times New Roman" w:hAnsi="Times New Roman"/>
        </w:rPr>
      </w:pPr>
      <w:bookmarkStart w:id="0" w:name="_GoBack"/>
      <w:bookmarkEnd w:id="0"/>
    </w:p>
    <w:p w:rsidR="000424A3" w:rsidRPr="004048E5" w:rsidRDefault="000424A3" w:rsidP="000424A3">
      <w:pPr>
        <w:spacing w:after="0" w:line="240" w:lineRule="auto"/>
        <w:jc w:val="center"/>
        <w:rPr>
          <w:rFonts w:ascii="Times New Roman" w:hAnsi="Times New Roman"/>
          <w:b/>
        </w:rPr>
      </w:pPr>
      <w:r w:rsidRPr="004048E5">
        <w:rPr>
          <w:rFonts w:ascii="Times New Roman" w:hAnsi="Times New Roman"/>
          <w:b/>
        </w:rPr>
        <w:t>NÁVOD NA POUŽITIE</w:t>
      </w:r>
    </w:p>
    <w:p w:rsidR="000424A3" w:rsidRPr="004048E5" w:rsidRDefault="000424A3" w:rsidP="000424A3">
      <w:pPr>
        <w:spacing w:after="0" w:line="240" w:lineRule="auto"/>
        <w:jc w:val="center"/>
        <w:rPr>
          <w:rFonts w:ascii="Times New Roman" w:hAnsi="Times New Roman"/>
          <w:b/>
        </w:rPr>
      </w:pPr>
    </w:p>
    <w:p w:rsidR="000424A3" w:rsidRPr="004048E5" w:rsidRDefault="000424A3" w:rsidP="000424A3">
      <w:pPr>
        <w:tabs>
          <w:tab w:val="left" w:pos="2835"/>
          <w:tab w:val="left" w:pos="3119"/>
        </w:tabs>
        <w:spacing w:after="0" w:line="240" w:lineRule="auto"/>
        <w:ind w:left="2160" w:hanging="2160"/>
        <w:jc w:val="both"/>
        <w:rPr>
          <w:rFonts w:ascii="Times New Roman" w:hAnsi="Times New Roman"/>
          <w:b/>
          <w:bCs/>
        </w:rPr>
      </w:pPr>
      <w:r w:rsidRPr="004048E5">
        <w:rPr>
          <w:rFonts w:ascii="Times New Roman" w:hAnsi="Times New Roman"/>
        </w:rPr>
        <w:t xml:space="preserve">Názov </w:t>
      </w:r>
      <w:proofErr w:type="spellStart"/>
      <w:r w:rsidRPr="004048E5">
        <w:rPr>
          <w:rFonts w:ascii="Times New Roman" w:hAnsi="Times New Roman"/>
        </w:rPr>
        <w:t>vet</w:t>
      </w:r>
      <w:proofErr w:type="spellEnd"/>
      <w:r w:rsidRPr="004048E5">
        <w:rPr>
          <w:rFonts w:ascii="Times New Roman" w:hAnsi="Times New Roman"/>
        </w:rPr>
        <w:t>.  pomôcky</w:t>
      </w:r>
      <w:r w:rsidRPr="004048E5">
        <w:rPr>
          <w:rFonts w:ascii="Times New Roman" w:hAnsi="Times New Roman"/>
        </w:rPr>
        <w:tab/>
      </w:r>
      <w:r w:rsidRPr="004048E5">
        <w:rPr>
          <w:rFonts w:ascii="Times New Roman" w:hAnsi="Times New Roman"/>
        </w:rPr>
        <w:tab/>
        <w:t>:</w:t>
      </w:r>
      <w:r w:rsidRPr="004048E5">
        <w:rPr>
          <w:rFonts w:ascii="Times New Roman" w:hAnsi="Times New Roman"/>
        </w:rPr>
        <w:tab/>
      </w:r>
      <w:r w:rsidRPr="004048E5">
        <w:rPr>
          <w:rFonts w:ascii="Times New Roman" w:hAnsi="Times New Roman"/>
          <w:b/>
          <w:bCs/>
        </w:rPr>
        <w:t xml:space="preserve">VETSUTURE </w:t>
      </w:r>
      <w:r>
        <w:rPr>
          <w:rFonts w:ascii="Times New Roman" w:hAnsi="Times New Roman"/>
          <w:b/>
          <w:bCs/>
        </w:rPr>
        <w:t>PGC</w:t>
      </w:r>
    </w:p>
    <w:p w:rsidR="000424A3" w:rsidRPr="004048E5" w:rsidRDefault="000424A3" w:rsidP="000424A3">
      <w:pPr>
        <w:tabs>
          <w:tab w:val="left" w:pos="2835"/>
          <w:tab w:val="left" w:pos="3119"/>
        </w:tabs>
        <w:spacing w:after="0" w:line="240" w:lineRule="auto"/>
        <w:ind w:left="2160" w:hanging="2160"/>
        <w:jc w:val="both"/>
        <w:rPr>
          <w:rFonts w:ascii="Times New Roman" w:hAnsi="Times New Roman"/>
        </w:rPr>
      </w:pPr>
      <w:r w:rsidRPr="004048E5">
        <w:rPr>
          <w:rFonts w:ascii="Times New Roman" w:hAnsi="Times New Roman"/>
        </w:rPr>
        <w:tab/>
      </w:r>
    </w:p>
    <w:p w:rsidR="000424A3" w:rsidRPr="004048E5" w:rsidRDefault="000424A3" w:rsidP="000424A3">
      <w:pPr>
        <w:tabs>
          <w:tab w:val="left" w:pos="2835"/>
          <w:tab w:val="left" w:pos="3119"/>
        </w:tabs>
        <w:spacing w:after="0" w:line="240" w:lineRule="auto"/>
        <w:ind w:left="3119" w:hanging="3119"/>
        <w:jc w:val="both"/>
        <w:rPr>
          <w:rFonts w:ascii="Times New Roman" w:hAnsi="Times New Roman"/>
        </w:rPr>
      </w:pPr>
      <w:r w:rsidRPr="004048E5">
        <w:rPr>
          <w:rFonts w:ascii="Times New Roman" w:hAnsi="Times New Roman"/>
        </w:rPr>
        <w:t>Výrobca</w:t>
      </w:r>
      <w:r w:rsidRPr="004048E5">
        <w:rPr>
          <w:rFonts w:ascii="Times New Roman" w:hAnsi="Times New Roman"/>
        </w:rPr>
        <w:tab/>
        <w:t>:</w:t>
      </w:r>
      <w:r w:rsidRPr="004048E5">
        <w:rPr>
          <w:rFonts w:ascii="Times New Roman" w:hAnsi="Times New Roman"/>
        </w:rPr>
        <w:tab/>
      </w:r>
      <w:proofErr w:type="spellStart"/>
      <w:r w:rsidRPr="004048E5">
        <w:rPr>
          <w:rFonts w:ascii="Times New Roman" w:hAnsi="Times New Roman"/>
        </w:rPr>
        <w:t>Sutures</w:t>
      </w:r>
      <w:proofErr w:type="spellEnd"/>
      <w:r w:rsidRPr="004048E5">
        <w:rPr>
          <w:rFonts w:ascii="Times New Roman" w:hAnsi="Times New Roman"/>
        </w:rPr>
        <w:t xml:space="preserve"> India PVT. LTD, India.</w:t>
      </w:r>
    </w:p>
    <w:p w:rsidR="000424A3" w:rsidRPr="004048E5" w:rsidRDefault="000424A3" w:rsidP="000424A3">
      <w:pPr>
        <w:pStyle w:val="Nadpis1"/>
        <w:tabs>
          <w:tab w:val="clear" w:pos="851"/>
          <w:tab w:val="left" w:pos="2835"/>
          <w:tab w:val="left" w:pos="3119"/>
        </w:tabs>
        <w:spacing w:before="0" w:line="240" w:lineRule="auto"/>
        <w:ind w:left="3119" w:hanging="3119"/>
        <w:jc w:val="both"/>
        <w:rPr>
          <w:sz w:val="22"/>
          <w:szCs w:val="22"/>
        </w:rPr>
      </w:pPr>
      <w:r w:rsidRPr="004048E5">
        <w:rPr>
          <w:sz w:val="22"/>
          <w:szCs w:val="22"/>
        </w:rPr>
        <w:t>Držiteľ rozhodnutia</w:t>
      </w:r>
      <w:r w:rsidRPr="004048E5">
        <w:rPr>
          <w:sz w:val="22"/>
          <w:szCs w:val="22"/>
        </w:rPr>
        <w:tab/>
        <w:t>:</w:t>
      </w:r>
      <w:r w:rsidRPr="004048E5">
        <w:rPr>
          <w:sz w:val="22"/>
          <w:szCs w:val="22"/>
        </w:rPr>
        <w:tab/>
      </w:r>
      <w:proofErr w:type="spellStart"/>
      <w:r w:rsidRPr="00064C56">
        <w:rPr>
          <w:sz w:val="22"/>
          <w:szCs w:val="22"/>
        </w:rPr>
        <w:t>Noévia</w:t>
      </w:r>
      <w:proofErr w:type="spellEnd"/>
      <w:r w:rsidRPr="00064C56">
        <w:rPr>
          <w:sz w:val="22"/>
          <w:szCs w:val="22"/>
        </w:rPr>
        <w:t xml:space="preserve"> SAS, 54 </w:t>
      </w:r>
      <w:proofErr w:type="spellStart"/>
      <w:r w:rsidRPr="00064C56">
        <w:rPr>
          <w:sz w:val="22"/>
          <w:szCs w:val="22"/>
        </w:rPr>
        <w:t>rue</w:t>
      </w:r>
      <w:proofErr w:type="spellEnd"/>
      <w:r w:rsidRPr="00064C56">
        <w:rPr>
          <w:sz w:val="22"/>
          <w:szCs w:val="22"/>
        </w:rPr>
        <w:t xml:space="preserve"> </w:t>
      </w:r>
      <w:proofErr w:type="spellStart"/>
      <w:r w:rsidRPr="00064C56">
        <w:rPr>
          <w:sz w:val="22"/>
          <w:szCs w:val="22"/>
        </w:rPr>
        <w:t>Stendhal</w:t>
      </w:r>
      <w:proofErr w:type="spellEnd"/>
      <w:r w:rsidRPr="00064C56">
        <w:rPr>
          <w:sz w:val="22"/>
          <w:szCs w:val="22"/>
        </w:rPr>
        <w:t xml:space="preserve">, 750 20 </w:t>
      </w:r>
      <w:proofErr w:type="spellStart"/>
      <w:r w:rsidRPr="00064C56">
        <w:rPr>
          <w:sz w:val="22"/>
          <w:szCs w:val="22"/>
        </w:rPr>
        <w:t>Paris</w:t>
      </w:r>
      <w:proofErr w:type="spellEnd"/>
      <w:r w:rsidRPr="00064C56">
        <w:rPr>
          <w:sz w:val="22"/>
          <w:szCs w:val="22"/>
        </w:rPr>
        <w:t>, Francúzsko</w:t>
      </w:r>
      <w:r w:rsidRPr="004048E5">
        <w:rPr>
          <w:sz w:val="22"/>
          <w:szCs w:val="22"/>
        </w:rPr>
        <w:t>.</w:t>
      </w:r>
    </w:p>
    <w:p w:rsidR="000424A3" w:rsidRPr="004048E5" w:rsidRDefault="000424A3" w:rsidP="000424A3">
      <w:pPr>
        <w:pStyle w:val="Nadpis1"/>
        <w:tabs>
          <w:tab w:val="clear" w:pos="851"/>
          <w:tab w:val="left" w:pos="2835"/>
          <w:tab w:val="left" w:pos="3119"/>
        </w:tabs>
        <w:spacing w:before="0" w:line="240" w:lineRule="auto"/>
        <w:ind w:left="3119" w:hanging="3119"/>
        <w:jc w:val="both"/>
        <w:rPr>
          <w:color w:val="000000"/>
          <w:sz w:val="22"/>
          <w:szCs w:val="22"/>
        </w:rPr>
      </w:pPr>
      <w:r w:rsidRPr="004048E5">
        <w:rPr>
          <w:sz w:val="22"/>
          <w:szCs w:val="22"/>
        </w:rPr>
        <w:t>Cieľový druh zvierat</w:t>
      </w:r>
      <w:r w:rsidRPr="004048E5">
        <w:rPr>
          <w:sz w:val="22"/>
          <w:szCs w:val="22"/>
        </w:rPr>
        <w:tab/>
        <w:t>:</w:t>
      </w:r>
      <w:r w:rsidRPr="004048E5">
        <w:rPr>
          <w:sz w:val="22"/>
          <w:szCs w:val="22"/>
        </w:rPr>
        <w:tab/>
      </w:r>
      <w:r w:rsidRPr="004048E5">
        <w:rPr>
          <w:bCs/>
          <w:sz w:val="22"/>
          <w:szCs w:val="22"/>
        </w:rPr>
        <w:t>Všetky druhy zvierat</w:t>
      </w:r>
      <w:r w:rsidRPr="004048E5">
        <w:rPr>
          <w:sz w:val="22"/>
          <w:szCs w:val="22"/>
        </w:rPr>
        <w:t>.</w:t>
      </w:r>
      <w:r w:rsidRPr="004048E5">
        <w:rPr>
          <w:sz w:val="22"/>
          <w:szCs w:val="22"/>
        </w:rPr>
        <w:tab/>
      </w:r>
    </w:p>
    <w:p w:rsidR="000424A3" w:rsidRPr="004048E5" w:rsidRDefault="000424A3" w:rsidP="000424A3">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rPr>
        <w:t xml:space="preserve">Popis </w:t>
      </w:r>
      <w:proofErr w:type="spellStart"/>
      <w:r w:rsidRPr="004048E5">
        <w:rPr>
          <w:rFonts w:ascii="Times New Roman" w:hAnsi="Times New Roman"/>
        </w:rPr>
        <w:t>vet</w:t>
      </w:r>
      <w:proofErr w:type="spellEnd"/>
      <w:r w:rsidRPr="004048E5">
        <w:rPr>
          <w:rFonts w:ascii="Times New Roman" w:hAnsi="Times New Roman"/>
        </w:rPr>
        <w:t>. pomôcky</w:t>
      </w:r>
      <w:r w:rsidRPr="004048E5">
        <w:rPr>
          <w:rFonts w:ascii="Times New Roman" w:hAnsi="Times New Roman"/>
        </w:rPr>
        <w:tab/>
        <w:t>:</w:t>
      </w:r>
      <w:r w:rsidRPr="004048E5">
        <w:rPr>
          <w:rFonts w:ascii="Times New Roman" w:hAnsi="Times New Roman"/>
        </w:rPr>
        <w:tab/>
      </w:r>
      <w:proofErr w:type="spellStart"/>
      <w:r>
        <w:rPr>
          <w:rFonts w:ascii="Times New Roman" w:hAnsi="Times New Roman"/>
        </w:rPr>
        <w:t>Vetsuture</w:t>
      </w:r>
      <w:proofErr w:type="spellEnd"/>
      <w:r>
        <w:rPr>
          <w:rFonts w:ascii="Times New Roman" w:hAnsi="Times New Roman"/>
        </w:rPr>
        <w:t xml:space="preserve"> PGC je absorbovateľný, sterilný, syntetický chirurgický šijací materiál zložený z polyméru (</w:t>
      </w:r>
      <w:proofErr w:type="spellStart"/>
      <w:r>
        <w:rPr>
          <w:rFonts w:ascii="Times New Roman" w:hAnsi="Times New Roman"/>
        </w:rPr>
        <w:t>glycolide</w:t>
      </w:r>
      <w:proofErr w:type="spellEnd"/>
      <w:r>
        <w:rPr>
          <w:rFonts w:ascii="Times New Roman" w:hAnsi="Times New Roman"/>
        </w:rPr>
        <w:t xml:space="preserve"> </w:t>
      </w:r>
      <w:proofErr w:type="spellStart"/>
      <w:r>
        <w:rPr>
          <w:rFonts w:ascii="Times New Roman" w:hAnsi="Times New Roman"/>
        </w:rPr>
        <w:t>co-caprolactone</w:t>
      </w:r>
      <w:proofErr w:type="spellEnd"/>
      <w:r>
        <w:rPr>
          <w:rFonts w:ascii="Times New Roman" w:hAnsi="Times New Roman"/>
        </w:rPr>
        <w:t xml:space="preserve">). </w:t>
      </w:r>
      <w:proofErr w:type="spellStart"/>
      <w:r>
        <w:rPr>
          <w:rFonts w:ascii="Times New Roman" w:hAnsi="Times New Roman"/>
        </w:rPr>
        <w:t>Vetsuture</w:t>
      </w:r>
      <w:proofErr w:type="spellEnd"/>
      <w:r>
        <w:rPr>
          <w:rFonts w:ascii="Times New Roman" w:hAnsi="Times New Roman"/>
        </w:rPr>
        <w:t xml:space="preserve"> PGC je dostupný nefarbený. </w:t>
      </w:r>
      <w:proofErr w:type="spellStart"/>
      <w:r>
        <w:rPr>
          <w:rFonts w:ascii="Times New Roman" w:hAnsi="Times New Roman"/>
        </w:rPr>
        <w:t>Polyglecaprone</w:t>
      </w:r>
      <w:proofErr w:type="spellEnd"/>
      <w:r>
        <w:rPr>
          <w:rFonts w:ascii="Times New Roman" w:hAnsi="Times New Roman"/>
        </w:rPr>
        <w:t xml:space="preserve"> 25 nemá antigénne ani </w:t>
      </w:r>
      <w:proofErr w:type="spellStart"/>
      <w:r>
        <w:rPr>
          <w:rFonts w:ascii="Times New Roman" w:hAnsi="Times New Roman"/>
        </w:rPr>
        <w:t>pyrogénne</w:t>
      </w:r>
      <w:proofErr w:type="spellEnd"/>
      <w:r>
        <w:rPr>
          <w:rFonts w:ascii="Times New Roman" w:hAnsi="Times New Roman"/>
        </w:rPr>
        <w:t xml:space="preserve"> vlastnosti a vyvoláva len ľahké reakcie tkaniva počas absorpcie. </w:t>
      </w:r>
      <w:proofErr w:type="spellStart"/>
      <w:r>
        <w:rPr>
          <w:rFonts w:ascii="Times New Roman" w:hAnsi="Times New Roman"/>
        </w:rPr>
        <w:t>Vetsuture</w:t>
      </w:r>
      <w:proofErr w:type="spellEnd"/>
      <w:r>
        <w:rPr>
          <w:rFonts w:ascii="Times New Roman" w:hAnsi="Times New Roman"/>
        </w:rPr>
        <w:t xml:space="preserve"> PGC je v súlade s USP požiadavkami, okrem priemeru</w:t>
      </w:r>
      <w:r w:rsidRPr="004048E5">
        <w:rPr>
          <w:rFonts w:ascii="Times New Roman" w:hAnsi="Times New Roman"/>
        </w:rPr>
        <w:t>.</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sidRPr="000525D6">
        <w:rPr>
          <w:rFonts w:ascii="Times New Roman" w:hAnsi="Times New Roman"/>
          <w:bCs/>
        </w:rPr>
        <w:t>Charakteristika</w:t>
      </w:r>
      <w:r w:rsidRPr="000525D6">
        <w:rPr>
          <w:rFonts w:ascii="Times New Roman" w:hAnsi="Times New Roman"/>
          <w:bCs/>
        </w:rPr>
        <w:tab/>
        <w:t>:</w:t>
      </w:r>
      <w:r w:rsidRPr="000525D6">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PGC je indikovaný na použitie v priblížení mäkkých tkanív, ale nie na použitie u kardiovaskulárnych alebo nervových tkanív, v </w:t>
      </w:r>
      <w:proofErr w:type="spellStart"/>
      <w:r>
        <w:rPr>
          <w:rFonts w:ascii="Times New Roman" w:hAnsi="Times New Roman"/>
          <w:bCs/>
        </w:rPr>
        <w:t>mikrochirurgii</w:t>
      </w:r>
      <w:proofErr w:type="spellEnd"/>
      <w:r>
        <w:rPr>
          <w:rFonts w:ascii="Times New Roman" w:hAnsi="Times New Roman"/>
          <w:bCs/>
        </w:rPr>
        <w:t xml:space="preserve"> a </w:t>
      </w:r>
      <w:proofErr w:type="spellStart"/>
      <w:r>
        <w:rPr>
          <w:rFonts w:ascii="Times New Roman" w:hAnsi="Times New Roman"/>
          <w:bCs/>
        </w:rPr>
        <w:t>oftalmológii</w:t>
      </w:r>
      <w:proofErr w:type="spellEnd"/>
      <w:r>
        <w:rPr>
          <w:rFonts w:ascii="Times New Roman" w:hAnsi="Times New Roman"/>
          <w:bCs/>
        </w:rPr>
        <w:t>.</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Oblasť použitia</w:t>
      </w:r>
      <w:r>
        <w:rPr>
          <w:rFonts w:ascii="Times New Roman" w:hAnsi="Times New Roman"/>
          <w:bCs/>
        </w:rPr>
        <w:tab/>
        <w:t>:</w:t>
      </w:r>
      <w:r>
        <w:rPr>
          <w:rFonts w:ascii="Times New Roman" w:hAnsi="Times New Roman"/>
          <w:bCs/>
        </w:rPr>
        <w:tab/>
        <w:t xml:space="preserve">Absorbovateľný chirurgický šijací materiál (syntetický) </w:t>
      </w:r>
      <w:proofErr w:type="spellStart"/>
      <w:r>
        <w:rPr>
          <w:rFonts w:ascii="Times New Roman" w:hAnsi="Times New Roman"/>
          <w:bCs/>
        </w:rPr>
        <w:t>monofilament</w:t>
      </w:r>
      <w:proofErr w:type="spellEnd"/>
      <w:r>
        <w:rPr>
          <w:rFonts w:ascii="Times New Roman" w:hAnsi="Times New Roman"/>
          <w:bCs/>
        </w:rPr>
        <w:t xml:space="preserve"> (</w:t>
      </w:r>
      <w:proofErr w:type="spellStart"/>
      <w:r>
        <w:rPr>
          <w:rFonts w:ascii="Times New Roman" w:hAnsi="Times New Roman"/>
          <w:bCs/>
        </w:rPr>
        <w:t>polyglecaprone</w:t>
      </w:r>
      <w:proofErr w:type="spellEnd"/>
      <w:r>
        <w:rPr>
          <w:rFonts w:ascii="Times New Roman" w:hAnsi="Times New Roman"/>
          <w:bCs/>
        </w:rPr>
        <w:t xml:space="preserve"> 25).</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ab/>
      </w:r>
      <w:r>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PGC je </w:t>
      </w:r>
      <w:proofErr w:type="spellStart"/>
      <w:r>
        <w:rPr>
          <w:rFonts w:ascii="Times New Roman" w:hAnsi="Times New Roman"/>
          <w:bCs/>
        </w:rPr>
        <w:t>monofilament</w:t>
      </w:r>
      <w:proofErr w:type="spellEnd"/>
      <w:r>
        <w:rPr>
          <w:rFonts w:ascii="Times New Roman" w:hAnsi="Times New Roman"/>
          <w:bCs/>
        </w:rPr>
        <w:t xml:space="preserve">, ktorý vyvoláva minimálnu akútnu  zápalovú reakciu tkanív a vrastanie </w:t>
      </w:r>
      <w:proofErr w:type="spellStart"/>
      <w:r>
        <w:rPr>
          <w:rFonts w:ascii="Times New Roman" w:hAnsi="Times New Roman"/>
          <w:bCs/>
        </w:rPr>
        <w:t>fibrózneho</w:t>
      </w:r>
      <w:proofErr w:type="spellEnd"/>
      <w:r>
        <w:rPr>
          <w:rFonts w:ascii="Times New Roman" w:hAnsi="Times New Roman"/>
          <w:bCs/>
        </w:rPr>
        <w:t xml:space="preserve"> spojivového tkaniva. K výraznej strate pevnosti a prípadnej absorpcii dochádza procesom hydrolýzy. K absorpcii dochádza rýchlo a metabolizuje sa v mieste implantácie. Absorpcia začína stratou pevnosti vlákna  a pokračuje stratou hmotnosti. Implantačné štúdie u potkanov ukazujú, že </w:t>
      </w:r>
      <w:proofErr w:type="spellStart"/>
      <w:r>
        <w:rPr>
          <w:rFonts w:ascii="Times New Roman" w:hAnsi="Times New Roman"/>
          <w:bCs/>
        </w:rPr>
        <w:t>Vetsuture</w:t>
      </w:r>
      <w:proofErr w:type="spellEnd"/>
      <w:r>
        <w:rPr>
          <w:rFonts w:ascii="Times New Roman" w:hAnsi="Times New Roman"/>
          <w:bCs/>
        </w:rPr>
        <w:t xml:space="preserve"> PGC si zachováva približne 50 – 60% svojej pôvodnej pevnosti 7 dní po implantácii a približne 20 – 30% z pôvodnej pevnosti sa stráca do 14 dní po implantácii. Všetka pôvodná pevnosť sa stráca do 21 dní po implantácii. Absorpcia je v podstate úplne dokončená medzi 90 – 120 dňami po implantácii.</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Poznámka</w:t>
      </w:r>
      <w:r>
        <w:rPr>
          <w:rFonts w:ascii="Times New Roman" w:hAnsi="Times New Roman"/>
          <w:bCs/>
        </w:rPr>
        <w:tab/>
        <w:t>:</w:t>
      </w:r>
      <w:r>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PGC je sterilizovaný plynom </w:t>
      </w:r>
      <w:proofErr w:type="spellStart"/>
      <w:r>
        <w:rPr>
          <w:rFonts w:ascii="Times New Roman" w:hAnsi="Times New Roman"/>
          <w:bCs/>
        </w:rPr>
        <w:t>ethylen</w:t>
      </w:r>
      <w:proofErr w:type="spellEnd"/>
      <w:r>
        <w:rPr>
          <w:rFonts w:ascii="Times New Roman" w:hAnsi="Times New Roman"/>
          <w:bCs/>
        </w:rPr>
        <w:t xml:space="preserve"> oxidom. Nepoužívajte ak je obal otvorený alebo poškodený. Otvorené a nepoužité balenie zlikvidujte. </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Kontraindikácie</w:t>
      </w:r>
      <w:r>
        <w:rPr>
          <w:rFonts w:ascii="Times New Roman" w:hAnsi="Times New Roman"/>
          <w:bCs/>
        </w:rPr>
        <w:tab/>
        <w:t>:</w:t>
      </w:r>
      <w:r>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PGC sa nemá používať, ak je požadované rozsiahle priblíženie mäkkých ako napr. </w:t>
      </w:r>
      <w:proofErr w:type="spellStart"/>
      <w:r>
        <w:rPr>
          <w:rFonts w:ascii="Times New Roman" w:hAnsi="Times New Roman"/>
          <w:bCs/>
        </w:rPr>
        <w:t>fascie</w:t>
      </w:r>
      <w:proofErr w:type="spellEnd"/>
      <w:r>
        <w:rPr>
          <w:rFonts w:ascii="Times New Roman" w:hAnsi="Times New Roman"/>
          <w:bCs/>
        </w:rPr>
        <w:t>.</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Upozornenie</w:t>
      </w:r>
      <w:r>
        <w:rPr>
          <w:rFonts w:ascii="Times New Roman" w:hAnsi="Times New Roman"/>
          <w:bCs/>
        </w:rPr>
        <w:tab/>
        <w:t>:</w:t>
      </w:r>
      <w:r>
        <w:rPr>
          <w:rFonts w:ascii="Times New Roman" w:hAnsi="Times New Roman"/>
          <w:bCs/>
        </w:rPr>
        <w:tab/>
        <w:t xml:space="preserve">Užívatelia by mali byť oboznámení s chirurgickými postupmi a technikami pred použitím </w:t>
      </w:r>
      <w:proofErr w:type="spellStart"/>
      <w:r>
        <w:rPr>
          <w:rFonts w:ascii="Times New Roman" w:hAnsi="Times New Roman"/>
          <w:bCs/>
        </w:rPr>
        <w:t>Vetsuture</w:t>
      </w:r>
      <w:proofErr w:type="spellEnd"/>
      <w:r>
        <w:rPr>
          <w:rFonts w:ascii="Times New Roman" w:hAnsi="Times New Roman"/>
          <w:bCs/>
        </w:rPr>
        <w:t xml:space="preserve"> PGC na uzatváranie rán, nakoľko riziko znovuotvorenia rany môže byť rôzne v závislosti od miesta aplikácie a použitého chirurgického šijacieho materiálu. Chirurg by mal zvážiť výkonnosť in </w:t>
      </w:r>
      <w:proofErr w:type="spellStart"/>
      <w:r>
        <w:rPr>
          <w:rFonts w:ascii="Times New Roman" w:hAnsi="Times New Roman"/>
          <w:bCs/>
        </w:rPr>
        <w:t>vivo</w:t>
      </w:r>
      <w:proofErr w:type="spellEnd"/>
      <w:r>
        <w:rPr>
          <w:rFonts w:ascii="Times New Roman" w:hAnsi="Times New Roman"/>
          <w:bCs/>
        </w:rPr>
        <w:t xml:space="preserve"> pri výbere vhodnej </w:t>
      </w:r>
      <w:proofErr w:type="spellStart"/>
      <w:r>
        <w:rPr>
          <w:rFonts w:ascii="Times New Roman" w:hAnsi="Times New Roman"/>
          <w:bCs/>
        </w:rPr>
        <w:t>sutúry</w:t>
      </w:r>
      <w:proofErr w:type="spellEnd"/>
      <w:r>
        <w:rPr>
          <w:rFonts w:ascii="Times New Roman" w:hAnsi="Times New Roman"/>
          <w:bCs/>
        </w:rPr>
        <w:t xml:space="preserve">. </w:t>
      </w:r>
      <w:proofErr w:type="spellStart"/>
      <w:r>
        <w:rPr>
          <w:rFonts w:ascii="Times New Roman" w:hAnsi="Times New Roman"/>
          <w:bCs/>
        </w:rPr>
        <w:t>Vetsuture</w:t>
      </w:r>
      <w:proofErr w:type="spellEnd"/>
      <w:r>
        <w:rPr>
          <w:rFonts w:ascii="Times New Roman" w:hAnsi="Times New Roman"/>
          <w:bCs/>
        </w:rPr>
        <w:t xml:space="preserve"> PGC môže byť nevhodné u starších, podvyživených a oslabených zvierat alebo u zvierat trpiacich podmienkami, ktoré môžu oneskorovať  hojenie rán. Predĺžený kontakt </w:t>
      </w:r>
      <w:proofErr w:type="spellStart"/>
      <w:r>
        <w:rPr>
          <w:rFonts w:ascii="Times New Roman" w:hAnsi="Times New Roman"/>
          <w:bCs/>
        </w:rPr>
        <w:t>sutúry</w:t>
      </w:r>
      <w:proofErr w:type="spellEnd"/>
      <w:r>
        <w:rPr>
          <w:rFonts w:ascii="Times New Roman" w:hAnsi="Times New Roman"/>
          <w:bCs/>
        </w:rPr>
        <w:t xml:space="preserve"> so soľnými roztokmi ako sú v </w:t>
      </w:r>
      <w:proofErr w:type="spellStart"/>
      <w:r>
        <w:rPr>
          <w:rFonts w:ascii="Times New Roman" w:hAnsi="Times New Roman"/>
          <w:bCs/>
        </w:rPr>
        <w:t>urinárnom</w:t>
      </w:r>
      <w:proofErr w:type="spellEnd"/>
      <w:r>
        <w:rPr>
          <w:rFonts w:ascii="Times New Roman" w:hAnsi="Times New Roman"/>
          <w:bCs/>
        </w:rPr>
        <w:t xml:space="preserve"> a biliárnom trakte, môže spôsobiť tvorbu kamienkov. Absorbovateľné vlákno môže prechodne pôsobiť ako cudzie teleso. Musí byť dodržiavaná prijateľná chirurgická prax pri manažmente kontaminovaných alebo infikovaných rán. Pretože </w:t>
      </w:r>
      <w:proofErr w:type="spellStart"/>
      <w:r>
        <w:rPr>
          <w:rFonts w:ascii="Times New Roman" w:hAnsi="Times New Roman"/>
          <w:bCs/>
        </w:rPr>
        <w:t>Vetsuture</w:t>
      </w:r>
      <w:proofErr w:type="spellEnd"/>
      <w:r>
        <w:rPr>
          <w:rFonts w:ascii="Times New Roman" w:hAnsi="Times New Roman"/>
          <w:bCs/>
        </w:rPr>
        <w:t xml:space="preserve"> PGC je absorbovateľné vlákno, môže byť chirurgom zvážené použitie doplnkového neabsorbovateľného vlákna pri uzatváraní miesta, ktoré je rozsiahle a môže vyžadovať dodatočnú podporu. Kožné </w:t>
      </w:r>
      <w:proofErr w:type="spellStart"/>
      <w:r>
        <w:rPr>
          <w:rFonts w:ascii="Times New Roman" w:hAnsi="Times New Roman"/>
          <w:bCs/>
        </w:rPr>
        <w:t>sutúry</w:t>
      </w:r>
      <w:proofErr w:type="spellEnd"/>
      <w:r>
        <w:rPr>
          <w:rFonts w:ascii="Times New Roman" w:hAnsi="Times New Roman"/>
          <w:bCs/>
        </w:rPr>
        <w:t>, ktoré zostanú na mieste viac než 7 dní a môžu spôsobovať lokálne podráždenie, by mali byť odstránené, ak je to indikované.</w:t>
      </w:r>
      <w:r w:rsidRPr="000112ED">
        <w:rPr>
          <w:rFonts w:ascii="Times New Roman" w:hAnsi="Times New Roman"/>
          <w:bCs/>
        </w:rPr>
        <w:t xml:space="preserve"> </w:t>
      </w:r>
      <w:r>
        <w:rPr>
          <w:rFonts w:ascii="Times New Roman" w:hAnsi="Times New Roman"/>
          <w:bCs/>
        </w:rPr>
        <w:t xml:space="preserve">Podkožné </w:t>
      </w:r>
      <w:proofErr w:type="spellStart"/>
      <w:r>
        <w:rPr>
          <w:rFonts w:ascii="Times New Roman" w:hAnsi="Times New Roman"/>
          <w:bCs/>
        </w:rPr>
        <w:t>sutúry</w:t>
      </w:r>
      <w:proofErr w:type="spellEnd"/>
      <w:r>
        <w:rPr>
          <w:rFonts w:ascii="Times New Roman" w:hAnsi="Times New Roman"/>
          <w:bCs/>
        </w:rPr>
        <w:t xml:space="preserve"> majú byť umiestnené tak hlboko ako je to možné, aby sa minimalizoval </w:t>
      </w:r>
      <w:proofErr w:type="spellStart"/>
      <w:r>
        <w:rPr>
          <w:rFonts w:ascii="Times New Roman" w:hAnsi="Times New Roman"/>
          <w:bCs/>
        </w:rPr>
        <w:t>erytém</w:t>
      </w:r>
      <w:proofErr w:type="spellEnd"/>
      <w:r>
        <w:rPr>
          <w:rFonts w:ascii="Times New Roman" w:hAnsi="Times New Roman"/>
          <w:bCs/>
        </w:rPr>
        <w:t xml:space="preserve"> a stvrdnutie, bežne sa vyskytujúce pri procese absorpcie. Za určitých okolností, zvlášť pri ortopedických zákrokoch, môže byť použité znehybnenie kĺbu externou fixáciou na základe rozhodnutia chirurga. Je treba venovať pozornosť pri použití absorbovateľných vláken u tkanív s nedostatočným krvným obehom, pretože môže dôjsť k vytláčaniu </w:t>
      </w:r>
      <w:proofErr w:type="spellStart"/>
      <w:r>
        <w:rPr>
          <w:rFonts w:ascii="Times New Roman" w:hAnsi="Times New Roman"/>
          <w:bCs/>
        </w:rPr>
        <w:t>sutúry</w:t>
      </w:r>
      <w:proofErr w:type="spellEnd"/>
      <w:r>
        <w:rPr>
          <w:rFonts w:ascii="Times New Roman" w:hAnsi="Times New Roman"/>
          <w:bCs/>
        </w:rPr>
        <w:t xml:space="preserve"> a oneskorenej absorpcii </w:t>
      </w:r>
      <w:proofErr w:type="spellStart"/>
      <w:r>
        <w:rPr>
          <w:rFonts w:ascii="Times New Roman" w:hAnsi="Times New Roman"/>
          <w:bCs/>
        </w:rPr>
        <w:t>sutúry</w:t>
      </w:r>
      <w:proofErr w:type="spellEnd"/>
      <w:r>
        <w:rPr>
          <w:rFonts w:ascii="Times New Roman" w:hAnsi="Times New Roman"/>
          <w:bCs/>
        </w:rPr>
        <w:t xml:space="preserve">. Pri manipulácii so šijacími chirurgickými materiálmi je potrebné dbať, aby sa zabránilo poškodeniu pri vlastnej manipulácii. Vyhnite sa pomliaždeniu tkaniva použitím chirurgických nástrojov ako je pinzeta alebo </w:t>
      </w:r>
      <w:proofErr w:type="spellStart"/>
      <w:r>
        <w:rPr>
          <w:rFonts w:ascii="Times New Roman" w:hAnsi="Times New Roman"/>
          <w:bCs/>
        </w:rPr>
        <w:t>ihelec</w:t>
      </w:r>
      <w:proofErr w:type="spellEnd"/>
      <w:r>
        <w:rPr>
          <w:rFonts w:ascii="Times New Roman" w:hAnsi="Times New Roman"/>
          <w:bCs/>
        </w:rPr>
        <w:t>. Ako aj pri iných chirurgických materiáloch, primeraný bezpečnostný uzol vyžaduje správne chirurgické techniky viazania s dodatočnými uzlami, ak je to opodstatnené chirurgickými okolnosťami a skúsenosťou chirurga. Vyvarujte sa poškodeniu pri manipulácii s chirurgickými ihlami. Uchopte ihlu v mieste 1/3 až ½ vzdialenosti od miesta navlečenia nite.</w:t>
      </w:r>
    </w:p>
    <w:p w:rsidR="000424A3" w:rsidRDefault="000424A3" w:rsidP="000424A3">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Nežiaduce účinky</w:t>
      </w:r>
      <w:r>
        <w:rPr>
          <w:rFonts w:ascii="Times New Roman" w:hAnsi="Times New Roman"/>
          <w:bCs/>
        </w:rPr>
        <w:tab/>
        <w:t>:</w:t>
      </w:r>
      <w:r>
        <w:rPr>
          <w:rFonts w:ascii="Times New Roman" w:hAnsi="Times New Roman"/>
          <w:bCs/>
        </w:rPr>
        <w:tab/>
        <w:t xml:space="preserve">Nežiaduce účinky spojené s použitím syntetických absorbovateľných šijacích materiálov zahrňujú možnosť znovuotvorenia rany, zlyhanie poskytnutia adekvátnej podpory rany v mieste uzatvorenia, kde môže dôjsť k expanzii, stiahnutiu alebo dilatácii. Ďalej je to zlyhanie poskytnutia podpory rany u starších, podvyživených a oslabených pacientov a za podmienok predlžujúcich hojenie rany. Infekcia, miestne podráždenie, ak kožné </w:t>
      </w:r>
      <w:proofErr w:type="spellStart"/>
      <w:r>
        <w:rPr>
          <w:rFonts w:ascii="Times New Roman" w:hAnsi="Times New Roman"/>
          <w:bCs/>
        </w:rPr>
        <w:t>sutúry</w:t>
      </w:r>
      <w:proofErr w:type="spellEnd"/>
      <w:r>
        <w:rPr>
          <w:rFonts w:ascii="Times New Roman" w:hAnsi="Times New Roman"/>
          <w:bCs/>
        </w:rPr>
        <w:t xml:space="preserve"> sú ponechané na mieste viac než 7 dní. Vytláčanie </w:t>
      </w:r>
      <w:proofErr w:type="spellStart"/>
      <w:r>
        <w:rPr>
          <w:rFonts w:ascii="Times New Roman" w:hAnsi="Times New Roman"/>
          <w:bCs/>
        </w:rPr>
        <w:t>sutúry</w:t>
      </w:r>
      <w:proofErr w:type="spellEnd"/>
      <w:r>
        <w:rPr>
          <w:rFonts w:ascii="Times New Roman" w:hAnsi="Times New Roman"/>
          <w:bCs/>
        </w:rPr>
        <w:t xml:space="preserve"> a predĺžená absorpcia v tkanivách s nedostatočnou cirkuláciou krvi. Tvorba kamienkov v </w:t>
      </w:r>
      <w:proofErr w:type="spellStart"/>
      <w:r>
        <w:rPr>
          <w:rFonts w:ascii="Times New Roman" w:hAnsi="Times New Roman"/>
          <w:bCs/>
        </w:rPr>
        <w:t>urinárnom</w:t>
      </w:r>
      <w:proofErr w:type="spellEnd"/>
      <w:r>
        <w:rPr>
          <w:rFonts w:ascii="Times New Roman" w:hAnsi="Times New Roman"/>
          <w:bCs/>
        </w:rPr>
        <w:t xml:space="preserve"> a biliárnom trakte pri dlhodobom kontakte so soľnými roztokmi ako moč a žlč. Prechodné podráždenie v mieste rany.</w:t>
      </w:r>
    </w:p>
    <w:p w:rsidR="000424A3" w:rsidRPr="00824560" w:rsidRDefault="000424A3" w:rsidP="000424A3">
      <w:pPr>
        <w:tabs>
          <w:tab w:val="left" w:pos="2835"/>
          <w:tab w:val="left" w:pos="3119"/>
        </w:tabs>
        <w:spacing w:after="0" w:line="240" w:lineRule="auto"/>
        <w:ind w:left="3119" w:hanging="3119"/>
        <w:jc w:val="both"/>
        <w:rPr>
          <w:rFonts w:ascii="Times New Roman" w:hAnsi="Times New Roman"/>
          <w:bCs/>
        </w:rPr>
      </w:pPr>
      <w:r w:rsidRPr="00824560">
        <w:rPr>
          <w:rFonts w:ascii="Times New Roman" w:hAnsi="Times New Roman"/>
          <w:bCs/>
        </w:rPr>
        <w:t>Veľkosť balenia</w:t>
      </w:r>
      <w:r w:rsidRPr="00824560">
        <w:rPr>
          <w:rFonts w:ascii="Times New Roman" w:hAnsi="Times New Roman"/>
          <w:bCs/>
        </w:rPr>
        <w:tab/>
        <w:t>:</w:t>
      </w:r>
      <w:r w:rsidRPr="00824560">
        <w:rPr>
          <w:rFonts w:ascii="Times New Roman" w:hAnsi="Times New Roman"/>
          <w:bCs/>
        </w:rPr>
        <w:tab/>
      </w:r>
      <w:r>
        <w:rPr>
          <w:rFonts w:ascii="Times New Roman" w:hAnsi="Times New Roman"/>
          <w:bCs/>
        </w:rPr>
        <w:t>PCG s ihlou s rozmerom 1(USP 5/0) do 4(1) – 12 kusov</w:t>
      </w:r>
      <w:r w:rsidRPr="00824560">
        <w:rPr>
          <w:rFonts w:ascii="Times New Roman" w:hAnsi="Times New Roman"/>
          <w:bCs/>
        </w:rPr>
        <w:t>.</w:t>
      </w:r>
    </w:p>
    <w:p w:rsidR="000424A3" w:rsidRPr="004048E5" w:rsidRDefault="000424A3" w:rsidP="000424A3">
      <w:pPr>
        <w:pStyle w:val="Zkladntext2"/>
        <w:tabs>
          <w:tab w:val="left" w:pos="2835"/>
          <w:tab w:val="left" w:pos="3119"/>
        </w:tabs>
        <w:ind w:left="3119" w:hanging="3119"/>
        <w:jc w:val="both"/>
        <w:rPr>
          <w:bCs/>
          <w:szCs w:val="22"/>
          <w:lang w:eastAsia="sk-SK"/>
        </w:rPr>
      </w:pPr>
      <w:r w:rsidRPr="004048E5">
        <w:rPr>
          <w:bCs/>
          <w:szCs w:val="22"/>
          <w:lang w:eastAsia="sk-SK"/>
        </w:rPr>
        <w:t>Spôsob uchovávania</w:t>
      </w:r>
      <w:r w:rsidRPr="004048E5">
        <w:rPr>
          <w:bCs/>
          <w:szCs w:val="22"/>
          <w:lang w:eastAsia="sk-SK"/>
        </w:rPr>
        <w:tab/>
        <w:t>:</w:t>
      </w:r>
      <w:r w:rsidRPr="004048E5">
        <w:rPr>
          <w:bCs/>
          <w:szCs w:val="22"/>
          <w:lang w:eastAsia="sk-SK"/>
        </w:rPr>
        <w:tab/>
        <w:t>Teplota pod 25°C, mimo vlhkosti a priameho tepla. Uchovávať mimo dohľadu a dosahu detí.</w:t>
      </w:r>
    </w:p>
    <w:p w:rsidR="000424A3" w:rsidRPr="004048E5" w:rsidRDefault="000424A3" w:rsidP="000424A3">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bCs/>
        </w:rPr>
        <w:t>Čas použiteľnosti</w:t>
      </w:r>
      <w:r w:rsidRPr="004048E5">
        <w:rPr>
          <w:rFonts w:ascii="Times New Roman" w:hAnsi="Times New Roman"/>
          <w:bCs/>
        </w:rPr>
        <w:tab/>
        <w:t>:</w:t>
      </w:r>
      <w:r w:rsidRPr="004048E5">
        <w:rPr>
          <w:rFonts w:ascii="Times New Roman" w:hAnsi="Times New Roman"/>
          <w:bCs/>
        </w:rPr>
        <w:tab/>
        <w:t>Spotrebovať do dátumu uvedenom na obale. Nepoužívať po uplynutí exspiračnej doby.</w:t>
      </w:r>
    </w:p>
    <w:p w:rsidR="000424A3" w:rsidRPr="004048E5" w:rsidRDefault="000424A3" w:rsidP="000424A3">
      <w:pPr>
        <w:tabs>
          <w:tab w:val="left" w:pos="2835"/>
          <w:tab w:val="left" w:pos="3119"/>
        </w:tabs>
        <w:spacing w:after="0" w:line="240" w:lineRule="auto"/>
        <w:ind w:left="3119" w:hanging="3119"/>
        <w:rPr>
          <w:rFonts w:ascii="Times New Roman" w:hAnsi="Times New Roman"/>
          <w:bCs/>
        </w:rPr>
      </w:pPr>
      <w:r w:rsidRPr="004048E5">
        <w:rPr>
          <w:rFonts w:ascii="Times New Roman" w:hAnsi="Times New Roman"/>
          <w:bCs/>
        </w:rPr>
        <w:t>Označenie</w:t>
      </w:r>
      <w:r w:rsidRPr="004048E5">
        <w:rPr>
          <w:rFonts w:ascii="Times New Roman" w:hAnsi="Times New Roman"/>
          <w:bCs/>
        </w:rPr>
        <w:tab/>
        <w:t>:</w:t>
      </w:r>
      <w:r w:rsidRPr="004048E5">
        <w:rPr>
          <w:rFonts w:ascii="Times New Roman" w:hAnsi="Times New Roman"/>
          <w:bCs/>
        </w:rPr>
        <w:tab/>
        <w:t>Len pre zvieratá.</w:t>
      </w:r>
    </w:p>
    <w:p w:rsidR="000424A3" w:rsidRPr="004048E5" w:rsidRDefault="000424A3" w:rsidP="000424A3">
      <w:pPr>
        <w:tabs>
          <w:tab w:val="left" w:pos="2835"/>
          <w:tab w:val="left" w:pos="3119"/>
        </w:tabs>
        <w:spacing w:after="0" w:line="240" w:lineRule="auto"/>
        <w:ind w:left="3119" w:hanging="3119"/>
        <w:rPr>
          <w:rFonts w:ascii="Times New Roman" w:hAnsi="Times New Roman"/>
          <w:bCs/>
        </w:rPr>
      </w:pP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Použité symboly:</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MFG</w:t>
      </w:r>
      <w:r>
        <w:rPr>
          <w:rFonts w:ascii="Times New Roman" w:hAnsi="Times New Roman"/>
          <w:bCs/>
        </w:rPr>
        <w:tab/>
        <w:t>Vyrobené mesiac &amp; rok</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EXP</w:t>
      </w:r>
      <w:r>
        <w:rPr>
          <w:rFonts w:ascii="Times New Roman" w:hAnsi="Times New Roman"/>
          <w:bCs/>
        </w:rPr>
        <w:tab/>
        <w:t>Spotrebovať do mesiac &amp; rok</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LOT</w:t>
      </w:r>
      <w:r>
        <w:rPr>
          <w:rFonts w:ascii="Times New Roman" w:hAnsi="Times New Roman"/>
          <w:bCs/>
        </w:rPr>
        <w:tab/>
        <w:t>Číslo šarže</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VET USE ONLY</w:t>
      </w:r>
      <w:r>
        <w:rPr>
          <w:rFonts w:ascii="Times New Roman" w:hAnsi="Times New Roman"/>
          <w:bCs/>
        </w:rPr>
        <w:tab/>
        <w:t>Len na veterinárne použitie</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Piktogram</w:t>
      </w:r>
      <w:r>
        <w:rPr>
          <w:rFonts w:ascii="Times New Roman" w:hAnsi="Times New Roman"/>
          <w:bCs/>
        </w:rPr>
        <w:tab/>
        <w:t>Nepoužívať znovu</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Piktogram</w:t>
      </w:r>
      <w:r>
        <w:rPr>
          <w:rFonts w:ascii="Times New Roman" w:hAnsi="Times New Roman"/>
          <w:bCs/>
        </w:rPr>
        <w:tab/>
        <w:t>Prečítať návod na použitie</w:t>
      </w:r>
    </w:p>
    <w:p w:rsidR="000424A3"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STERILE EO</w:t>
      </w:r>
      <w:r>
        <w:rPr>
          <w:rFonts w:ascii="Times New Roman" w:hAnsi="Times New Roman"/>
          <w:bCs/>
        </w:rPr>
        <w:tab/>
        <w:t>Sterilné, ak obal nie je poškodený alebo otvorený.</w:t>
      </w:r>
    </w:p>
    <w:p w:rsidR="000424A3" w:rsidRPr="00824560" w:rsidRDefault="000424A3" w:rsidP="000424A3">
      <w:pPr>
        <w:tabs>
          <w:tab w:val="left" w:pos="2835"/>
          <w:tab w:val="left" w:pos="3119"/>
        </w:tabs>
        <w:spacing w:after="0" w:line="240" w:lineRule="auto"/>
        <w:ind w:left="3119" w:hanging="3119"/>
        <w:rPr>
          <w:rFonts w:ascii="Times New Roman" w:hAnsi="Times New Roman"/>
          <w:bCs/>
        </w:rPr>
      </w:pPr>
      <w:r>
        <w:rPr>
          <w:rFonts w:ascii="Times New Roman" w:hAnsi="Times New Roman"/>
          <w:bCs/>
        </w:rPr>
        <w:tab/>
        <w:t xml:space="preserve">Metóda sterilizácie: </w:t>
      </w:r>
      <w:proofErr w:type="spellStart"/>
      <w:r>
        <w:rPr>
          <w:rFonts w:ascii="Times New Roman" w:hAnsi="Times New Roman"/>
          <w:bCs/>
        </w:rPr>
        <w:t>Ethylen</w:t>
      </w:r>
      <w:proofErr w:type="spellEnd"/>
      <w:r>
        <w:rPr>
          <w:rFonts w:ascii="Times New Roman" w:hAnsi="Times New Roman"/>
          <w:bCs/>
        </w:rPr>
        <w:t xml:space="preserve"> oxid</w:t>
      </w:r>
    </w:p>
    <w:p w:rsidR="000424A3" w:rsidRPr="004048E5" w:rsidRDefault="000424A3" w:rsidP="000424A3">
      <w:pPr>
        <w:spacing w:after="0" w:line="240" w:lineRule="auto"/>
        <w:rPr>
          <w:rFonts w:ascii="Times New Roman" w:hAnsi="Times New Roman"/>
        </w:rPr>
      </w:pPr>
    </w:p>
    <w:p w:rsidR="000424A3" w:rsidRPr="004048E5" w:rsidRDefault="000424A3" w:rsidP="000424A3">
      <w:pPr>
        <w:spacing w:after="0" w:line="240" w:lineRule="auto"/>
        <w:rPr>
          <w:rFonts w:ascii="Times New Roman" w:hAnsi="Times New Roman"/>
        </w:rPr>
      </w:pPr>
    </w:p>
    <w:p w:rsidR="000424A3" w:rsidRPr="00D107D3" w:rsidRDefault="000424A3" w:rsidP="000424A3">
      <w:pPr>
        <w:spacing w:after="0" w:line="240" w:lineRule="auto"/>
        <w:rPr>
          <w:rFonts w:ascii="Times New Roman" w:hAnsi="Times New Roman"/>
        </w:rPr>
      </w:pPr>
      <w:r w:rsidRPr="004048E5">
        <w:rPr>
          <w:rFonts w:ascii="Times New Roman" w:hAnsi="Times New Roman"/>
        </w:rPr>
        <w:t>Číslo schválenia: 07</w:t>
      </w:r>
      <w:r>
        <w:rPr>
          <w:rFonts w:ascii="Times New Roman" w:hAnsi="Times New Roman"/>
        </w:rPr>
        <w:t>9</w:t>
      </w:r>
      <w:r w:rsidRPr="004048E5">
        <w:rPr>
          <w:rFonts w:ascii="Times New Roman" w:hAnsi="Times New Roman"/>
        </w:rPr>
        <w:t>/VZP/12-S</w:t>
      </w:r>
    </w:p>
    <w:p w:rsidR="00D02BC8" w:rsidRDefault="000424A3"/>
    <w:sectPr w:rsidR="00D02BC8" w:rsidSect="002E717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A3" w:rsidRDefault="000424A3" w:rsidP="000424A3">
      <w:pPr>
        <w:spacing w:after="0" w:line="240" w:lineRule="auto"/>
      </w:pPr>
      <w:r>
        <w:separator/>
      </w:r>
    </w:p>
  </w:endnote>
  <w:endnote w:type="continuationSeparator" w:id="0">
    <w:p w:rsidR="000424A3" w:rsidRDefault="000424A3" w:rsidP="0004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E6" w:rsidRPr="00EE39E6" w:rsidRDefault="000424A3" w:rsidP="00EE39E6">
    <w:pPr>
      <w:pStyle w:val="Pta"/>
      <w:rPr>
        <w:i/>
        <w:sz w:val="18"/>
        <w:szCs w:val="18"/>
        <w:lang w:val="sk-SK"/>
      </w:rPr>
    </w:pPr>
    <w:r w:rsidRPr="00EE39E6">
      <w:rPr>
        <w:i/>
        <w:sz w:val="18"/>
        <w:szCs w:val="18"/>
        <w:lang w:val="sk-SK"/>
      </w:rPr>
      <w:t>Rozhodnutie o zmene schválenia</w:t>
    </w:r>
    <w:r>
      <w:rPr>
        <w:i/>
        <w:sz w:val="18"/>
        <w:szCs w:val="18"/>
        <w:lang w:val="sk-SK"/>
      </w:rPr>
      <w:t xml:space="preserve"> veterinárneho prípravku</w:t>
    </w:r>
    <w:r w:rsidRPr="00EE39E6">
      <w:rPr>
        <w:i/>
        <w:sz w:val="18"/>
        <w:szCs w:val="18"/>
        <w:lang w:val="sk-SK"/>
      </w:rPr>
      <w:t xml:space="preserve"> – pod. č. </w:t>
    </w:r>
    <w:r>
      <w:rPr>
        <w:i/>
        <w:sz w:val="18"/>
        <w:szCs w:val="18"/>
        <w:lang w:val="sk-SK"/>
      </w:rPr>
      <w:t>307</w:t>
    </w:r>
    <w:r>
      <w:rPr>
        <w:i/>
        <w:sz w:val="18"/>
        <w:szCs w:val="18"/>
        <w:lang w:val="sk-SK"/>
      </w:rPr>
      <w:t>6</w:t>
    </w:r>
    <w:r w:rsidRPr="00EE39E6">
      <w:rPr>
        <w:i/>
        <w:sz w:val="18"/>
        <w:szCs w:val="18"/>
        <w:lang w:val="sk-SK"/>
      </w:rPr>
      <w:t>/1</w:t>
    </w:r>
    <w:r>
      <w:rPr>
        <w:i/>
        <w:sz w:val="18"/>
        <w:szCs w:val="18"/>
        <w:lang w:val="sk-SK"/>
      </w:rPr>
      <w:t>7</w:t>
    </w:r>
  </w:p>
  <w:p w:rsidR="00EE39E6" w:rsidRPr="00EE39E6" w:rsidRDefault="000424A3" w:rsidP="00EE39E6">
    <w:pPr>
      <w:pStyle w:val="Pta"/>
      <w:jc w:val="right"/>
      <w:rPr>
        <w:sz w:val="18"/>
        <w:szCs w:val="18"/>
        <w:lang w:val="sk-SK"/>
      </w:rPr>
    </w:pPr>
    <w:r w:rsidRPr="00EE39E6">
      <w:rPr>
        <w:sz w:val="18"/>
        <w:szCs w:val="18"/>
        <w:lang w:val="sk-SK"/>
      </w:rPr>
      <w:t xml:space="preserve">Strana </w:t>
    </w:r>
    <w:r w:rsidRPr="00EE39E6">
      <w:rPr>
        <w:sz w:val="18"/>
        <w:szCs w:val="18"/>
        <w:lang w:val="sk-SK"/>
      </w:rPr>
      <w:fldChar w:fldCharType="begin"/>
    </w:r>
    <w:r w:rsidRPr="00EE39E6">
      <w:rPr>
        <w:sz w:val="18"/>
        <w:szCs w:val="18"/>
        <w:lang w:val="sk-SK"/>
      </w:rPr>
      <w:instrText xml:space="preserve">PAGE  \* Arabic  \* </w:instrText>
    </w:r>
    <w:r w:rsidRPr="00EE39E6">
      <w:rPr>
        <w:sz w:val="18"/>
        <w:szCs w:val="18"/>
        <w:lang w:val="sk-SK"/>
      </w:rPr>
      <w:instrText>MERGEFORMAT</w:instrText>
    </w:r>
    <w:r w:rsidRPr="00EE39E6">
      <w:rPr>
        <w:sz w:val="18"/>
        <w:szCs w:val="18"/>
        <w:lang w:val="sk-SK"/>
      </w:rPr>
      <w:fldChar w:fldCharType="separate"/>
    </w:r>
    <w:r>
      <w:rPr>
        <w:noProof/>
        <w:sz w:val="18"/>
        <w:szCs w:val="18"/>
        <w:lang w:val="sk-SK"/>
      </w:rPr>
      <w:t>2</w:t>
    </w:r>
    <w:r w:rsidRPr="00EE39E6">
      <w:rPr>
        <w:sz w:val="18"/>
        <w:szCs w:val="18"/>
        <w:lang w:val="sk-SK"/>
      </w:rPr>
      <w:fldChar w:fldCharType="end"/>
    </w:r>
    <w:r w:rsidRPr="00EE39E6">
      <w:rPr>
        <w:sz w:val="18"/>
        <w:szCs w:val="18"/>
        <w:lang w:val="sk-SK"/>
      </w:rPr>
      <w:t xml:space="preserve"> z </w:t>
    </w:r>
    <w:r w:rsidRPr="00EE39E6">
      <w:rPr>
        <w:sz w:val="18"/>
        <w:szCs w:val="18"/>
        <w:lang w:val="sk-SK"/>
      </w:rPr>
      <w:fldChar w:fldCharType="begin"/>
    </w:r>
    <w:r w:rsidRPr="00EE39E6">
      <w:rPr>
        <w:sz w:val="18"/>
        <w:szCs w:val="18"/>
        <w:lang w:val="sk-SK"/>
      </w:rPr>
      <w:instrText>NUMPAGES  \* Arabic  \* MERGEFORMAT</w:instrText>
    </w:r>
    <w:r w:rsidRPr="00EE39E6">
      <w:rPr>
        <w:sz w:val="18"/>
        <w:szCs w:val="18"/>
        <w:lang w:val="sk-SK"/>
      </w:rPr>
      <w:fldChar w:fldCharType="separate"/>
    </w:r>
    <w:r>
      <w:rPr>
        <w:noProof/>
        <w:sz w:val="18"/>
        <w:szCs w:val="18"/>
        <w:lang w:val="sk-SK"/>
      </w:rPr>
      <w:t>2</w:t>
    </w:r>
    <w:r w:rsidRPr="00EE39E6">
      <w:rPr>
        <w:sz w:val="18"/>
        <w:szCs w:val="18"/>
        <w:lang w:val="sk-SK"/>
      </w:rPr>
      <w:fldChar w:fldCharType="end"/>
    </w:r>
  </w:p>
  <w:p w:rsidR="00EE39E6" w:rsidRDefault="000424A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A3" w:rsidRDefault="000424A3" w:rsidP="000424A3">
      <w:pPr>
        <w:spacing w:after="0" w:line="240" w:lineRule="auto"/>
      </w:pPr>
      <w:r>
        <w:separator/>
      </w:r>
    </w:p>
  </w:footnote>
  <w:footnote w:type="continuationSeparator" w:id="0">
    <w:p w:rsidR="000424A3" w:rsidRDefault="000424A3" w:rsidP="00042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471" w:rsidRPr="002E717C" w:rsidRDefault="000424A3" w:rsidP="002E717C">
    <w:pPr>
      <w:pStyle w:val="Zkladntext"/>
      <w:spacing w:after="0"/>
      <w:ind w:left="-540" w:right="-540"/>
      <w:jc w:val="both"/>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BD"/>
    <w:rsid w:val="000424A3"/>
    <w:rsid w:val="002745BD"/>
    <w:rsid w:val="004A60CF"/>
    <w:rsid w:val="008E135B"/>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24A3"/>
    <w:rPr>
      <w:rFonts w:ascii="Calibri" w:eastAsia="Calibri" w:hAnsi="Calibri" w:cs="Times New Roman"/>
    </w:rPr>
  </w:style>
  <w:style w:type="paragraph" w:styleId="Nadpis1">
    <w:name w:val="heading 1"/>
    <w:basedOn w:val="Normlny"/>
    <w:next w:val="Normlny"/>
    <w:link w:val="Nadpis1Char"/>
    <w:qFormat/>
    <w:rsid w:val="000424A3"/>
    <w:pPr>
      <w:keepNext/>
      <w:tabs>
        <w:tab w:val="left" w:pos="851"/>
      </w:tabs>
      <w:spacing w:before="120" w:after="0" w:line="240" w:lineRule="atLeast"/>
      <w:outlineLvl w:val="0"/>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24A3"/>
    <w:rPr>
      <w:rFonts w:ascii="Times New Roman" w:eastAsia="Times New Roman" w:hAnsi="Times New Roman" w:cs="Times New Roman"/>
      <w:sz w:val="24"/>
      <w:szCs w:val="20"/>
      <w:lang w:eastAsia="cs-CZ"/>
    </w:rPr>
  </w:style>
  <w:style w:type="paragraph" w:styleId="Zkladntext">
    <w:name w:val="Body Text"/>
    <w:basedOn w:val="Normlny"/>
    <w:link w:val="ZkladntextChar"/>
    <w:rsid w:val="000424A3"/>
    <w:pPr>
      <w:spacing w:after="120" w:line="240" w:lineRule="auto"/>
    </w:pPr>
    <w:rPr>
      <w:rFonts w:ascii="Times New Roman" w:eastAsia="Times New Roman" w:hAnsi="Times New Roman"/>
      <w:sz w:val="20"/>
      <w:szCs w:val="20"/>
      <w:lang w:eastAsia="cs-CZ"/>
    </w:rPr>
  </w:style>
  <w:style w:type="character" w:customStyle="1" w:styleId="ZkladntextChar">
    <w:name w:val="Základný text Char"/>
    <w:basedOn w:val="Predvolenpsmoodseku"/>
    <w:link w:val="Zkladntext"/>
    <w:rsid w:val="000424A3"/>
    <w:rPr>
      <w:rFonts w:ascii="Times New Roman" w:eastAsia="Times New Roman" w:hAnsi="Times New Roman" w:cs="Times New Roman"/>
      <w:sz w:val="20"/>
      <w:szCs w:val="20"/>
      <w:lang w:eastAsia="cs-CZ"/>
    </w:rPr>
  </w:style>
  <w:style w:type="character" w:styleId="Hypertextovprepojenie">
    <w:name w:val="Hyperlink"/>
    <w:rsid w:val="000424A3"/>
    <w:rPr>
      <w:color w:val="0000FF"/>
      <w:u w:val="single"/>
    </w:rPr>
  </w:style>
  <w:style w:type="paragraph" w:styleId="Zkladntext2">
    <w:name w:val="Body Text 2"/>
    <w:basedOn w:val="Normlny"/>
    <w:link w:val="Zkladntext2Char"/>
    <w:rsid w:val="000424A3"/>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rsid w:val="000424A3"/>
    <w:rPr>
      <w:rFonts w:ascii="Times New Roman" w:eastAsia="Times New Roman" w:hAnsi="Times New Roman" w:cs="Times New Roman"/>
      <w:szCs w:val="24"/>
      <w:lang w:eastAsia="cs-CZ"/>
    </w:rPr>
  </w:style>
  <w:style w:type="paragraph" w:styleId="Pta">
    <w:name w:val="footer"/>
    <w:basedOn w:val="Normlny"/>
    <w:link w:val="PtaChar"/>
    <w:rsid w:val="000424A3"/>
    <w:pPr>
      <w:tabs>
        <w:tab w:val="center" w:pos="4536"/>
        <w:tab w:val="right" w:pos="9072"/>
      </w:tabs>
      <w:spacing w:after="0" w:line="240" w:lineRule="auto"/>
    </w:pPr>
    <w:rPr>
      <w:rFonts w:ascii="Times New Roman" w:eastAsia="Times New Roman" w:hAnsi="Times New Roman"/>
      <w:sz w:val="24"/>
      <w:szCs w:val="24"/>
      <w:lang w:val="cs-CZ" w:eastAsia="cs-CZ"/>
    </w:rPr>
  </w:style>
  <w:style w:type="character" w:customStyle="1" w:styleId="PtaChar">
    <w:name w:val="Päta Char"/>
    <w:basedOn w:val="Predvolenpsmoodseku"/>
    <w:link w:val="Pta"/>
    <w:rsid w:val="000424A3"/>
    <w:rPr>
      <w:rFonts w:ascii="Times New Roman" w:eastAsia="Times New Roman" w:hAnsi="Times New Roman" w:cs="Times New Roman"/>
      <w:sz w:val="24"/>
      <w:szCs w:val="24"/>
      <w:lang w:val="cs-CZ" w:eastAsia="cs-CZ"/>
    </w:rPr>
  </w:style>
  <w:style w:type="paragraph" w:styleId="Hlavika">
    <w:name w:val="header"/>
    <w:basedOn w:val="Normlny"/>
    <w:link w:val="HlavikaChar"/>
    <w:uiPriority w:val="99"/>
    <w:unhideWhenUsed/>
    <w:rsid w:val="000424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424A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24A3"/>
    <w:rPr>
      <w:rFonts w:ascii="Calibri" w:eastAsia="Calibri" w:hAnsi="Calibri" w:cs="Times New Roman"/>
    </w:rPr>
  </w:style>
  <w:style w:type="paragraph" w:styleId="Nadpis1">
    <w:name w:val="heading 1"/>
    <w:basedOn w:val="Normlny"/>
    <w:next w:val="Normlny"/>
    <w:link w:val="Nadpis1Char"/>
    <w:qFormat/>
    <w:rsid w:val="000424A3"/>
    <w:pPr>
      <w:keepNext/>
      <w:tabs>
        <w:tab w:val="left" w:pos="851"/>
      </w:tabs>
      <w:spacing w:before="120" w:after="0" w:line="240" w:lineRule="atLeast"/>
      <w:outlineLvl w:val="0"/>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24A3"/>
    <w:rPr>
      <w:rFonts w:ascii="Times New Roman" w:eastAsia="Times New Roman" w:hAnsi="Times New Roman" w:cs="Times New Roman"/>
      <w:sz w:val="24"/>
      <w:szCs w:val="20"/>
      <w:lang w:eastAsia="cs-CZ"/>
    </w:rPr>
  </w:style>
  <w:style w:type="paragraph" w:styleId="Zkladntext">
    <w:name w:val="Body Text"/>
    <w:basedOn w:val="Normlny"/>
    <w:link w:val="ZkladntextChar"/>
    <w:rsid w:val="000424A3"/>
    <w:pPr>
      <w:spacing w:after="120" w:line="240" w:lineRule="auto"/>
    </w:pPr>
    <w:rPr>
      <w:rFonts w:ascii="Times New Roman" w:eastAsia="Times New Roman" w:hAnsi="Times New Roman"/>
      <w:sz w:val="20"/>
      <w:szCs w:val="20"/>
      <w:lang w:eastAsia="cs-CZ"/>
    </w:rPr>
  </w:style>
  <w:style w:type="character" w:customStyle="1" w:styleId="ZkladntextChar">
    <w:name w:val="Základný text Char"/>
    <w:basedOn w:val="Predvolenpsmoodseku"/>
    <w:link w:val="Zkladntext"/>
    <w:rsid w:val="000424A3"/>
    <w:rPr>
      <w:rFonts w:ascii="Times New Roman" w:eastAsia="Times New Roman" w:hAnsi="Times New Roman" w:cs="Times New Roman"/>
      <w:sz w:val="20"/>
      <w:szCs w:val="20"/>
      <w:lang w:eastAsia="cs-CZ"/>
    </w:rPr>
  </w:style>
  <w:style w:type="character" w:styleId="Hypertextovprepojenie">
    <w:name w:val="Hyperlink"/>
    <w:rsid w:val="000424A3"/>
    <w:rPr>
      <w:color w:val="0000FF"/>
      <w:u w:val="single"/>
    </w:rPr>
  </w:style>
  <w:style w:type="paragraph" w:styleId="Zkladntext2">
    <w:name w:val="Body Text 2"/>
    <w:basedOn w:val="Normlny"/>
    <w:link w:val="Zkladntext2Char"/>
    <w:rsid w:val="000424A3"/>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rsid w:val="000424A3"/>
    <w:rPr>
      <w:rFonts w:ascii="Times New Roman" w:eastAsia="Times New Roman" w:hAnsi="Times New Roman" w:cs="Times New Roman"/>
      <w:szCs w:val="24"/>
      <w:lang w:eastAsia="cs-CZ"/>
    </w:rPr>
  </w:style>
  <w:style w:type="paragraph" w:styleId="Pta">
    <w:name w:val="footer"/>
    <w:basedOn w:val="Normlny"/>
    <w:link w:val="PtaChar"/>
    <w:rsid w:val="000424A3"/>
    <w:pPr>
      <w:tabs>
        <w:tab w:val="center" w:pos="4536"/>
        <w:tab w:val="right" w:pos="9072"/>
      </w:tabs>
      <w:spacing w:after="0" w:line="240" w:lineRule="auto"/>
    </w:pPr>
    <w:rPr>
      <w:rFonts w:ascii="Times New Roman" w:eastAsia="Times New Roman" w:hAnsi="Times New Roman"/>
      <w:sz w:val="24"/>
      <w:szCs w:val="24"/>
      <w:lang w:val="cs-CZ" w:eastAsia="cs-CZ"/>
    </w:rPr>
  </w:style>
  <w:style w:type="character" w:customStyle="1" w:styleId="PtaChar">
    <w:name w:val="Päta Char"/>
    <w:basedOn w:val="Predvolenpsmoodseku"/>
    <w:link w:val="Pta"/>
    <w:rsid w:val="000424A3"/>
    <w:rPr>
      <w:rFonts w:ascii="Times New Roman" w:eastAsia="Times New Roman" w:hAnsi="Times New Roman" w:cs="Times New Roman"/>
      <w:sz w:val="24"/>
      <w:szCs w:val="24"/>
      <w:lang w:val="cs-CZ" w:eastAsia="cs-CZ"/>
    </w:rPr>
  </w:style>
  <w:style w:type="paragraph" w:styleId="Hlavika">
    <w:name w:val="header"/>
    <w:basedOn w:val="Normlny"/>
    <w:link w:val="HlavikaChar"/>
    <w:uiPriority w:val="99"/>
    <w:unhideWhenUsed/>
    <w:rsid w:val="000424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424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4593</Characters>
  <Application>Microsoft Office Word</Application>
  <DocSecurity>0</DocSecurity>
  <Lines>38</Lines>
  <Paragraphs>10</Paragraphs>
  <ScaleCrop>false</ScaleCrop>
  <Company>ATC</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2020-07-24T08:40:00Z</dcterms:created>
  <dcterms:modified xsi:type="dcterms:W3CDTF">2020-07-24T08:40:00Z</dcterms:modified>
</cp:coreProperties>
</file>