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3E7" w:rsidRPr="00B92EC8" w:rsidRDefault="00DB13E7" w:rsidP="00DB13E7">
      <w:pPr>
        <w:tabs>
          <w:tab w:val="left" w:pos="851"/>
        </w:tabs>
        <w:spacing w:after="0" w:line="240" w:lineRule="auto"/>
        <w:rPr>
          <w:rFonts w:ascii="Times New Roman" w:hAnsi="Times New Roman"/>
          <w:b/>
          <w:bCs/>
          <w:sz w:val="18"/>
          <w:szCs w:val="18"/>
        </w:rPr>
      </w:pPr>
      <w:r w:rsidRPr="00B92EC8">
        <w:rPr>
          <w:rFonts w:ascii="Times New Roman" w:hAnsi="Times New Roman"/>
          <w:sz w:val="18"/>
          <w:szCs w:val="18"/>
        </w:rPr>
        <w:t xml:space="preserve">Príloha č. </w:t>
      </w:r>
      <w:r>
        <w:rPr>
          <w:rFonts w:ascii="Times New Roman" w:hAnsi="Times New Roman"/>
          <w:sz w:val="18"/>
          <w:szCs w:val="18"/>
        </w:rPr>
        <w:t>2</w:t>
      </w:r>
      <w:r w:rsidRPr="00B92EC8">
        <w:rPr>
          <w:rFonts w:ascii="Times New Roman" w:hAnsi="Times New Roman"/>
          <w:sz w:val="18"/>
          <w:szCs w:val="18"/>
        </w:rPr>
        <w:t xml:space="preserve"> k Rozhodnutiu  č.:</w:t>
      </w:r>
      <w:r w:rsidRPr="00B92EC8">
        <w:rPr>
          <w:rFonts w:ascii="Times New Roman" w:hAnsi="Times New Roman"/>
          <w:bCs/>
          <w:sz w:val="18"/>
          <w:szCs w:val="18"/>
        </w:rPr>
        <w:t xml:space="preserve"> </w:t>
      </w:r>
      <w:r>
        <w:rPr>
          <w:rFonts w:ascii="Times New Roman" w:hAnsi="Times New Roman"/>
          <w:b/>
          <w:bCs/>
          <w:sz w:val="18"/>
          <w:szCs w:val="18"/>
        </w:rPr>
        <w:t>080</w:t>
      </w:r>
      <w:r w:rsidRPr="00986846">
        <w:rPr>
          <w:rFonts w:ascii="Times New Roman" w:hAnsi="Times New Roman"/>
          <w:b/>
          <w:bCs/>
          <w:sz w:val="18"/>
          <w:szCs w:val="18"/>
        </w:rPr>
        <w:t>/</w:t>
      </w:r>
      <w:r>
        <w:rPr>
          <w:rFonts w:ascii="Times New Roman" w:hAnsi="Times New Roman"/>
          <w:b/>
          <w:bCs/>
          <w:sz w:val="18"/>
          <w:szCs w:val="18"/>
        </w:rPr>
        <w:t>VZP</w:t>
      </w:r>
      <w:r w:rsidRPr="00986846">
        <w:rPr>
          <w:rFonts w:ascii="Times New Roman" w:hAnsi="Times New Roman"/>
          <w:b/>
          <w:bCs/>
          <w:sz w:val="18"/>
          <w:szCs w:val="18"/>
        </w:rPr>
        <w:t>/</w:t>
      </w:r>
      <w:r>
        <w:rPr>
          <w:rFonts w:ascii="Times New Roman" w:hAnsi="Times New Roman"/>
          <w:b/>
          <w:bCs/>
          <w:sz w:val="18"/>
          <w:szCs w:val="18"/>
        </w:rPr>
        <w:t>1</w:t>
      </w:r>
      <w:r w:rsidRPr="00986846">
        <w:rPr>
          <w:rFonts w:ascii="Times New Roman" w:hAnsi="Times New Roman"/>
          <w:b/>
          <w:bCs/>
          <w:sz w:val="18"/>
          <w:szCs w:val="18"/>
        </w:rPr>
        <w:t>2-S</w:t>
      </w:r>
    </w:p>
    <w:p w:rsidR="00DB13E7" w:rsidRPr="004048E5" w:rsidRDefault="00DB13E7" w:rsidP="00DB13E7">
      <w:pPr>
        <w:tabs>
          <w:tab w:val="left" w:pos="851"/>
        </w:tabs>
        <w:spacing w:after="0" w:line="240" w:lineRule="auto"/>
        <w:rPr>
          <w:rFonts w:ascii="Times New Roman" w:hAnsi="Times New Roman"/>
        </w:rPr>
      </w:pPr>
      <w:bookmarkStart w:id="0" w:name="_GoBack"/>
      <w:bookmarkEnd w:id="0"/>
    </w:p>
    <w:p w:rsidR="00DB13E7" w:rsidRPr="004048E5" w:rsidRDefault="00DB13E7" w:rsidP="00DB13E7">
      <w:pPr>
        <w:spacing w:after="0" w:line="240" w:lineRule="auto"/>
        <w:jc w:val="center"/>
        <w:rPr>
          <w:rFonts w:ascii="Times New Roman" w:hAnsi="Times New Roman"/>
          <w:b/>
        </w:rPr>
      </w:pPr>
      <w:r w:rsidRPr="004048E5">
        <w:rPr>
          <w:rFonts w:ascii="Times New Roman" w:hAnsi="Times New Roman"/>
          <w:b/>
        </w:rPr>
        <w:t>NÁVOD NA POUŽITIE</w:t>
      </w:r>
    </w:p>
    <w:p w:rsidR="00DB13E7" w:rsidRPr="004048E5" w:rsidRDefault="00DB13E7" w:rsidP="00DB13E7">
      <w:pPr>
        <w:spacing w:after="0" w:line="240" w:lineRule="auto"/>
        <w:jc w:val="center"/>
        <w:rPr>
          <w:rFonts w:ascii="Times New Roman" w:hAnsi="Times New Roman"/>
          <w:b/>
        </w:rPr>
      </w:pPr>
    </w:p>
    <w:p w:rsidR="00DB13E7" w:rsidRPr="004048E5" w:rsidRDefault="00DB13E7" w:rsidP="00DB13E7">
      <w:pPr>
        <w:tabs>
          <w:tab w:val="left" w:pos="2835"/>
          <w:tab w:val="left" w:pos="3119"/>
        </w:tabs>
        <w:spacing w:after="0" w:line="240" w:lineRule="auto"/>
        <w:ind w:left="2160" w:hanging="2160"/>
        <w:jc w:val="both"/>
        <w:rPr>
          <w:rFonts w:ascii="Times New Roman" w:hAnsi="Times New Roman"/>
          <w:b/>
          <w:bCs/>
        </w:rPr>
      </w:pPr>
      <w:r w:rsidRPr="004048E5">
        <w:rPr>
          <w:rFonts w:ascii="Times New Roman" w:hAnsi="Times New Roman"/>
        </w:rPr>
        <w:t xml:space="preserve">Názov </w:t>
      </w:r>
      <w:proofErr w:type="spellStart"/>
      <w:r w:rsidRPr="004048E5">
        <w:rPr>
          <w:rFonts w:ascii="Times New Roman" w:hAnsi="Times New Roman"/>
        </w:rPr>
        <w:t>vet</w:t>
      </w:r>
      <w:proofErr w:type="spellEnd"/>
      <w:r w:rsidRPr="004048E5">
        <w:rPr>
          <w:rFonts w:ascii="Times New Roman" w:hAnsi="Times New Roman"/>
        </w:rPr>
        <w:t>.  pomôcky</w:t>
      </w:r>
      <w:r w:rsidRPr="004048E5">
        <w:rPr>
          <w:rFonts w:ascii="Times New Roman" w:hAnsi="Times New Roman"/>
        </w:rPr>
        <w:tab/>
      </w:r>
      <w:r w:rsidRPr="004048E5">
        <w:rPr>
          <w:rFonts w:ascii="Times New Roman" w:hAnsi="Times New Roman"/>
        </w:rPr>
        <w:tab/>
        <w:t>:</w:t>
      </w:r>
      <w:r w:rsidRPr="004048E5">
        <w:rPr>
          <w:rFonts w:ascii="Times New Roman" w:hAnsi="Times New Roman"/>
        </w:rPr>
        <w:tab/>
      </w:r>
      <w:r w:rsidRPr="004048E5">
        <w:rPr>
          <w:rFonts w:ascii="Times New Roman" w:hAnsi="Times New Roman"/>
          <w:b/>
          <w:bCs/>
        </w:rPr>
        <w:t xml:space="preserve">VETSUTURE </w:t>
      </w:r>
      <w:r>
        <w:rPr>
          <w:rFonts w:ascii="Times New Roman" w:hAnsi="Times New Roman"/>
          <w:b/>
          <w:bCs/>
        </w:rPr>
        <w:t>PDX</w:t>
      </w:r>
    </w:p>
    <w:p w:rsidR="00DB13E7" w:rsidRPr="004048E5" w:rsidRDefault="00DB13E7" w:rsidP="00DB13E7">
      <w:pPr>
        <w:tabs>
          <w:tab w:val="left" w:pos="2835"/>
          <w:tab w:val="left" w:pos="3119"/>
        </w:tabs>
        <w:spacing w:after="0" w:line="240" w:lineRule="auto"/>
        <w:ind w:left="3119" w:hanging="3119"/>
        <w:jc w:val="both"/>
        <w:rPr>
          <w:rFonts w:ascii="Times New Roman" w:hAnsi="Times New Roman"/>
        </w:rPr>
      </w:pPr>
      <w:r w:rsidRPr="004048E5">
        <w:rPr>
          <w:rFonts w:ascii="Times New Roman" w:hAnsi="Times New Roman"/>
        </w:rPr>
        <w:t>Výrobca</w:t>
      </w:r>
      <w:r w:rsidRPr="004048E5">
        <w:rPr>
          <w:rFonts w:ascii="Times New Roman" w:hAnsi="Times New Roman"/>
        </w:rPr>
        <w:tab/>
        <w:t>:</w:t>
      </w:r>
      <w:r w:rsidRPr="004048E5">
        <w:rPr>
          <w:rFonts w:ascii="Times New Roman" w:hAnsi="Times New Roman"/>
        </w:rPr>
        <w:tab/>
      </w:r>
      <w:proofErr w:type="spellStart"/>
      <w:r w:rsidRPr="004048E5">
        <w:rPr>
          <w:rFonts w:ascii="Times New Roman" w:hAnsi="Times New Roman"/>
        </w:rPr>
        <w:t>Sutures</w:t>
      </w:r>
      <w:proofErr w:type="spellEnd"/>
      <w:r w:rsidRPr="004048E5">
        <w:rPr>
          <w:rFonts w:ascii="Times New Roman" w:hAnsi="Times New Roman"/>
        </w:rPr>
        <w:t xml:space="preserve"> India PVT. LTD, India.</w:t>
      </w:r>
    </w:p>
    <w:p w:rsidR="00DB13E7" w:rsidRPr="004048E5" w:rsidRDefault="00DB13E7" w:rsidP="00DB13E7">
      <w:pPr>
        <w:pStyle w:val="Nadpis1"/>
        <w:tabs>
          <w:tab w:val="clear" w:pos="851"/>
          <w:tab w:val="left" w:pos="2835"/>
          <w:tab w:val="left" w:pos="3119"/>
        </w:tabs>
        <w:spacing w:before="0" w:line="240" w:lineRule="auto"/>
        <w:ind w:left="3119" w:hanging="3119"/>
        <w:jc w:val="both"/>
        <w:rPr>
          <w:sz w:val="22"/>
          <w:szCs w:val="22"/>
        </w:rPr>
      </w:pPr>
      <w:r w:rsidRPr="004048E5">
        <w:rPr>
          <w:sz w:val="22"/>
          <w:szCs w:val="22"/>
        </w:rPr>
        <w:t>Držiteľ rozhodnutia</w:t>
      </w:r>
      <w:r w:rsidRPr="004048E5">
        <w:rPr>
          <w:sz w:val="22"/>
          <w:szCs w:val="22"/>
        </w:rPr>
        <w:tab/>
        <w:t>:</w:t>
      </w:r>
      <w:r w:rsidRPr="004048E5">
        <w:rPr>
          <w:sz w:val="22"/>
          <w:szCs w:val="22"/>
        </w:rPr>
        <w:tab/>
      </w:r>
      <w:proofErr w:type="spellStart"/>
      <w:r w:rsidRPr="00064C56">
        <w:rPr>
          <w:sz w:val="22"/>
          <w:szCs w:val="22"/>
        </w:rPr>
        <w:t>Noévia</w:t>
      </w:r>
      <w:proofErr w:type="spellEnd"/>
      <w:r w:rsidRPr="00064C56">
        <w:rPr>
          <w:sz w:val="22"/>
          <w:szCs w:val="22"/>
        </w:rPr>
        <w:t xml:space="preserve"> SAS, 54 </w:t>
      </w:r>
      <w:proofErr w:type="spellStart"/>
      <w:r w:rsidRPr="00064C56">
        <w:rPr>
          <w:sz w:val="22"/>
          <w:szCs w:val="22"/>
        </w:rPr>
        <w:t>rue</w:t>
      </w:r>
      <w:proofErr w:type="spellEnd"/>
      <w:r w:rsidRPr="00064C56">
        <w:rPr>
          <w:sz w:val="22"/>
          <w:szCs w:val="22"/>
        </w:rPr>
        <w:t xml:space="preserve"> </w:t>
      </w:r>
      <w:proofErr w:type="spellStart"/>
      <w:r w:rsidRPr="00064C56">
        <w:rPr>
          <w:sz w:val="22"/>
          <w:szCs w:val="22"/>
        </w:rPr>
        <w:t>Stendhal</w:t>
      </w:r>
      <w:proofErr w:type="spellEnd"/>
      <w:r w:rsidRPr="00064C56">
        <w:rPr>
          <w:sz w:val="22"/>
          <w:szCs w:val="22"/>
        </w:rPr>
        <w:t xml:space="preserve">, 750 20 </w:t>
      </w:r>
      <w:proofErr w:type="spellStart"/>
      <w:r w:rsidRPr="00064C56">
        <w:rPr>
          <w:sz w:val="22"/>
          <w:szCs w:val="22"/>
        </w:rPr>
        <w:t>Paris</w:t>
      </w:r>
      <w:proofErr w:type="spellEnd"/>
      <w:r w:rsidRPr="00064C56">
        <w:rPr>
          <w:sz w:val="22"/>
          <w:szCs w:val="22"/>
        </w:rPr>
        <w:t>, Francúzsko</w:t>
      </w:r>
      <w:r w:rsidRPr="004048E5">
        <w:rPr>
          <w:sz w:val="22"/>
          <w:szCs w:val="22"/>
        </w:rPr>
        <w:t>.</w:t>
      </w:r>
    </w:p>
    <w:p w:rsidR="00DB13E7" w:rsidRPr="004048E5" w:rsidRDefault="00DB13E7" w:rsidP="00DB13E7">
      <w:pPr>
        <w:pStyle w:val="Nadpis1"/>
        <w:tabs>
          <w:tab w:val="clear" w:pos="851"/>
          <w:tab w:val="left" w:pos="2835"/>
          <w:tab w:val="left" w:pos="3119"/>
        </w:tabs>
        <w:spacing w:before="0" w:line="240" w:lineRule="auto"/>
        <w:ind w:left="3119" w:hanging="3119"/>
        <w:jc w:val="both"/>
        <w:rPr>
          <w:color w:val="000000"/>
          <w:sz w:val="22"/>
          <w:szCs w:val="22"/>
        </w:rPr>
      </w:pPr>
      <w:r w:rsidRPr="004048E5">
        <w:rPr>
          <w:sz w:val="22"/>
          <w:szCs w:val="22"/>
        </w:rPr>
        <w:t>Cieľový druh zvierat</w:t>
      </w:r>
      <w:r w:rsidRPr="004048E5">
        <w:rPr>
          <w:sz w:val="22"/>
          <w:szCs w:val="22"/>
        </w:rPr>
        <w:tab/>
        <w:t>:</w:t>
      </w:r>
      <w:r w:rsidRPr="004048E5">
        <w:rPr>
          <w:sz w:val="22"/>
          <w:szCs w:val="22"/>
        </w:rPr>
        <w:tab/>
      </w:r>
      <w:r w:rsidRPr="004048E5">
        <w:rPr>
          <w:bCs/>
          <w:sz w:val="22"/>
          <w:szCs w:val="22"/>
        </w:rPr>
        <w:t>Všetky druhy zvierat</w:t>
      </w:r>
      <w:r w:rsidRPr="004048E5">
        <w:rPr>
          <w:sz w:val="22"/>
          <w:szCs w:val="22"/>
        </w:rPr>
        <w:t>.</w:t>
      </w:r>
      <w:r w:rsidRPr="004048E5">
        <w:rPr>
          <w:sz w:val="22"/>
          <w:szCs w:val="22"/>
        </w:rPr>
        <w:tab/>
      </w:r>
    </w:p>
    <w:p w:rsidR="00DB13E7" w:rsidRPr="004048E5" w:rsidRDefault="00DB13E7" w:rsidP="00DB13E7">
      <w:pPr>
        <w:tabs>
          <w:tab w:val="left" w:pos="2835"/>
          <w:tab w:val="left" w:pos="3119"/>
        </w:tabs>
        <w:spacing w:after="0" w:line="240" w:lineRule="auto"/>
        <w:ind w:left="3119" w:hanging="3119"/>
        <w:jc w:val="both"/>
        <w:rPr>
          <w:rFonts w:ascii="Times New Roman" w:hAnsi="Times New Roman"/>
          <w:bCs/>
        </w:rPr>
      </w:pPr>
      <w:r w:rsidRPr="004048E5">
        <w:rPr>
          <w:rFonts w:ascii="Times New Roman" w:hAnsi="Times New Roman"/>
        </w:rPr>
        <w:t xml:space="preserve">Popis </w:t>
      </w:r>
      <w:proofErr w:type="spellStart"/>
      <w:r w:rsidRPr="004048E5">
        <w:rPr>
          <w:rFonts w:ascii="Times New Roman" w:hAnsi="Times New Roman"/>
        </w:rPr>
        <w:t>vet</w:t>
      </w:r>
      <w:proofErr w:type="spellEnd"/>
      <w:r w:rsidRPr="004048E5">
        <w:rPr>
          <w:rFonts w:ascii="Times New Roman" w:hAnsi="Times New Roman"/>
        </w:rPr>
        <w:t>. pomôcky</w:t>
      </w:r>
      <w:r w:rsidRPr="004048E5">
        <w:rPr>
          <w:rFonts w:ascii="Times New Roman" w:hAnsi="Times New Roman"/>
        </w:rPr>
        <w:tab/>
        <w:t>:</w:t>
      </w:r>
      <w:r w:rsidRPr="004048E5">
        <w:rPr>
          <w:rFonts w:ascii="Times New Roman" w:hAnsi="Times New Roman"/>
        </w:rPr>
        <w:tab/>
      </w:r>
      <w:proofErr w:type="spellStart"/>
      <w:r>
        <w:rPr>
          <w:rFonts w:ascii="Times New Roman" w:hAnsi="Times New Roman"/>
        </w:rPr>
        <w:t>Vetsuture</w:t>
      </w:r>
      <w:proofErr w:type="spellEnd"/>
      <w:r>
        <w:rPr>
          <w:rFonts w:ascii="Times New Roman" w:hAnsi="Times New Roman"/>
        </w:rPr>
        <w:t xml:space="preserve"> PDX je absorbovateľný, sterilný, syntetický chirurgický šijací materiál vyrobený z </w:t>
      </w:r>
      <w:proofErr w:type="spellStart"/>
      <w:r>
        <w:rPr>
          <w:rFonts w:ascii="Times New Roman" w:hAnsi="Times New Roman"/>
        </w:rPr>
        <w:t>polyesteru</w:t>
      </w:r>
      <w:proofErr w:type="spellEnd"/>
      <w:r>
        <w:rPr>
          <w:rFonts w:ascii="Times New Roman" w:hAnsi="Times New Roman"/>
        </w:rPr>
        <w:t>, poly (</w:t>
      </w:r>
      <w:proofErr w:type="spellStart"/>
      <w:r>
        <w:rPr>
          <w:rFonts w:ascii="Times New Roman" w:hAnsi="Times New Roman"/>
        </w:rPr>
        <w:t>p-dioxanonu</w:t>
      </w:r>
      <w:proofErr w:type="spellEnd"/>
      <w:r>
        <w:rPr>
          <w:rFonts w:ascii="Times New Roman" w:hAnsi="Times New Roman"/>
        </w:rPr>
        <w:t xml:space="preserve">). Molekulárne zloženie polyméru je (C4H6O3)n. </w:t>
      </w:r>
      <w:proofErr w:type="spellStart"/>
      <w:r>
        <w:rPr>
          <w:rFonts w:ascii="Times New Roman" w:hAnsi="Times New Roman"/>
        </w:rPr>
        <w:t>Polydioxanone</w:t>
      </w:r>
      <w:proofErr w:type="spellEnd"/>
      <w:r>
        <w:rPr>
          <w:rFonts w:ascii="Times New Roman" w:hAnsi="Times New Roman"/>
        </w:rPr>
        <w:t xml:space="preserve"> nemá antigénne ani </w:t>
      </w:r>
      <w:proofErr w:type="spellStart"/>
      <w:r>
        <w:rPr>
          <w:rFonts w:ascii="Times New Roman" w:hAnsi="Times New Roman"/>
        </w:rPr>
        <w:t>pyrogénne</w:t>
      </w:r>
      <w:proofErr w:type="spellEnd"/>
      <w:r>
        <w:rPr>
          <w:rFonts w:ascii="Times New Roman" w:hAnsi="Times New Roman"/>
        </w:rPr>
        <w:t xml:space="preserve"> vlastnosti a vyvoláva len ľahké reakcie tkaniva počas absorpcie. </w:t>
      </w:r>
      <w:proofErr w:type="spellStart"/>
      <w:r>
        <w:rPr>
          <w:rFonts w:ascii="Times New Roman" w:hAnsi="Times New Roman"/>
        </w:rPr>
        <w:t>Vetsuture</w:t>
      </w:r>
      <w:proofErr w:type="spellEnd"/>
      <w:r>
        <w:rPr>
          <w:rFonts w:ascii="Times New Roman" w:hAnsi="Times New Roman"/>
        </w:rPr>
        <w:t xml:space="preserve"> PDX je farbený na fialovo farbivom D&amp;C </w:t>
      </w:r>
      <w:proofErr w:type="spellStart"/>
      <w:r>
        <w:rPr>
          <w:rFonts w:ascii="Times New Roman" w:hAnsi="Times New Roman"/>
        </w:rPr>
        <w:t>Violet</w:t>
      </w:r>
      <w:proofErr w:type="spellEnd"/>
      <w:r w:rsidRPr="004048E5">
        <w:rPr>
          <w:rFonts w:ascii="Times New Roman" w:hAnsi="Times New Roman"/>
        </w:rPr>
        <w:t>.</w:t>
      </w:r>
    </w:p>
    <w:p w:rsidR="00DB13E7" w:rsidRPr="004048E5" w:rsidRDefault="00DB13E7" w:rsidP="00DB13E7">
      <w:pPr>
        <w:tabs>
          <w:tab w:val="left" w:pos="2835"/>
          <w:tab w:val="left" w:pos="3119"/>
        </w:tabs>
        <w:spacing w:after="0" w:line="240" w:lineRule="auto"/>
        <w:ind w:left="3119" w:hanging="3119"/>
        <w:jc w:val="both"/>
        <w:rPr>
          <w:rFonts w:ascii="Times New Roman" w:hAnsi="Times New Roman"/>
          <w:bCs/>
        </w:rPr>
      </w:pPr>
      <w:r w:rsidRPr="004048E5">
        <w:rPr>
          <w:rFonts w:ascii="Times New Roman" w:hAnsi="Times New Roman"/>
          <w:bCs/>
        </w:rPr>
        <w:t>Charakteristika</w:t>
      </w:r>
      <w:r w:rsidRPr="004048E5">
        <w:rPr>
          <w:rFonts w:ascii="Times New Roman" w:hAnsi="Times New Roman"/>
          <w:bCs/>
        </w:rPr>
        <w:tab/>
        <w:t>:</w:t>
      </w:r>
      <w:r w:rsidRPr="004048E5">
        <w:rPr>
          <w:rFonts w:ascii="Times New Roman" w:hAnsi="Times New Roman"/>
          <w:bCs/>
        </w:rPr>
        <w:tab/>
      </w:r>
      <w:proofErr w:type="spellStart"/>
      <w:r>
        <w:rPr>
          <w:rFonts w:ascii="Times New Roman" w:hAnsi="Times New Roman"/>
          <w:bCs/>
        </w:rPr>
        <w:t>Vetsuture</w:t>
      </w:r>
      <w:proofErr w:type="spellEnd"/>
      <w:r>
        <w:rPr>
          <w:rFonts w:ascii="Times New Roman" w:hAnsi="Times New Roman"/>
          <w:bCs/>
        </w:rPr>
        <w:t xml:space="preserve">  PDX je indikovaný na použitie v priblížení mäkkých tkanív, vrátane použitia na kardiovaskulárne tkanivá v procese rastu a v </w:t>
      </w:r>
      <w:proofErr w:type="spellStart"/>
      <w:r>
        <w:rPr>
          <w:rFonts w:ascii="Times New Roman" w:hAnsi="Times New Roman"/>
          <w:bCs/>
        </w:rPr>
        <w:t>oftalmológii</w:t>
      </w:r>
      <w:proofErr w:type="spellEnd"/>
      <w:r>
        <w:rPr>
          <w:rFonts w:ascii="Times New Roman" w:hAnsi="Times New Roman"/>
          <w:bCs/>
        </w:rPr>
        <w:t xml:space="preserve">. </w:t>
      </w:r>
      <w:proofErr w:type="spellStart"/>
      <w:r>
        <w:rPr>
          <w:rFonts w:ascii="Times New Roman" w:hAnsi="Times New Roman"/>
          <w:bCs/>
        </w:rPr>
        <w:t>Vetsuture</w:t>
      </w:r>
      <w:proofErr w:type="spellEnd"/>
      <w:r>
        <w:rPr>
          <w:rFonts w:ascii="Times New Roman" w:hAnsi="Times New Roman"/>
          <w:bCs/>
        </w:rPr>
        <w:t xml:space="preserve"> PDX nie je indikovaný na kardiovaskulárne tkanivá u dospelých jedincov, </w:t>
      </w:r>
      <w:proofErr w:type="spellStart"/>
      <w:r>
        <w:rPr>
          <w:rFonts w:ascii="Times New Roman" w:hAnsi="Times New Roman"/>
          <w:bCs/>
        </w:rPr>
        <w:t>mikrochirurgiu</w:t>
      </w:r>
      <w:proofErr w:type="spellEnd"/>
      <w:r>
        <w:rPr>
          <w:rFonts w:ascii="Times New Roman" w:hAnsi="Times New Roman"/>
          <w:bCs/>
        </w:rPr>
        <w:t xml:space="preserve"> a nervové tkanivá. Použitie tohto vlákna je zvlášť užitočné tam, kde je želateľná kombinácia absorbovateľného vlákna s rozsiahlou podporou rany (do 6 týždňov)</w:t>
      </w:r>
      <w:r w:rsidRPr="004048E5">
        <w:rPr>
          <w:rFonts w:ascii="Times New Roman" w:hAnsi="Times New Roman"/>
          <w:bCs/>
        </w:rPr>
        <w:t>.</w:t>
      </w:r>
    </w:p>
    <w:p w:rsidR="00DB13E7" w:rsidRDefault="00DB13E7" w:rsidP="00DB13E7">
      <w:pPr>
        <w:tabs>
          <w:tab w:val="left" w:pos="2835"/>
          <w:tab w:val="left" w:pos="3119"/>
        </w:tabs>
        <w:spacing w:after="0" w:line="240" w:lineRule="auto"/>
        <w:ind w:left="3119" w:hanging="3119"/>
        <w:jc w:val="both"/>
        <w:rPr>
          <w:rFonts w:ascii="Times New Roman" w:hAnsi="Times New Roman"/>
          <w:bCs/>
        </w:rPr>
      </w:pPr>
      <w:r w:rsidRPr="004048E5">
        <w:rPr>
          <w:rFonts w:ascii="Times New Roman" w:hAnsi="Times New Roman"/>
          <w:bCs/>
        </w:rPr>
        <w:t>Oblasť použitia</w:t>
      </w:r>
      <w:r w:rsidRPr="004048E5">
        <w:rPr>
          <w:rFonts w:ascii="Times New Roman" w:hAnsi="Times New Roman"/>
          <w:bCs/>
        </w:rPr>
        <w:tab/>
        <w:t>:</w:t>
      </w:r>
      <w:r w:rsidRPr="004048E5">
        <w:rPr>
          <w:rFonts w:ascii="Times New Roman" w:hAnsi="Times New Roman"/>
          <w:bCs/>
        </w:rPr>
        <w:tab/>
      </w:r>
      <w:r>
        <w:rPr>
          <w:rFonts w:ascii="Times New Roman" w:hAnsi="Times New Roman"/>
          <w:bCs/>
        </w:rPr>
        <w:t xml:space="preserve">Absorbovateľný chirurgický šijací materiál (syntetický) </w:t>
      </w:r>
      <w:proofErr w:type="spellStart"/>
      <w:r>
        <w:rPr>
          <w:rFonts w:ascii="Times New Roman" w:hAnsi="Times New Roman"/>
          <w:bCs/>
        </w:rPr>
        <w:t>monofilament</w:t>
      </w:r>
      <w:proofErr w:type="spellEnd"/>
      <w:r>
        <w:rPr>
          <w:rFonts w:ascii="Times New Roman" w:hAnsi="Times New Roman"/>
          <w:bCs/>
        </w:rPr>
        <w:t xml:space="preserve"> (</w:t>
      </w:r>
      <w:proofErr w:type="spellStart"/>
      <w:r>
        <w:rPr>
          <w:rFonts w:ascii="Times New Roman" w:hAnsi="Times New Roman"/>
          <w:bCs/>
        </w:rPr>
        <w:t>polydioxanone</w:t>
      </w:r>
      <w:proofErr w:type="spellEnd"/>
      <w:r>
        <w:rPr>
          <w:rFonts w:ascii="Times New Roman" w:hAnsi="Times New Roman"/>
          <w:bCs/>
        </w:rPr>
        <w:t>).</w:t>
      </w:r>
    </w:p>
    <w:p w:rsidR="00DB13E7" w:rsidRPr="004048E5" w:rsidRDefault="00DB13E7" w:rsidP="00DB13E7">
      <w:pPr>
        <w:tabs>
          <w:tab w:val="left" w:pos="2835"/>
          <w:tab w:val="left" w:pos="3119"/>
        </w:tabs>
        <w:spacing w:after="0" w:line="240" w:lineRule="auto"/>
        <w:ind w:left="3119" w:hanging="3119"/>
        <w:jc w:val="both"/>
        <w:rPr>
          <w:rFonts w:ascii="Times New Roman" w:hAnsi="Times New Roman"/>
          <w:bCs/>
        </w:rPr>
      </w:pPr>
      <w:r>
        <w:rPr>
          <w:rFonts w:ascii="Times New Roman" w:hAnsi="Times New Roman"/>
          <w:bCs/>
        </w:rPr>
        <w:tab/>
      </w:r>
      <w:r>
        <w:rPr>
          <w:rFonts w:ascii="Times New Roman" w:hAnsi="Times New Roman"/>
          <w:bCs/>
        </w:rPr>
        <w:tab/>
        <w:t xml:space="preserve">Dve dôležité charakteristiky popisujú „in </w:t>
      </w:r>
      <w:proofErr w:type="spellStart"/>
      <w:r>
        <w:rPr>
          <w:rFonts w:ascii="Times New Roman" w:hAnsi="Times New Roman"/>
          <w:bCs/>
        </w:rPr>
        <w:t>vivo</w:t>
      </w:r>
      <w:proofErr w:type="spellEnd"/>
      <w:r>
        <w:rPr>
          <w:rFonts w:ascii="Times New Roman" w:hAnsi="Times New Roman"/>
          <w:bCs/>
        </w:rPr>
        <w:t xml:space="preserve">“ výkonnosť absorbovateľných vláken: po prvé, udržanie pevnosti v ťahu a po druhé, hodnota absorpcie (strata hmotnosti). </w:t>
      </w:r>
      <w:proofErr w:type="spellStart"/>
      <w:r>
        <w:rPr>
          <w:rFonts w:ascii="Times New Roman" w:hAnsi="Times New Roman"/>
          <w:bCs/>
        </w:rPr>
        <w:t>Vetsuture</w:t>
      </w:r>
      <w:proofErr w:type="spellEnd"/>
      <w:r>
        <w:rPr>
          <w:rFonts w:ascii="Times New Roman" w:hAnsi="Times New Roman"/>
          <w:bCs/>
        </w:rPr>
        <w:t xml:space="preserve"> PDX má zloženie, ktoré minimalizuje variabilitu týchto charakteristík a poskytuje podporu rany po dlhšiu dobu hojenia. Výsledky implantačných štúdií </w:t>
      </w:r>
      <w:proofErr w:type="spellStart"/>
      <w:r>
        <w:rPr>
          <w:rFonts w:ascii="Times New Roman" w:hAnsi="Times New Roman"/>
          <w:bCs/>
        </w:rPr>
        <w:t>Vetsuture</w:t>
      </w:r>
      <w:proofErr w:type="spellEnd"/>
      <w:r>
        <w:rPr>
          <w:rFonts w:ascii="Times New Roman" w:hAnsi="Times New Roman"/>
          <w:bCs/>
        </w:rPr>
        <w:t xml:space="preserve"> PDX u zvierat indikujú, že približne 70% z pôvodnej pevnosti zostáva zachovaných 2 týždne po implantácii. 4 týždne po implantácii zostáva zachovaných 50% z pôvodnej pevnosti a 6 týždňov po operácii je zachovaných približne 25% pôvodnej pevnosti. Získané údaje z implantačných štúdií u potkanov ukazujú, že absorpcia tohto vlákna je minimálna asi až do 90. </w:t>
      </w:r>
      <w:proofErr w:type="spellStart"/>
      <w:r>
        <w:rPr>
          <w:rFonts w:ascii="Times New Roman" w:hAnsi="Times New Roman"/>
          <w:bCs/>
        </w:rPr>
        <w:t>postimplantačného</w:t>
      </w:r>
      <w:proofErr w:type="spellEnd"/>
      <w:r>
        <w:rPr>
          <w:rFonts w:ascii="Times New Roman" w:hAnsi="Times New Roman"/>
          <w:bCs/>
        </w:rPr>
        <w:t xml:space="preserve"> dňa. Absorpcia je v podstate dokončená do 6 mesiacov</w:t>
      </w:r>
      <w:r w:rsidRPr="004048E5">
        <w:rPr>
          <w:rFonts w:ascii="Times New Roman" w:hAnsi="Times New Roman"/>
          <w:bCs/>
        </w:rPr>
        <w:t>.</w:t>
      </w:r>
    </w:p>
    <w:p w:rsidR="00DB13E7" w:rsidRPr="004048E5" w:rsidRDefault="00DB13E7" w:rsidP="00DB13E7">
      <w:pPr>
        <w:tabs>
          <w:tab w:val="left" w:pos="2835"/>
          <w:tab w:val="left" w:pos="3119"/>
        </w:tabs>
        <w:spacing w:after="0" w:line="240" w:lineRule="auto"/>
        <w:ind w:left="3119" w:hanging="3119"/>
        <w:jc w:val="both"/>
        <w:rPr>
          <w:rFonts w:ascii="Times New Roman" w:hAnsi="Times New Roman"/>
          <w:bCs/>
        </w:rPr>
      </w:pPr>
      <w:r w:rsidRPr="004048E5">
        <w:rPr>
          <w:rFonts w:ascii="Times New Roman" w:hAnsi="Times New Roman"/>
          <w:bCs/>
        </w:rPr>
        <w:t>Poznámka</w:t>
      </w:r>
      <w:r w:rsidRPr="004048E5">
        <w:rPr>
          <w:rFonts w:ascii="Times New Roman" w:hAnsi="Times New Roman"/>
          <w:bCs/>
        </w:rPr>
        <w:tab/>
        <w:t>:</w:t>
      </w:r>
      <w:r w:rsidRPr="004048E5">
        <w:rPr>
          <w:rFonts w:ascii="Times New Roman" w:hAnsi="Times New Roman"/>
          <w:bCs/>
        </w:rPr>
        <w:tab/>
      </w:r>
      <w:proofErr w:type="spellStart"/>
      <w:r>
        <w:rPr>
          <w:rFonts w:ascii="Times New Roman" w:hAnsi="Times New Roman"/>
          <w:bCs/>
        </w:rPr>
        <w:t>Vetsuture</w:t>
      </w:r>
      <w:proofErr w:type="spellEnd"/>
      <w:r>
        <w:rPr>
          <w:rFonts w:ascii="Times New Roman" w:hAnsi="Times New Roman"/>
          <w:bCs/>
        </w:rPr>
        <w:t xml:space="preserve"> PGC je sterilizovaný plynom </w:t>
      </w:r>
      <w:proofErr w:type="spellStart"/>
      <w:r>
        <w:rPr>
          <w:rFonts w:ascii="Times New Roman" w:hAnsi="Times New Roman"/>
          <w:bCs/>
        </w:rPr>
        <w:t>ethylen</w:t>
      </w:r>
      <w:proofErr w:type="spellEnd"/>
      <w:r>
        <w:rPr>
          <w:rFonts w:ascii="Times New Roman" w:hAnsi="Times New Roman"/>
          <w:bCs/>
        </w:rPr>
        <w:t xml:space="preserve"> oxidom. Nepoužívajte ak je obal otvorený alebo poškodený. Otvorené a nepoužité balenie zlikvidujte</w:t>
      </w:r>
      <w:r w:rsidRPr="004048E5">
        <w:rPr>
          <w:rFonts w:ascii="Times New Roman" w:hAnsi="Times New Roman"/>
          <w:bCs/>
        </w:rPr>
        <w:t xml:space="preserve">. </w:t>
      </w:r>
    </w:p>
    <w:p w:rsidR="00DB13E7" w:rsidRDefault="00DB13E7" w:rsidP="00DB13E7">
      <w:pPr>
        <w:tabs>
          <w:tab w:val="left" w:pos="2835"/>
          <w:tab w:val="left" w:pos="3119"/>
        </w:tabs>
        <w:spacing w:after="0" w:line="240" w:lineRule="auto"/>
        <w:ind w:left="3119" w:hanging="3119"/>
        <w:jc w:val="both"/>
        <w:rPr>
          <w:rFonts w:ascii="Times New Roman" w:hAnsi="Times New Roman"/>
          <w:bCs/>
        </w:rPr>
      </w:pPr>
      <w:r>
        <w:rPr>
          <w:rFonts w:ascii="Times New Roman" w:hAnsi="Times New Roman"/>
          <w:bCs/>
        </w:rPr>
        <w:t>Kontraindikácie</w:t>
      </w:r>
      <w:r>
        <w:rPr>
          <w:rFonts w:ascii="Times New Roman" w:hAnsi="Times New Roman"/>
          <w:bCs/>
        </w:rPr>
        <w:tab/>
        <w:t>:</w:t>
      </w:r>
      <w:r>
        <w:rPr>
          <w:rFonts w:ascii="Times New Roman" w:hAnsi="Times New Roman"/>
          <w:bCs/>
        </w:rPr>
        <w:tab/>
      </w:r>
      <w:proofErr w:type="spellStart"/>
      <w:r>
        <w:rPr>
          <w:rFonts w:ascii="Times New Roman" w:hAnsi="Times New Roman"/>
          <w:bCs/>
        </w:rPr>
        <w:t>Vetsuture</w:t>
      </w:r>
      <w:proofErr w:type="spellEnd"/>
      <w:r>
        <w:rPr>
          <w:rFonts w:ascii="Times New Roman" w:hAnsi="Times New Roman"/>
          <w:bCs/>
        </w:rPr>
        <w:t xml:space="preserve"> PDX sa nemá používať tam, kde je požadované prolongované (nad 6 týždňov) priblíženie mäkkých tkanív pod tlakom. Nepoužívať ani pri protetických pomôckach, srdcových chlopniach a syntetických štepoch.</w:t>
      </w:r>
    </w:p>
    <w:p w:rsidR="00DB13E7" w:rsidRDefault="00DB13E7" w:rsidP="00DB13E7">
      <w:pPr>
        <w:tabs>
          <w:tab w:val="left" w:pos="2835"/>
          <w:tab w:val="left" w:pos="3119"/>
        </w:tabs>
        <w:spacing w:after="0" w:line="240" w:lineRule="auto"/>
        <w:ind w:left="3119" w:hanging="3119"/>
        <w:jc w:val="both"/>
        <w:rPr>
          <w:rFonts w:ascii="Times New Roman" w:hAnsi="Times New Roman"/>
          <w:bCs/>
        </w:rPr>
      </w:pPr>
      <w:r>
        <w:rPr>
          <w:rFonts w:ascii="Times New Roman" w:hAnsi="Times New Roman"/>
          <w:bCs/>
        </w:rPr>
        <w:t>Upozornenie</w:t>
      </w:r>
      <w:r>
        <w:rPr>
          <w:rFonts w:ascii="Times New Roman" w:hAnsi="Times New Roman"/>
          <w:bCs/>
        </w:rPr>
        <w:tab/>
        <w:t>:</w:t>
      </w:r>
      <w:r>
        <w:rPr>
          <w:rFonts w:ascii="Times New Roman" w:hAnsi="Times New Roman"/>
          <w:bCs/>
        </w:rPr>
        <w:tab/>
        <w:t xml:space="preserve">Bezpečnosť a efektivita </w:t>
      </w:r>
      <w:proofErr w:type="spellStart"/>
      <w:r>
        <w:rPr>
          <w:rFonts w:ascii="Times New Roman" w:hAnsi="Times New Roman"/>
          <w:bCs/>
        </w:rPr>
        <w:t>Vetsuture</w:t>
      </w:r>
      <w:proofErr w:type="spellEnd"/>
      <w:r>
        <w:rPr>
          <w:rFonts w:ascii="Times New Roman" w:hAnsi="Times New Roman"/>
          <w:bCs/>
        </w:rPr>
        <w:t xml:space="preserve"> PDX nebola stanovená u nervového tkaniva, dospelého kardiovaskulárneho tkaniva alebo na použitie v </w:t>
      </w:r>
      <w:proofErr w:type="spellStart"/>
      <w:r>
        <w:rPr>
          <w:rFonts w:ascii="Times New Roman" w:hAnsi="Times New Roman"/>
          <w:bCs/>
        </w:rPr>
        <w:t>mikrochirurgii</w:t>
      </w:r>
      <w:proofErr w:type="spellEnd"/>
      <w:r>
        <w:rPr>
          <w:rFonts w:ascii="Times New Roman" w:hAnsi="Times New Roman"/>
          <w:bCs/>
        </w:rPr>
        <w:t xml:space="preserve">. Užívatelia by mali byť oboznámení s chirurgickými postupmi a technikami pred použitím </w:t>
      </w:r>
      <w:proofErr w:type="spellStart"/>
      <w:r>
        <w:rPr>
          <w:rFonts w:ascii="Times New Roman" w:hAnsi="Times New Roman"/>
          <w:bCs/>
        </w:rPr>
        <w:t>Vetsuture</w:t>
      </w:r>
      <w:proofErr w:type="spellEnd"/>
      <w:r>
        <w:rPr>
          <w:rFonts w:ascii="Times New Roman" w:hAnsi="Times New Roman"/>
          <w:bCs/>
        </w:rPr>
        <w:t xml:space="preserve"> PDX na uzatváranie rán, nakoľko riziko znovuotvorenia rany môže byť rôzne v závislosti od miesta aplikácie a použitého chirurgického šijacieho materiálu. Chirurg by mal zvážiť výkonnosť in </w:t>
      </w:r>
      <w:proofErr w:type="spellStart"/>
      <w:r>
        <w:rPr>
          <w:rFonts w:ascii="Times New Roman" w:hAnsi="Times New Roman"/>
          <w:bCs/>
        </w:rPr>
        <w:t>vivo</w:t>
      </w:r>
      <w:proofErr w:type="spellEnd"/>
      <w:r>
        <w:rPr>
          <w:rFonts w:ascii="Times New Roman" w:hAnsi="Times New Roman"/>
          <w:bCs/>
        </w:rPr>
        <w:t xml:space="preserve"> pri výbere vhodnej </w:t>
      </w:r>
      <w:proofErr w:type="spellStart"/>
      <w:r>
        <w:rPr>
          <w:rFonts w:ascii="Times New Roman" w:hAnsi="Times New Roman"/>
          <w:bCs/>
        </w:rPr>
        <w:t>sutúry</w:t>
      </w:r>
      <w:proofErr w:type="spellEnd"/>
      <w:r>
        <w:rPr>
          <w:rFonts w:ascii="Times New Roman" w:hAnsi="Times New Roman"/>
          <w:bCs/>
        </w:rPr>
        <w:t xml:space="preserve">. Použitie </w:t>
      </w:r>
      <w:proofErr w:type="spellStart"/>
      <w:r>
        <w:rPr>
          <w:rFonts w:ascii="Times New Roman" w:hAnsi="Times New Roman"/>
          <w:bCs/>
        </w:rPr>
        <w:t>Vetsuture</w:t>
      </w:r>
      <w:proofErr w:type="spellEnd"/>
      <w:r>
        <w:rPr>
          <w:rFonts w:ascii="Times New Roman" w:hAnsi="Times New Roman"/>
          <w:bCs/>
        </w:rPr>
        <w:t xml:space="preserve"> PDX môže byť nevhodné u starších, podvyživených a oslabených zvierat alebo u zvierat trpiacich podmienkami, ktoré môžu oneskorovať  hojenie rán. Predĺžený kontakt </w:t>
      </w:r>
      <w:proofErr w:type="spellStart"/>
      <w:r>
        <w:rPr>
          <w:rFonts w:ascii="Times New Roman" w:hAnsi="Times New Roman"/>
          <w:bCs/>
        </w:rPr>
        <w:t>sutúry</w:t>
      </w:r>
      <w:proofErr w:type="spellEnd"/>
      <w:r>
        <w:rPr>
          <w:rFonts w:ascii="Times New Roman" w:hAnsi="Times New Roman"/>
          <w:bCs/>
        </w:rPr>
        <w:t xml:space="preserve"> so soľnými roztokmi ako sú v </w:t>
      </w:r>
      <w:proofErr w:type="spellStart"/>
      <w:r>
        <w:rPr>
          <w:rFonts w:ascii="Times New Roman" w:hAnsi="Times New Roman"/>
          <w:bCs/>
        </w:rPr>
        <w:t>urinárnom</w:t>
      </w:r>
      <w:proofErr w:type="spellEnd"/>
      <w:r>
        <w:rPr>
          <w:rFonts w:ascii="Times New Roman" w:hAnsi="Times New Roman"/>
          <w:bCs/>
        </w:rPr>
        <w:t xml:space="preserve"> a biliárnom trakte, môže spôsobiť tvorbu kamienkov. Absorbovateľné vlákno môže prechodne pôsobiť ako cudzie teleso. Musí byť dodržiavaná prijateľná chirurgická prax pri manažmente kontaminovaných alebo infikovaných rán. Pretože </w:t>
      </w:r>
      <w:proofErr w:type="spellStart"/>
      <w:r>
        <w:rPr>
          <w:rFonts w:ascii="Times New Roman" w:hAnsi="Times New Roman"/>
          <w:bCs/>
        </w:rPr>
        <w:t>Vetsuture</w:t>
      </w:r>
      <w:proofErr w:type="spellEnd"/>
      <w:r>
        <w:rPr>
          <w:rFonts w:ascii="Times New Roman" w:hAnsi="Times New Roman"/>
          <w:bCs/>
        </w:rPr>
        <w:t xml:space="preserve"> PDX je absorbovateľné vlákno, môže byť chirurgom zvážené použitie doplnkového neabsorbovateľného vlákna pri uzatváraní miesta, ktoré je rozsiahle a môže vyžadovať dodatočnú podporu. Kožné </w:t>
      </w:r>
      <w:proofErr w:type="spellStart"/>
      <w:r>
        <w:rPr>
          <w:rFonts w:ascii="Times New Roman" w:hAnsi="Times New Roman"/>
          <w:bCs/>
        </w:rPr>
        <w:t>sutúry</w:t>
      </w:r>
      <w:proofErr w:type="spellEnd"/>
      <w:r>
        <w:rPr>
          <w:rFonts w:ascii="Times New Roman" w:hAnsi="Times New Roman"/>
          <w:bCs/>
        </w:rPr>
        <w:t xml:space="preserve">, ktoré zostanú na mieste viac než 7 dní a tiež </w:t>
      </w:r>
      <w:proofErr w:type="spellStart"/>
      <w:r>
        <w:rPr>
          <w:rFonts w:ascii="Times New Roman" w:hAnsi="Times New Roman"/>
          <w:bCs/>
        </w:rPr>
        <w:t>sutúry</w:t>
      </w:r>
      <w:proofErr w:type="spellEnd"/>
      <w:r>
        <w:rPr>
          <w:rFonts w:ascii="Times New Roman" w:hAnsi="Times New Roman"/>
          <w:bCs/>
        </w:rPr>
        <w:t xml:space="preserve"> spojivkovej a vaginálnej </w:t>
      </w:r>
      <w:proofErr w:type="spellStart"/>
      <w:r>
        <w:rPr>
          <w:rFonts w:ascii="Times New Roman" w:hAnsi="Times New Roman"/>
          <w:bCs/>
        </w:rPr>
        <w:t>mukózy</w:t>
      </w:r>
      <w:proofErr w:type="spellEnd"/>
      <w:r>
        <w:rPr>
          <w:rFonts w:ascii="Times New Roman" w:hAnsi="Times New Roman"/>
          <w:bCs/>
        </w:rPr>
        <w:t xml:space="preserve"> ponechané na mieste počas dlhšej doby, môžu spôsobovať lokálne podráždenie, by mali byť odstránené, ak je to indikované. Podkožné </w:t>
      </w:r>
      <w:proofErr w:type="spellStart"/>
      <w:r>
        <w:rPr>
          <w:rFonts w:ascii="Times New Roman" w:hAnsi="Times New Roman"/>
          <w:bCs/>
        </w:rPr>
        <w:t>sutúry</w:t>
      </w:r>
      <w:proofErr w:type="spellEnd"/>
      <w:r>
        <w:rPr>
          <w:rFonts w:ascii="Times New Roman" w:hAnsi="Times New Roman"/>
          <w:bCs/>
        </w:rPr>
        <w:t xml:space="preserve"> majú byť umiestnené tak hlboko ako je to možné, aby sa minimalizoval </w:t>
      </w:r>
      <w:proofErr w:type="spellStart"/>
      <w:r>
        <w:rPr>
          <w:rFonts w:ascii="Times New Roman" w:hAnsi="Times New Roman"/>
          <w:bCs/>
        </w:rPr>
        <w:t>erytém</w:t>
      </w:r>
      <w:proofErr w:type="spellEnd"/>
      <w:r>
        <w:rPr>
          <w:rFonts w:ascii="Times New Roman" w:hAnsi="Times New Roman"/>
          <w:bCs/>
        </w:rPr>
        <w:t xml:space="preserve"> a stvrdnutie, bežne sa vyskytujúce pri procese absorpcie. Za určitých okolností, zvlášť pri ortopedických zákrokoch, môže byť použité znehybnenie kĺbu externou fixáciou na základe rozhodnutia chirurga. Je treba venovať pozornosť pri použití absorbovateľných vláken u tkanív s nedostatočným krvným obehom, pretože môže dôjsť k vytláčaniu </w:t>
      </w:r>
      <w:proofErr w:type="spellStart"/>
      <w:r>
        <w:rPr>
          <w:rFonts w:ascii="Times New Roman" w:hAnsi="Times New Roman"/>
          <w:bCs/>
        </w:rPr>
        <w:t>sutúry</w:t>
      </w:r>
      <w:proofErr w:type="spellEnd"/>
      <w:r>
        <w:rPr>
          <w:rFonts w:ascii="Times New Roman" w:hAnsi="Times New Roman"/>
          <w:bCs/>
        </w:rPr>
        <w:t xml:space="preserve"> a oneskorenej absorpcii </w:t>
      </w:r>
      <w:proofErr w:type="spellStart"/>
      <w:r>
        <w:rPr>
          <w:rFonts w:ascii="Times New Roman" w:hAnsi="Times New Roman"/>
          <w:bCs/>
        </w:rPr>
        <w:t>sutúry</w:t>
      </w:r>
      <w:proofErr w:type="spellEnd"/>
      <w:r>
        <w:rPr>
          <w:rFonts w:ascii="Times New Roman" w:hAnsi="Times New Roman"/>
          <w:bCs/>
        </w:rPr>
        <w:t xml:space="preserve">. Pri manipulácii so šijacími chirurgickými materiálmi je potrebné dbať, aby sa zabránilo poškodeniu pri vlastnej manipulácii. Vyhnite sa pomliaždeniu tkaniva použitím chirurgických nástrojov ako je pinzeta alebo </w:t>
      </w:r>
      <w:proofErr w:type="spellStart"/>
      <w:r>
        <w:rPr>
          <w:rFonts w:ascii="Times New Roman" w:hAnsi="Times New Roman"/>
          <w:bCs/>
        </w:rPr>
        <w:t>ihelec</w:t>
      </w:r>
      <w:proofErr w:type="spellEnd"/>
      <w:r>
        <w:rPr>
          <w:rFonts w:ascii="Times New Roman" w:hAnsi="Times New Roman"/>
          <w:bCs/>
        </w:rPr>
        <w:t>. Ako aj pri iných chirurgických materiáloch, primeraný bezpečnostný uzol vyžaduje správne chirurgické techniky viazania s dodatočnými uzlami, ak je to opodstatnené chirurgickými okolnosťami a skúsenosťou chirurga.</w:t>
      </w:r>
    </w:p>
    <w:p w:rsidR="00DB13E7" w:rsidRPr="00D03EEC" w:rsidRDefault="00DB13E7" w:rsidP="00DB13E7">
      <w:pPr>
        <w:tabs>
          <w:tab w:val="left" w:pos="2835"/>
          <w:tab w:val="left" w:pos="3119"/>
        </w:tabs>
        <w:spacing w:after="0" w:line="240" w:lineRule="auto"/>
        <w:ind w:left="3119" w:hanging="3119"/>
        <w:jc w:val="both"/>
        <w:rPr>
          <w:rFonts w:ascii="Times New Roman" w:hAnsi="Times New Roman"/>
          <w:bCs/>
        </w:rPr>
      </w:pPr>
      <w:r w:rsidRPr="00D03EEC">
        <w:rPr>
          <w:rFonts w:ascii="Times New Roman" w:hAnsi="Times New Roman"/>
          <w:bCs/>
        </w:rPr>
        <w:t>Nežiaduce účinky</w:t>
      </w:r>
      <w:r w:rsidRPr="00D03EEC">
        <w:rPr>
          <w:rFonts w:ascii="Times New Roman" w:hAnsi="Times New Roman"/>
          <w:bCs/>
        </w:rPr>
        <w:tab/>
        <w:t>:</w:t>
      </w:r>
      <w:r w:rsidRPr="00D03EEC">
        <w:rPr>
          <w:rFonts w:ascii="Times New Roman" w:hAnsi="Times New Roman"/>
          <w:bCs/>
        </w:rPr>
        <w:tab/>
        <w:t xml:space="preserve">Kvôli dlhšiemu času absorpcie môže byť pozorované podráždenie alebo krvácanie spojivky a mierne podráždenie vaginálnej </w:t>
      </w:r>
      <w:proofErr w:type="spellStart"/>
      <w:r w:rsidRPr="00D03EEC">
        <w:rPr>
          <w:rFonts w:ascii="Times New Roman" w:hAnsi="Times New Roman"/>
          <w:bCs/>
        </w:rPr>
        <w:t>mukózy</w:t>
      </w:r>
      <w:proofErr w:type="spellEnd"/>
      <w:r w:rsidRPr="00D03EEC">
        <w:rPr>
          <w:rFonts w:ascii="Times New Roman" w:hAnsi="Times New Roman"/>
          <w:bCs/>
        </w:rPr>
        <w:t>.</w:t>
      </w:r>
    </w:p>
    <w:p w:rsidR="00DB13E7" w:rsidRPr="00D03EEC" w:rsidRDefault="00DB13E7" w:rsidP="00DB13E7">
      <w:pPr>
        <w:tabs>
          <w:tab w:val="left" w:pos="2835"/>
          <w:tab w:val="left" w:pos="3119"/>
        </w:tabs>
        <w:spacing w:after="0" w:line="240" w:lineRule="auto"/>
        <w:ind w:left="3119" w:hanging="3119"/>
        <w:jc w:val="both"/>
        <w:rPr>
          <w:rFonts w:ascii="Times New Roman" w:hAnsi="Times New Roman"/>
          <w:bCs/>
        </w:rPr>
      </w:pPr>
      <w:r w:rsidRPr="00D03EEC">
        <w:rPr>
          <w:rFonts w:ascii="Times New Roman" w:hAnsi="Times New Roman"/>
          <w:bCs/>
        </w:rPr>
        <w:t>Veľkosť balenia</w:t>
      </w:r>
      <w:r w:rsidRPr="00D03EEC">
        <w:rPr>
          <w:rFonts w:ascii="Times New Roman" w:hAnsi="Times New Roman"/>
          <w:bCs/>
        </w:rPr>
        <w:tab/>
        <w:t>:</w:t>
      </w:r>
      <w:r w:rsidRPr="00D03EEC">
        <w:rPr>
          <w:rFonts w:ascii="Times New Roman" w:hAnsi="Times New Roman"/>
          <w:bCs/>
        </w:rPr>
        <w:tab/>
        <w:t>PDX s ihlou s rozmerom 1(USP 5/0) do 4(1) – 12 kusov. PDX kazeta – 15m bez ihly s rozmerom 5 až 6 (USP 2 až 3+4).</w:t>
      </w:r>
    </w:p>
    <w:p w:rsidR="00DB13E7" w:rsidRPr="00D03EEC" w:rsidRDefault="00DB13E7" w:rsidP="00DB13E7">
      <w:pPr>
        <w:pStyle w:val="Zkladntext2"/>
        <w:tabs>
          <w:tab w:val="left" w:pos="2835"/>
          <w:tab w:val="left" w:pos="3119"/>
        </w:tabs>
        <w:ind w:left="3119" w:hanging="3119"/>
        <w:jc w:val="both"/>
        <w:rPr>
          <w:bCs/>
          <w:szCs w:val="22"/>
          <w:lang w:eastAsia="sk-SK"/>
        </w:rPr>
      </w:pPr>
      <w:r w:rsidRPr="00D03EEC">
        <w:rPr>
          <w:bCs/>
          <w:szCs w:val="22"/>
          <w:lang w:eastAsia="sk-SK"/>
        </w:rPr>
        <w:t>Spôsob uchovávania</w:t>
      </w:r>
      <w:r w:rsidRPr="00D03EEC">
        <w:rPr>
          <w:bCs/>
          <w:szCs w:val="22"/>
          <w:lang w:eastAsia="sk-SK"/>
        </w:rPr>
        <w:tab/>
        <w:t>:</w:t>
      </w:r>
      <w:r w:rsidRPr="00D03EEC">
        <w:rPr>
          <w:bCs/>
          <w:szCs w:val="22"/>
          <w:lang w:eastAsia="sk-SK"/>
        </w:rPr>
        <w:tab/>
        <w:t xml:space="preserve">Teplota pod 25°C, mimo vlhkosti a priameho tepla. Uchovávať mimo dohľadu </w:t>
      </w:r>
      <w:r>
        <w:rPr>
          <w:bCs/>
          <w:szCs w:val="22"/>
          <w:lang w:eastAsia="sk-SK"/>
        </w:rPr>
        <w:t xml:space="preserve">a </w:t>
      </w:r>
      <w:r w:rsidRPr="00D03EEC">
        <w:rPr>
          <w:bCs/>
          <w:szCs w:val="22"/>
          <w:lang w:eastAsia="sk-SK"/>
        </w:rPr>
        <w:t>dosahu detí.</w:t>
      </w:r>
    </w:p>
    <w:p w:rsidR="00DB13E7" w:rsidRPr="00D03EEC" w:rsidRDefault="00DB13E7" w:rsidP="00DB13E7">
      <w:pPr>
        <w:tabs>
          <w:tab w:val="left" w:pos="2835"/>
          <w:tab w:val="left" w:pos="3119"/>
        </w:tabs>
        <w:spacing w:after="0" w:line="240" w:lineRule="auto"/>
        <w:ind w:left="3119" w:hanging="3119"/>
        <w:jc w:val="both"/>
        <w:rPr>
          <w:rFonts w:ascii="Times New Roman" w:hAnsi="Times New Roman"/>
          <w:bCs/>
        </w:rPr>
      </w:pPr>
      <w:r w:rsidRPr="00D03EEC">
        <w:rPr>
          <w:rFonts w:ascii="Times New Roman" w:hAnsi="Times New Roman"/>
          <w:bCs/>
        </w:rPr>
        <w:t>Čas použiteľnosti</w:t>
      </w:r>
      <w:r w:rsidRPr="00D03EEC">
        <w:rPr>
          <w:rFonts w:ascii="Times New Roman" w:hAnsi="Times New Roman"/>
          <w:bCs/>
        </w:rPr>
        <w:tab/>
        <w:t>:</w:t>
      </w:r>
      <w:r w:rsidRPr="00D03EEC">
        <w:rPr>
          <w:rFonts w:ascii="Times New Roman" w:hAnsi="Times New Roman"/>
          <w:bCs/>
        </w:rPr>
        <w:tab/>
        <w:t>Spotrebovať do dátumu uvedenom na obale. Nepoužívať po uplynutí exspiračnej doby.</w:t>
      </w:r>
    </w:p>
    <w:p w:rsidR="00DB13E7" w:rsidRPr="00D03EEC" w:rsidRDefault="00DB13E7" w:rsidP="00DB13E7">
      <w:pPr>
        <w:tabs>
          <w:tab w:val="left" w:pos="2835"/>
          <w:tab w:val="left" w:pos="3119"/>
        </w:tabs>
        <w:spacing w:after="0" w:line="240" w:lineRule="auto"/>
        <w:ind w:left="3119" w:hanging="3119"/>
        <w:rPr>
          <w:rFonts w:ascii="Times New Roman" w:hAnsi="Times New Roman"/>
          <w:bCs/>
        </w:rPr>
      </w:pPr>
      <w:r w:rsidRPr="00D03EEC">
        <w:rPr>
          <w:rFonts w:ascii="Times New Roman" w:hAnsi="Times New Roman"/>
          <w:bCs/>
        </w:rPr>
        <w:t>Označenie</w:t>
      </w:r>
      <w:r w:rsidRPr="00D03EEC">
        <w:rPr>
          <w:rFonts w:ascii="Times New Roman" w:hAnsi="Times New Roman"/>
          <w:bCs/>
        </w:rPr>
        <w:tab/>
        <w:t>:</w:t>
      </w:r>
      <w:r w:rsidRPr="00D03EEC">
        <w:rPr>
          <w:rFonts w:ascii="Times New Roman" w:hAnsi="Times New Roman"/>
          <w:bCs/>
        </w:rPr>
        <w:tab/>
        <w:t>Len pre zvieratá.</w:t>
      </w:r>
    </w:p>
    <w:p w:rsidR="00DB13E7" w:rsidRPr="00D03EEC" w:rsidRDefault="00DB13E7" w:rsidP="00DB13E7">
      <w:pPr>
        <w:tabs>
          <w:tab w:val="left" w:pos="2835"/>
          <w:tab w:val="left" w:pos="3119"/>
        </w:tabs>
        <w:spacing w:after="0" w:line="240" w:lineRule="auto"/>
        <w:ind w:left="3119" w:hanging="3119"/>
        <w:rPr>
          <w:rFonts w:ascii="Times New Roman" w:hAnsi="Times New Roman"/>
          <w:bCs/>
        </w:rPr>
      </w:pPr>
    </w:p>
    <w:p w:rsidR="00DB13E7" w:rsidRPr="00D03EEC" w:rsidRDefault="00DB13E7" w:rsidP="00DB13E7">
      <w:pPr>
        <w:tabs>
          <w:tab w:val="left" w:pos="2835"/>
          <w:tab w:val="left" w:pos="3119"/>
        </w:tabs>
        <w:spacing w:after="0" w:line="240" w:lineRule="auto"/>
        <w:ind w:left="3119" w:hanging="3119"/>
        <w:rPr>
          <w:rFonts w:ascii="Times New Roman" w:hAnsi="Times New Roman"/>
          <w:bCs/>
        </w:rPr>
      </w:pPr>
      <w:r w:rsidRPr="00D03EEC">
        <w:rPr>
          <w:rFonts w:ascii="Times New Roman" w:hAnsi="Times New Roman"/>
          <w:bCs/>
        </w:rPr>
        <w:t>Použité symboly:</w:t>
      </w:r>
    </w:p>
    <w:p w:rsidR="00DB13E7" w:rsidRPr="00D03EEC" w:rsidRDefault="00DB13E7" w:rsidP="00DB13E7">
      <w:pPr>
        <w:tabs>
          <w:tab w:val="left" w:pos="2835"/>
          <w:tab w:val="left" w:pos="3119"/>
        </w:tabs>
        <w:spacing w:after="0" w:line="240" w:lineRule="auto"/>
        <w:ind w:left="3119" w:hanging="3119"/>
        <w:rPr>
          <w:rFonts w:ascii="Times New Roman" w:hAnsi="Times New Roman"/>
          <w:bCs/>
        </w:rPr>
      </w:pPr>
      <w:r w:rsidRPr="00D03EEC">
        <w:rPr>
          <w:rFonts w:ascii="Times New Roman" w:hAnsi="Times New Roman"/>
          <w:bCs/>
        </w:rPr>
        <w:t>MFG</w:t>
      </w:r>
      <w:r w:rsidRPr="00D03EEC">
        <w:rPr>
          <w:rFonts w:ascii="Times New Roman" w:hAnsi="Times New Roman"/>
          <w:bCs/>
        </w:rPr>
        <w:tab/>
        <w:t>Vyrobené mesiac &amp; rok</w:t>
      </w:r>
    </w:p>
    <w:p w:rsidR="00DB13E7" w:rsidRPr="00D03EEC" w:rsidRDefault="00DB13E7" w:rsidP="00DB13E7">
      <w:pPr>
        <w:tabs>
          <w:tab w:val="left" w:pos="2835"/>
          <w:tab w:val="left" w:pos="3119"/>
        </w:tabs>
        <w:spacing w:after="0" w:line="240" w:lineRule="auto"/>
        <w:ind w:left="3119" w:hanging="3119"/>
        <w:rPr>
          <w:rFonts w:ascii="Times New Roman" w:hAnsi="Times New Roman"/>
          <w:bCs/>
        </w:rPr>
      </w:pPr>
      <w:r w:rsidRPr="00D03EEC">
        <w:rPr>
          <w:rFonts w:ascii="Times New Roman" w:hAnsi="Times New Roman"/>
          <w:bCs/>
        </w:rPr>
        <w:t>EXP</w:t>
      </w:r>
      <w:r w:rsidRPr="00D03EEC">
        <w:rPr>
          <w:rFonts w:ascii="Times New Roman" w:hAnsi="Times New Roman"/>
          <w:bCs/>
        </w:rPr>
        <w:tab/>
        <w:t>Spotrebovať do mesiac &amp; rok</w:t>
      </w:r>
    </w:p>
    <w:p w:rsidR="00DB13E7" w:rsidRPr="00D03EEC" w:rsidRDefault="00DB13E7" w:rsidP="00DB13E7">
      <w:pPr>
        <w:tabs>
          <w:tab w:val="left" w:pos="2835"/>
          <w:tab w:val="left" w:pos="3119"/>
        </w:tabs>
        <w:spacing w:after="0" w:line="240" w:lineRule="auto"/>
        <w:ind w:left="3119" w:hanging="3119"/>
        <w:rPr>
          <w:rFonts w:ascii="Times New Roman" w:hAnsi="Times New Roman"/>
          <w:bCs/>
        </w:rPr>
      </w:pPr>
      <w:r w:rsidRPr="00D03EEC">
        <w:rPr>
          <w:rFonts w:ascii="Times New Roman" w:hAnsi="Times New Roman"/>
          <w:bCs/>
        </w:rPr>
        <w:t>LOT</w:t>
      </w:r>
      <w:r w:rsidRPr="00D03EEC">
        <w:rPr>
          <w:rFonts w:ascii="Times New Roman" w:hAnsi="Times New Roman"/>
          <w:bCs/>
        </w:rPr>
        <w:tab/>
        <w:t>Číslo šarže</w:t>
      </w:r>
    </w:p>
    <w:p w:rsidR="00DB13E7" w:rsidRPr="00D03EEC" w:rsidRDefault="00DB13E7" w:rsidP="00DB13E7">
      <w:pPr>
        <w:tabs>
          <w:tab w:val="left" w:pos="2835"/>
          <w:tab w:val="left" w:pos="3119"/>
        </w:tabs>
        <w:spacing w:after="0" w:line="240" w:lineRule="auto"/>
        <w:ind w:left="3119" w:hanging="3119"/>
        <w:rPr>
          <w:rFonts w:ascii="Times New Roman" w:hAnsi="Times New Roman"/>
          <w:bCs/>
        </w:rPr>
      </w:pPr>
      <w:r w:rsidRPr="00D03EEC">
        <w:rPr>
          <w:rFonts w:ascii="Times New Roman" w:hAnsi="Times New Roman"/>
          <w:bCs/>
        </w:rPr>
        <w:t>VET USE ONLY</w:t>
      </w:r>
      <w:r w:rsidRPr="00D03EEC">
        <w:rPr>
          <w:rFonts w:ascii="Times New Roman" w:hAnsi="Times New Roman"/>
          <w:bCs/>
        </w:rPr>
        <w:tab/>
        <w:t>Len na veterinárne použitie</w:t>
      </w:r>
    </w:p>
    <w:p w:rsidR="00DB13E7" w:rsidRPr="00D03EEC" w:rsidRDefault="00DB13E7" w:rsidP="00DB13E7">
      <w:pPr>
        <w:tabs>
          <w:tab w:val="left" w:pos="2835"/>
          <w:tab w:val="left" w:pos="3119"/>
        </w:tabs>
        <w:spacing w:after="0" w:line="240" w:lineRule="auto"/>
        <w:ind w:left="3119" w:hanging="3119"/>
        <w:rPr>
          <w:rFonts w:ascii="Times New Roman" w:hAnsi="Times New Roman"/>
          <w:bCs/>
        </w:rPr>
      </w:pPr>
      <w:r w:rsidRPr="00D03EEC">
        <w:rPr>
          <w:rFonts w:ascii="Times New Roman" w:hAnsi="Times New Roman"/>
          <w:bCs/>
        </w:rPr>
        <w:t>Piktogram</w:t>
      </w:r>
      <w:r w:rsidRPr="00D03EEC">
        <w:rPr>
          <w:rFonts w:ascii="Times New Roman" w:hAnsi="Times New Roman"/>
          <w:bCs/>
        </w:rPr>
        <w:tab/>
        <w:t>Nepoužívať znovu</w:t>
      </w:r>
    </w:p>
    <w:p w:rsidR="00DB13E7" w:rsidRPr="00D03EEC" w:rsidRDefault="00DB13E7" w:rsidP="00DB13E7">
      <w:pPr>
        <w:tabs>
          <w:tab w:val="left" w:pos="2835"/>
          <w:tab w:val="left" w:pos="3119"/>
        </w:tabs>
        <w:spacing w:after="0" w:line="240" w:lineRule="auto"/>
        <w:ind w:left="3119" w:hanging="3119"/>
        <w:rPr>
          <w:rFonts w:ascii="Times New Roman" w:hAnsi="Times New Roman"/>
          <w:bCs/>
        </w:rPr>
      </w:pPr>
      <w:r w:rsidRPr="00D03EEC">
        <w:rPr>
          <w:rFonts w:ascii="Times New Roman" w:hAnsi="Times New Roman"/>
          <w:bCs/>
        </w:rPr>
        <w:t>Piktogram</w:t>
      </w:r>
      <w:r w:rsidRPr="00D03EEC">
        <w:rPr>
          <w:rFonts w:ascii="Times New Roman" w:hAnsi="Times New Roman"/>
          <w:bCs/>
        </w:rPr>
        <w:tab/>
        <w:t>Prečítať návod na použitie</w:t>
      </w:r>
    </w:p>
    <w:p w:rsidR="00DB13E7" w:rsidRPr="00D03EEC" w:rsidRDefault="00DB13E7" w:rsidP="00DB13E7">
      <w:pPr>
        <w:tabs>
          <w:tab w:val="left" w:pos="2835"/>
          <w:tab w:val="left" w:pos="3119"/>
        </w:tabs>
        <w:spacing w:after="0" w:line="240" w:lineRule="auto"/>
        <w:ind w:left="3119" w:hanging="3119"/>
        <w:rPr>
          <w:rFonts w:ascii="Times New Roman" w:hAnsi="Times New Roman"/>
          <w:bCs/>
        </w:rPr>
      </w:pPr>
      <w:r w:rsidRPr="00D03EEC">
        <w:rPr>
          <w:rFonts w:ascii="Times New Roman" w:hAnsi="Times New Roman"/>
          <w:bCs/>
        </w:rPr>
        <w:t>STERILE EO</w:t>
      </w:r>
      <w:r w:rsidRPr="00D03EEC">
        <w:rPr>
          <w:rFonts w:ascii="Times New Roman" w:hAnsi="Times New Roman"/>
          <w:bCs/>
        </w:rPr>
        <w:tab/>
        <w:t>Sterilné, ak obal nie je poškodený alebo otvorený.</w:t>
      </w:r>
    </w:p>
    <w:p w:rsidR="00DB13E7" w:rsidRPr="00D03EEC" w:rsidRDefault="00DB13E7" w:rsidP="00DB13E7">
      <w:pPr>
        <w:tabs>
          <w:tab w:val="left" w:pos="2835"/>
          <w:tab w:val="left" w:pos="3119"/>
        </w:tabs>
        <w:spacing w:after="0" w:line="240" w:lineRule="auto"/>
        <w:ind w:left="3119" w:hanging="3119"/>
        <w:rPr>
          <w:rFonts w:ascii="Times New Roman" w:hAnsi="Times New Roman"/>
          <w:bCs/>
        </w:rPr>
      </w:pPr>
      <w:r w:rsidRPr="00D03EEC">
        <w:rPr>
          <w:rFonts w:ascii="Times New Roman" w:hAnsi="Times New Roman"/>
          <w:bCs/>
        </w:rPr>
        <w:tab/>
        <w:t xml:space="preserve">Metóda sterilizácie: </w:t>
      </w:r>
      <w:proofErr w:type="spellStart"/>
      <w:r w:rsidRPr="00D03EEC">
        <w:rPr>
          <w:rFonts w:ascii="Times New Roman" w:hAnsi="Times New Roman"/>
          <w:bCs/>
        </w:rPr>
        <w:t>Ethylen</w:t>
      </w:r>
      <w:proofErr w:type="spellEnd"/>
      <w:r w:rsidRPr="00D03EEC">
        <w:rPr>
          <w:rFonts w:ascii="Times New Roman" w:hAnsi="Times New Roman"/>
          <w:bCs/>
        </w:rPr>
        <w:t xml:space="preserve"> oxid</w:t>
      </w:r>
    </w:p>
    <w:p w:rsidR="00DB13E7" w:rsidRPr="00D03EEC" w:rsidRDefault="00DB13E7" w:rsidP="00DB13E7">
      <w:pPr>
        <w:spacing w:after="0" w:line="240" w:lineRule="auto"/>
        <w:rPr>
          <w:rFonts w:ascii="Times New Roman" w:hAnsi="Times New Roman"/>
        </w:rPr>
      </w:pPr>
    </w:p>
    <w:p w:rsidR="00DB13E7" w:rsidRPr="00D03EEC" w:rsidRDefault="00DB13E7" w:rsidP="00DB13E7">
      <w:pPr>
        <w:spacing w:after="0" w:line="240" w:lineRule="auto"/>
        <w:rPr>
          <w:rFonts w:ascii="Times New Roman" w:hAnsi="Times New Roman"/>
        </w:rPr>
      </w:pPr>
    </w:p>
    <w:p w:rsidR="00DB13E7" w:rsidRPr="00D03EEC" w:rsidRDefault="00DB13E7" w:rsidP="00DB13E7">
      <w:pPr>
        <w:spacing w:after="0" w:line="240" w:lineRule="auto"/>
        <w:rPr>
          <w:rFonts w:ascii="Times New Roman" w:hAnsi="Times New Roman"/>
        </w:rPr>
      </w:pPr>
      <w:r w:rsidRPr="00D03EEC">
        <w:rPr>
          <w:rFonts w:ascii="Times New Roman" w:hAnsi="Times New Roman"/>
        </w:rPr>
        <w:t>Číslo schválenia: 0</w:t>
      </w:r>
      <w:r>
        <w:rPr>
          <w:rFonts w:ascii="Times New Roman" w:hAnsi="Times New Roman"/>
        </w:rPr>
        <w:t>80</w:t>
      </w:r>
      <w:r w:rsidRPr="00D03EEC">
        <w:rPr>
          <w:rFonts w:ascii="Times New Roman" w:hAnsi="Times New Roman"/>
        </w:rPr>
        <w:t>/VZP/12-S</w:t>
      </w:r>
    </w:p>
    <w:p w:rsidR="00D02BC8" w:rsidRDefault="00DB13E7"/>
    <w:sectPr w:rsidR="00D0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F6"/>
    <w:rsid w:val="004934F6"/>
    <w:rsid w:val="004A60CF"/>
    <w:rsid w:val="008E135B"/>
    <w:rsid w:val="00BC7D9F"/>
    <w:rsid w:val="00D67ED0"/>
    <w:rsid w:val="00DB13E7"/>
    <w:rsid w:val="00DD0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13E7"/>
    <w:rPr>
      <w:rFonts w:ascii="Calibri" w:eastAsia="Calibri" w:hAnsi="Calibri" w:cs="Times New Roman"/>
    </w:rPr>
  </w:style>
  <w:style w:type="paragraph" w:styleId="Nadpis1">
    <w:name w:val="heading 1"/>
    <w:basedOn w:val="Normlny"/>
    <w:next w:val="Normlny"/>
    <w:link w:val="Nadpis1Char"/>
    <w:qFormat/>
    <w:rsid w:val="00DB13E7"/>
    <w:pPr>
      <w:keepNext/>
      <w:tabs>
        <w:tab w:val="left" w:pos="851"/>
      </w:tabs>
      <w:spacing w:before="120" w:after="0" w:line="240" w:lineRule="atLeast"/>
      <w:outlineLvl w:val="0"/>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B13E7"/>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DB13E7"/>
    <w:pPr>
      <w:spacing w:after="0" w:line="240" w:lineRule="auto"/>
    </w:pPr>
    <w:rPr>
      <w:rFonts w:ascii="Times New Roman" w:eastAsia="Times New Roman" w:hAnsi="Times New Roman"/>
      <w:szCs w:val="24"/>
      <w:lang w:eastAsia="cs-CZ"/>
    </w:rPr>
  </w:style>
  <w:style w:type="character" w:customStyle="1" w:styleId="Zkladntext2Char">
    <w:name w:val="Základný text 2 Char"/>
    <w:basedOn w:val="Predvolenpsmoodseku"/>
    <w:link w:val="Zkladntext2"/>
    <w:rsid w:val="00DB13E7"/>
    <w:rPr>
      <w:rFonts w:ascii="Times New Roman" w:eastAsia="Times New Roman" w:hAnsi="Times New Roman"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13E7"/>
    <w:rPr>
      <w:rFonts w:ascii="Calibri" w:eastAsia="Calibri" w:hAnsi="Calibri" w:cs="Times New Roman"/>
    </w:rPr>
  </w:style>
  <w:style w:type="paragraph" w:styleId="Nadpis1">
    <w:name w:val="heading 1"/>
    <w:basedOn w:val="Normlny"/>
    <w:next w:val="Normlny"/>
    <w:link w:val="Nadpis1Char"/>
    <w:qFormat/>
    <w:rsid w:val="00DB13E7"/>
    <w:pPr>
      <w:keepNext/>
      <w:tabs>
        <w:tab w:val="left" w:pos="851"/>
      </w:tabs>
      <w:spacing w:before="120" w:after="0" w:line="240" w:lineRule="atLeast"/>
      <w:outlineLvl w:val="0"/>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B13E7"/>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DB13E7"/>
    <w:pPr>
      <w:spacing w:after="0" w:line="240" w:lineRule="auto"/>
    </w:pPr>
    <w:rPr>
      <w:rFonts w:ascii="Times New Roman" w:eastAsia="Times New Roman" w:hAnsi="Times New Roman"/>
      <w:szCs w:val="24"/>
      <w:lang w:eastAsia="cs-CZ"/>
    </w:rPr>
  </w:style>
  <w:style w:type="character" w:customStyle="1" w:styleId="Zkladntext2Char">
    <w:name w:val="Základný text 2 Char"/>
    <w:basedOn w:val="Predvolenpsmoodseku"/>
    <w:link w:val="Zkladntext2"/>
    <w:rsid w:val="00DB13E7"/>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4591</Characters>
  <Application>Microsoft Office Word</Application>
  <DocSecurity>0</DocSecurity>
  <Lines>38</Lines>
  <Paragraphs>10</Paragraphs>
  <ScaleCrop>false</ScaleCrop>
  <Company>ATC</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Katarína Rajtarová</dc:creator>
  <cp:keywords/>
  <dc:description/>
  <cp:lastModifiedBy>Mgr. Katarína Rajtarová</cp:lastModifiedBy>
  <cp:revision>2</cp:revision>
  <dcterms:created xsi:type="dcterms:W3CDTF">2020-07-24T08:39:00Z</dcterms:created>
  <dcterms:modified xsi:type="dcterms:W3CDTF">2020-07-24T08:40:00Z</dcterms:modified>
</cp:coreProperties>
</file>