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C0" w:rsidRPr="00BD71C0" w:rsidRDefault="00BD71C0" w:rsidP="00BD7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SÚHRN CHARAKTERISTICKÝCH VLASTNOSTÍ</w:t>
      </w:r>
    </w:p>
    <w:p w:rsidR="00BD71C0" w:rsidRDefault="00BD71C0" w:rsidP="00BD7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1. </w:t>
      </w:r>
      <w:r w:rsidRPr="00BD71C0">
        <w:rPr>
          <w:rFonts w:ascii="Times New Roman" w:eastAsia="Times New Roman" w:hAnsi="Times New Roman" w:cs="Times New Roman"/>
          <w:b/>
        </w:rPr>
        <w:tab/>
        <w:t xml:space="preserve">NÁZOV </w:t>
      </w:r>
      <w:r w:rsidRPr="00BD71C0">
        <w:rPr>
          <w:rFonts w:ascii="Times New Roman" w:eastAsia="Times New Roman" w:hAnsi="Times New Roman" w:cs="Times New Roman"/>
          <w:b/>
          <w:bCs/>
        </w:rPr>
        <w:t xml:space="preserve">VETERINÁRNEHO </w:t>
      </w:r>
      <w:r w:rsidRPr="00BD71C0">
        <w:rPr>
          <w:rFonts w:ascii="Times New Roman" w:eastAsia="Times New Roman" w:hAnsi="Times New Roman" w:cs="Times New Roman"/>
          <w:b/>
        </w:rPr>
        <w:t>LIEKU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VETMULIN 125 mg/ml roztok na podanie v pitnej vode pre ošípané a kurčatá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2. </w:t>
      </w:r>
      <w:r w:rsidRPr="00BD71C0">
        <w:rPr>
          <w:rFonts w:ascii="Times New Roman" w:eastAsia="Times New Roman" w:hAnsi="Times New Roman" w:cs="Times New Roman"/>
          <w:b/>
        </w:rPr>
        <w:tab/>
        <w:t>KVALITATÍVNE A KVANTITATÍVNE ZLOŽENIE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1 ml obsahuje: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Účinná látka: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Tiamulini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hydrogenofumaras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>125,0 mg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(zodpovedá </w:t>
      </w:r>
      <w:proofErr w:type="spellStart"/>
      <w:r w:rsidRPr="00BD71C0">
        <w:rPr>
          <w:rFonts w:ascii="Times New Roman" w:eastAsia="Times New Roman" w:hAnsi="Times New Roman" w:cs="Times New Roman"/>
        </w:rPr>
        <w:t>tiamulinum</w:t>
      </w:r>
      <w:proofErr w:type="spellEnd"/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>101,2 mg)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>Pomocné látky: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Metylparabén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(E218) 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>0,90 mg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Propylparabén</w:t>
      </w:r>
      <w:proofErr w:type="spellEnd"/>
      <w:r w:rsidRPr="00BD71C0">
        <w:rPr>
          <w:rFonts w:ascii="Times New Roman" w:eastAsia="Times New Roman" w:hAnsi="Times New Roman" w:cs="Times New Roman"/>
          <w:bCs/>
          <w:color w:val="000000"/>
          <w:lang w:eastAsia="nl-BE"/>
        </w:rPr>
        <w:t xml:space="preserve"> </w:t>
      </w:r>
      <w:r w:rsidRPr="00BD71C0">
        <w:rPr>
          <w:rFonts w:ascii="Times New Roman" w:eastAsia="Times New Roman" w:hAnsi="Times New Roman" w:cs="Times New Roman"/>
        </w:rPr>
        <w:t xml:space="preserve">   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>0,10 mg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Úplný zoznam pomocných látok je uvedený v časti 6.1.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3. </w:t>
      </w:r>
      <w:r w:rsidRPr="00BD71C0">
        <w:rPr>
          <w:rFonts w:ascii="Times New Roman" w:eastAsia="Times New Roman" w:hAnsi="Times New Roman" w:cs="Times New Roman"/>
          <w:b/>
        </w:rPr>
        <w:tab/>
        <w:t>LIEKOVÁ FORMA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Roztok na podanie v pitnej vode.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</w:rPr>
        <w:t>Číry, bezfarebný až slabožltý roztok.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 </w:t>
      </w:r>
      <w:r w:rsidRPr="00BD71C0">
        <w:rPr>
          <w:rFonts w:ascii="Times New Roman" w:eastAsia="Times New Roman" w:hAnsi="Times New Roman" w:cs="Times New Roman"/>
          <w:b/>
        </w:rPr>
        <w:tab/>
        <w:t>KLINICKÉ ÚDAJE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4.1 </w:t>
      </w:r>
      <w:r w:rsidRPr="00BD71C0">
        <w:rPr>
          <w:rFonts w:ascii="Times New Roman" w:eastAsia="Times New Roman" w:hAnsi="Times New Roman" w:cs="Times New Roman"/>
          <w:b/>
        </w:rPr>
        <w:tab/>
        <w:t>Cieľové druhy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Ošípané. Kurčatá (nosnice).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4.2 </w:t>
      </w:r>
      <w:r w:rsidRPr="00BD71C0">
        <w:rPr>
          <w:rFonts w:ascii="Times New Roman" w:eastAsia="Times New Roman" w:hAnsi="Times New Roman" w:cs="Times New Roman"/>
          <w:b/>
        </w:rPr>
        <w:tab/>
        <w:t>Indikácie na použitie so špecifikovaním cieľových druhov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Ošípané:</w:t>
      </w:r>
    </w:p>
    <w:p w:rsidR="00BD71C0" w:rsidRPr="00BD71C0" w:rsidRDefault="00BD71C0" w:rsidP="00BD71C0">
      <w:pPr>
        <w:numPr>
          <w:ilvl w:val="0"/>
          <w:numId w:val="40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</w:rPr>
        <w:t xml:space="preserve">Liečba dyzentérie ošípaných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hyodysenteriae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citlivými na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>. Pred použitím lieku musí byť potvrdená prítomnosť ochorenia v stáde.</w:t>
      </w:r>
    </w:p>
    <w:p w:rsidR="00BD71C0" w:rsidRPr="00BD71C0" w:rsidRDefault="00BD71C0" w:rsidP="00BD71C0">
      <w:pPr>
        <w:numPr>
          <w:ilvl w:val="0"/>
          <w:numId w:val="40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</w:rPr>
        <w:t xml:space="preserve">Liečba </w:t>
      </w:r>
      <w:proofErr w:type="spellStart"/>
      <w:r w:rsidRPr="00BD71C0">
        <w:rPr>
          <w:rFonts w:ascii="Times New Roman" w:eastAsia="Times New Roman" w:hAnsi="Times New Roman" w:cs="Times New Roman"/>
        </w:rPr>
        <w:t>spirochetózy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hrubého čreva ošípaných (</w:t>
      </w:r>
      <w:proofErr w:type="spellStart"/>
      <w:r w:rsidRPr="00BD71C0">
        <w:rPr>
          <w:rFonts w:ascii="Times New Roman" w:eastAsia="Times New Roman" w:hAnsi="Times New Roman" w:cs="Times New Roman"/>
        </w:rPr>
        <w:t>kolitídy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hnačky spôsobenej </w:t>
      </w:r>
      <w:proofErr w:type="spellStart"/>
      <w:r w:rsidRPr="00BD71C0">
        <w:rPr>
          <w:rFonts w:ascii="Times New Roman" w:eastAsia="Times New Roman" w:hAnsi="Times New Roman" w:cs="Times New Roman"/>
        </w:rPr>
        <w:t>spirochétami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)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pilosicoli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citlivými na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>. Pred použitím lieku musí byť potvrdená prítomnosť ochorenia v stáde.</w:t>
      </w:r>
    </w:p>
    <w:p w:rsidR="00BD71C0" w:rsidRPr="00BD71C0" w:rsidRDefault="00BD71C0" w:rsidP="00BD71C0">
      <w:pPr>
        <w:numPr>
          <w:ilvl w:val="0"/>
          <w:numId w:val="40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</w:rPr>
        <w:t xml:space="preserve">Liečba </w:t>
      </w:r>
      <w:proofErr w:type="spellStart"/>
      <w:r w:rsidRPr="00BD71C0">
        <w:rPr>
          <w:rFonts w:ascii="Times New Roman" w:eastAsia="Times New Roman" w:hAnsi="Times New Roman" w:cs="Times New Roman"/>
        </w:rPr>
        <w:t>proliferatívnej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enteropatie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ošípaných (</w:t>
      </w:r>
      <w:proofErr w:type="spellStart"/>
      <w:r w:rsidRPr="00BD71C0">
        <w:rPr>
          <w:rFonts w:ascii="Times New Roman" w:eastAsia="Times New Roman" w:hAnsi="Times New Roman" w:cs="Times New Roman"/>
        </w:rPr>
        <w:t>ileitída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)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Lawsonia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intracellularis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citlivými na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>. Pred použitím lieku musí byť potvrdená prítomnosť ochorenia v stáde.</w:t>
      </w:r>
    </w:p>
    <w:p w:rsidR="00BD71C0" w:rsidRPr="00BD71C0" w:rsidRDefault="00BD71C0" w:rsidP="00BD71C0">
      <w:pPr>
        <w:numPr>
          <w:ilvl w:val="0"/>
          <w:numId w:val="40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</w:rPr>
        <w:t xml:space="preserve">Liečba a </w:t>
      </w:r>
      <w:proofErr w:type="spellStart"/>
      <w:r w:rsidRPr="00BD71C0">
        <w:rPr>
          <w:rFonts w:ascii="Times New Roman" w:eastAsia="Times New Roman" w:hAnsi="Times New Roman" w:cs="Times New Roman"/>
        </w:rPr>
        <w:t>metafylaxia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enzootickej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pneumónie ošípaných spôsobenej zárodkami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hyopneumoniae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vrátane infekcií komplikovaných zárodkami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Pasteurella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multocida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citlivými na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  <w:r w:rsidR="0016283B">
        <w:rPr>
          <w:rFonts w:ascii="Times New Roman" w:eastAsia="Times New Roman" w:hAnsi="Times New Roman" w:cs="Times New Roman"/>
        </w:rPr>
        <w:t xml:space="preserve"> </w:t>
      </w:r>
      <w:r w:rsidRPr="00BD71C0">
        <w:rPr>
          <w:rFonts w:ascii="Times New Roman" w:eastAsia="Times New Roman" w:hAnsi="Times New Roman" w:cs="Times New Roman"/>
        </w:rPr>
        <w:t>Pred použitím lieku musí byť potvrdená prítomnosť ochorenia v stáde.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Nosnice: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Liečba a </w:t>
      </w:r>
      <w:proofErr w:type="spellStart"/>
      <w:r w:rsidRPr="00BD71C0">
        <w:rPr>
          <w:rFonts w:ascii="Times New Roman" w:eastAsia="Times New Roman" w:hAnsi="Times New Roman" w:cs="Times New Roman"/>
        </w:rPr>
        <w:t>metafylaxia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chronickej respiračnej choroby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gallisepticum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aerosakulitídy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infekčnej </w:t>
      </w:r>
      <w:proofErr w:type="spellStart"/>
      <w:r w:rsidRPr="00BD71C0">
        <w:rPr>
          <w:rFonts w:ascii="Times New Roman" w:eastAsia="Times New Roman" w:hAnsi="Times New Roman" w:cs="Times New Roman"/>
        </w:rPr>
        <w:t>synovitídy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synoviae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citlivými na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Pred použitím lieku musí byť potvrdená prítomnosť ochorenia v kŕdli.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4.3 </w:t>
      </w:r>
      <w:r w:rsidRPr="00BD71C0">
        <w:rPr>
          <w:rFonts w:ascii="Times New Roman" w:eastAsia="Times New Roman" w:hAnsi="Times New Roman" w:cs="Times New Roman"/>
          <w:b/>
        </w:rPr>
        <w:tab/>
        <w:t>Kontraindikácie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lastRenderedPageBreak/>
        <w:t xml:space="preserve">Nepoužívať u zvierat, ktoré by mohli dostávať lieky obsahujúce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počas liečby alebo 7 dní pred a 7 dní po liečbe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>. Môže dôjsť k vážnemu potlačeniu rastu alebo úhynu.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Nepoužívať v prípadoch precitlivenosti na účinnú látku alebo na niektorú z pomocných látok.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</w:rPr>
        <w:t xml:space="preserve">V časti 4.8 nájdete informácie týkajúce sa interakcie medzi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ionofórmi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4.4 </w:t>
      </w:r>
      <w:r w:rsidRPr="00BD71C0">
        <w:rPr>
          <w:rFonts w:ascii="Times New Roman" w:eastAsia="Times New Roman" w:hAnsi="Times New Roman" w:cs="Times New Roman"/>
          <w:b/>
        </w:rPr>
        <w:tab/>
        <w:t>Osobitné upozornenia pre každý cieľový druh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BD71C0">
        <w:rPr>
          <w:rFonts w:ascii="Times New Roman" w:eastAsia="Times New Roman" w:hAnsi="Times New Roman" w:cs="Times New Roman"/>
          <w:snapToGrid w:val="0"/>
        </w:rPr>
        <w:t xml:space="preserve">Ošípané so zníženým príjmom vody a / alebo v oslabenej kondícii je nutné liečiť </w:t>
      </w:r>
      <w:proofErr w:type="spellStart"/>
      <w:r w:rsidRPr="00BD71C0">
        <w:rPr>
          <w:rFonts w:ascii="Times New Roman" w:eastAsia="Times New Roman" w:hAnsi="Times New Roman" w:cs="Times New Roman"/>
          <w:snapToGrid w:val="0"/>
        </w:rPr>
        <w:t>parenterálne</w:t>
      </w:r>
      <w:proofErr w:type="spellEnd"/>
      <w:r w:rsidRPr="00BD71C0">
        <w:rPr>
          <w:rFonts w:ascii="Times New Roman" w:eastAsia="Times New Roman" w:hAnsi="Times New Roman" w:cs="Times New Roman"/>
          <w:snapToGrid w:val="0"/>
        </w:rPr>
        <w:t>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BD71C0">
        <w:rPr>
          <w:rFonts w:ascii="Times New Roman" w:eastAsia="Times New Roman" w:hAnsi="Times New Roman" w:cs="Times New Roman"/>
          <w:snapToGrid w:val="0"/>
        </w:rPr>
        <w:t xml:space="preserve">Príjem vody u hydiny sa môže počas podávania </w:t>
      </w:r>
      <w:proofErr w:type="spellStart"/>
      <w:r w:rsidRPr="00BD71C0">
        <w:rPr>
          <w:rFonts w:ascii="Times New Roman" w:eastAsia="Times New Roman" w:hAnsi="Times New Roman" w:cs="Times New Roman"/>
          <w:snapToGrid w:val="0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  <w:snapToGrid w:val="0"/>
        </w:rPr>
        <w:t xml:space="preserve"> znížiť. To sa prejavuje ako účinok závislý od koncentrácie. U kurčiat, 500 mg </w:t>
      </w:r>
      <w:proofErr w:type="spellStart"/>
      <w:r w:rsidRPr="00BD71C0">
        <w:rPr>
          <w:rFonts w:ascii="Times New Roman" w:eastAsia="Times New Roman" w:hAnsi="Times New Roman" w:cs="Times New Roman"/>
          <w:snapToGrid w:val="0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snapToGrid w:val="0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snapToGrid w:val="0"/>
        </w:rPr>
        <w:t xml:space="preserve"> (zodpovedá 4 ml lieku) v 4 litroch vody môže znižovať jej príjem približne o 10 % a 500 mg </w:t>
      </w:r>
      <w:proofErr w:type="spellStart"/>
      <w:r w:rsidRPr="00BD71C0">
        <w:rPr>
          <w:rFonts w:ascii="Times New Roman" w:eastAsia="Times New Roman" w:hAnsi="Times New Roman" w:cs="Times New Roman"/>
          <w:snapToGrid w:val="0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snapToGrid w:val="0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snapToGrid w:val="0"/>
        </w:rPr>
        <w:t xml:space="preserve"> (zodpovedá 4 ml lieku) v 2 litroch vody o 15 %. 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BD71C0">
        <w:rPr>
          <w:rFonts w:ascii="Times New Roman" w:eastAsia="Times New Roman" w:hAnsi="Times New Roman" w:cs="Times New Roman"/>
          <w:snapToGrid w:val="0"/>
        </w:rPr>
        <w:t>Zdá sa, že nemá akýkoľvek nežiaduci účinok na celkové správanie vtákov alebo účinnosť veterinárneho lieku, ale príjem vody u hydiny je nutné počas liečby sledovať v častých intervaloch, najmä v horúcom počasí.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4.5 </w:t>
      </w:r>
      <w:r w:rsidRPr="00BD71C0">
        <w:rPr>
          <w:rFonts w:ascii="Times New Roman" w:eastAsia="Times New Roman" w:hAnsi="Times New Roman" w:cs="Times New Roman"/>
          <w:b/>
        </w:rPr>
        <w:tab/>
        <w:t>Osobitné bezpečnostné opatrenia na používanie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Osobitné bezpečnostné opatrenia na používanie u zvierat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Použitie lieku musí byť založené na stanovení citlivosti baktérií izolovaných zo zvieraťa. Ak to nie je možné, je nutné založiť terapiu na miestnych (regionálnych, farmových) epidemiologických informáciách o citlivosti cieľovej baktérie. 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Použitie veterinárneho lieku, ktoré sa odlišuje od pokynov v tomto súhrne charakteristických vlastností lieku môže zvýšiť </w:t>
      </w:r>
      <w:proofErr w:type="spellStart"/>
      <w:r w:rsidRPr="00BD71C0">
        <w:rPr>
          <w:rFonts w:ascii="Times New Roman" w:eastAsia="Times New Roman" w:hAnsi="Times New Roman" w:cs="Times New Roman"/>
        </w:rPr>
        <w:t>prevalenciu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baktérií rezistentných voči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Osobitné bezpečnostné opatrenia, ktoré má urobiť osoba podávajúca liek zvieratám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Ľudia so známou precitlivenosťou na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BD71C0">
        <w:rPr>
          <w:rFonts w:ascii="Times New Roman" w:eastAsia="Times New Roman" w:hAnsi="Times New Roman" w:cs="Times New Roman"/>
        </w:rPr>
        <w:t>parabény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by mali veterinárny liek podávať s opatrnosťou a vyhnúť sa kontaktu </w:t>
      </w:r>
      <w:proofErr w:type="spellStart"/>
      <w:r w:rsidRPr="00BD71C0">
        <w:rPr>
          <w:rFonts w:ascii="Times New Roman" w:eastAsia="Times New Roman" w:hAnsi="Times New Roman" w:cs="Times New Roman"/>
        </w:rPr>
        <w:t>medikovanej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vody s kožou. Liek ako aj liek nariedený v pitnej vode môžu pri kontakte spôsobiť reakcie z precitlivenosti. Zabráňte kontaktu s kožou. Pri miešaní a manipulácii s liekom nefajčite, nejedzte ani nepite. Pri miešaní a manipulácii s liekom používajte ochranný odev a rukavice a po použití si umyte ruky. V prípade náhodného kontaktu s kožou ju dôkladne opláchnite čistou tečúcou vodou. Kontaminovaný odev sa má odstrániť. Je potrebné zabrániť požitiu lieku alebo </w:t>
      </w:r>
      <w:proofErr w:type="spellStart"/>
      <w:r w:rsidRPr="00BD71C0">
        <w:rPr>
          <w:rFonts w:ascii="Times New Roman" w:eastAsia="Times New Roman" w:hAnsi="Times New Roman" w:cs="Times New Roman"/>
        </w:rPr>
        <w:t>medikovanej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vody. V prípade náhodného požitia ústa dôkladne vypláchnite čistou vodou a ihneď vyhľadajte lekársku pomoc.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4.6 </w:t>
      </w:r>
      <w:r w:rsidRPr="00BD71C0">
        <w:rPr>
          <w:rFonts w:ascii="Times New Roman" w:eastAsia="Times New Roman" w:hAnsi="Times New Roman" w:cs="Times New Roman"/>
          <w:b/>
        </w:rPr>
        <w:tab/>
        <w:t>Nežiaduce účinky (frekvencia a závažnosť)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Ošípané: Vo veľmi zriedkavých prípadoch sa môže po použití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u ošípaných vyskytnúť </w:t>
      </w:r>
      <w:proofErr w:type="spellStart"/>
      <w:r w:rsidRPr="00BD71C0">
        <w:rPr>
          <w:rFonts w:ascii="Times New Roman" w:eastAsia="Times New Roman" w:hAnsi="Times New Roman" w:cs="Times New Roman"/>
        </w:rPr>
        <w:t>erytém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mierny opuch kože.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Kurčatá (nosnice): neznáme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Frekvencia výskytu nežiaducich účinkov sa definuje použitím nasledujúceho pravidla:</w:t>
      </w:r>
    </w:p>
    <w:p w:rsidR="00BD71C0" w:rsidRPr="00BD71C0" w:rsidRDefault="00BD71C0" w:rsidP="00BD71C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veľmi časté (nežiaduce účinky sa prejavili u viac ako 1 z 10 liečených zvierat)</w:t>
      </w:r>
    </w:p>
    <w:p w:rsidR="00BD71C0" w:rsidRPr="00BD71C0" w:rsidRDefault="00BD71C0" w:rsidP="00BD71C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časté (u viac ako 1 ale menej ako 10 zo 100 liečených zvierat)</w:t>
      </w:r>
    </w:p>
    <w:p w:rsidR="00BD71C0" w:rsidRPr="00BD71C0" w:rsidRDefault="00BD71C0" w:rsidP="00BD71C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menej časté (u viac ako 1 ale menej ako 10 z 1 000 liečených zvierat)</w:t>
      </w:r>
    </w:p>
    <w:p w:rsidR="00BD71C0" w:rsidRPr="00BD71C0" w:rsidRDefault="00BD71C0" w:rsidP="00BD71C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zriedkavé (u viac ako 1 ale menej ako 10 z 10 000 liečených zvierat)</w:t>
      </w:r>
    </w:p>
    <w:p w:rsidR="00BD71C0" w:rsidRPr="00BD71C0" w:rsidRDefault="00BD71C0" w:rsidP="00BD71C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veľmi zriedkavé (u menej ako 1 z 10 000 liečených zvierat, vrátane ojedinelých hlásení).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4.7 </w:t>
      </w:r>
      <w:r w:rsidRPr="00BD71C0">
        <w:rPr>
          <w:rFonts w:ascii="Times New Roman" w:eastAsia="Times New Roman" w:hAnsi="Times New Roman" w:cs="Times New Roman"/>
          <w:b/>
        </w:rPr>
        <w:tab/>
        <w:t>Použitie počas gravidity, laktácie, znášky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u w:val="single"/>
        </w:rPr>
        <w:t>Gravidita a laktácia: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Možno použiť u ošípaných počas gravidity a laktácie.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u w:val="single"/>
        </w:rPr>
        <w:t>Nosnice: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Možno použiť u nosníc.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4.8 </w:t>
      </w:r>
      <w:r w:rsidRPr="00BD71C0">
        <w:rPr>
          <w:rFonts w:ascii="Times New Roman" w:eastAsia="Times New Roman" w:hAnsi="Times New Roman" w:cs="Times New Roman"/>
          <w:b/>
        </w:rPr>
        <w:tab/>
        <w:t>Liekové interakcie a iné formy vzájomného pôsobenia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Ukázalo sa, že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interaguje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BD71C0">
        <w:rPr>
          <w:rFonts w:ascii="Times New Roman" w:eastAsia="Times New Roman" w:hAnsi="Times New Roman" w:cs="Times New Roman"/>
        </w:rPr>
        <w:t>ionofórmi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ako sú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môže vyvolať príznaky neodlíšiteľné od </w:t>
      </w:r>
      <w:proofErr w:type="spellStart"/>
      <w:r w:rsidRPr="00BD71C0">
        <w:rPr>
          <w:rFonts w:ascii="Times New Roman" w:eastAsia="Times New Roman" w:hAnsi="Times New Roman" w:cs="Times New Roman"/>
        </w:rPr>
        <w:t>toxikózy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spôsobenej </w:t>
      </w:r>
      <w:proofErr w:type="spellStart"/>
      <w:r w:rsidRPr="00BD71C0">
        <w:rPr>
          <w:rFonts w:ascii="Times New Roman" w:eastAsia="Times New Roman" w:hAnsi="Times New Roman" w:cs="Times New Roman"/>
        </w:rPr>
        <w:t>ionofórmi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Zvieratá by nemali dostávať lieky obsahujúce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počas liečby alebo najmenej 7 dní pred a 7 dní po liečbe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Môže dôjsť k závažnému potlačeniu rastu, </w:t>
      </w:r>
      <w:proofErr w:type="spellStart"/>
      <w:r w:rsidRPr="00BD71C0">
        <w:rPr>
          <w:rFonts w:ascii="Times New Roman" w:eastAsia="Times New Roman" w:hAnsi="Times New Roman" w:cs="Times New Roman"/>
        </w:rPr>
        <w:t>ataxii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paralýze alebo úhynu. Ak sa objavia príznaky interakcie, ukončite ihneď podávanie ako pitnej vody s obsahom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tak aj podávanie krmiva kontaminovaného </w:t>
      </w:r>
      <w:proofErr w:type="spellStart"/>
      <w:r w:rsidRPr="00BD71C0">
        <w:rPr>
          <w:rFonts w:ascii="Times New Roman" w:eastAsia="Times New Roman" w:hAnsi="Times New Roman" w:cs="Times New Roman"/>
        </w:rPr>
        <w:t>ionofórmi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Krmivo je potrebné odstrániť a nahradiť ho čerstvým krmivom, ktoré neobsahuje </w:t>
      </w:r>
      <w:proofErr w:type="spellStart"/>
      <w:r w:rsidRPr="00BD71C0">
        <w:rPr>
          <w:rFonts w:ascii="Times New Roman" w:eastAsia="Times New Roman" w:hAnsi="Times New Roman" w:cs="Times New Roman"/>
        </w:rPr>
        <w:t>antikokcidiká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Ukazuje sa, že súbežné použitie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divalentných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inonofórových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antikokcidík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lasalocidu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semduramicínu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žiadnu interakciu nespôsobuje, avšak súbežné použitie </w:t>
      </w:r>
      <w:proofErr w:type="spellStart"/>
      <w:r w:rsidRPr="00BD71C0">
        <w:rPr>
          <w:rFonts w:ascii="Times New Roman" w:eastAsia="Times New Roman" w:hAnsi="Times New Roman" w:cs="Times New Roman"/>
        </w:rPr>
        <w:t>maduramycínu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môže spôsobiť slabé až mierne potlačenie rastu u kurčiat. Ide o prechodnú situáciu a k zotaveniu zvyčajne dochádza počas 3 - 5 dní po vysadení liečby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4.9 </w:t>
      </w:r>
      <w:r w:rsidRPr="00BD71C0">
        <w:rPr>
          <w:rFonts w:ascii="Times New Roman" w:eastAsia="Times New Roman" w:hAnsi="Times New Roman" w:cs="Times New Roman"/>
          <w:b/>
        </w:rPr>
        <w:tab/>
        <w:t>Dávkovanie a spôsob podania lieku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Podanie v pitnej vode.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Pokyn na prípravu roztokov lieku: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Na zabezpečenie správneho dávkovania sa má živá hmotnosť stanoviť čo možno najpresnejšie, aby sa predišlo </w:t>
      </w:r>
      <w:proofErr w:type="spellStart"/>
      <w:r w:rsidRPr="00BD71C0">
        <w:rPr>
          <w:rFonts w:ascii="Times New Roman" w:eastAsia="Times New Roman" w:hAnsi="Times New Roman" w:cs="Times New Roman"/>
        </w:rPr>
        <w:t>poddávkovaniu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Príjem </w:t>
      </w:r>
      <w:proofErr w:type="spellStart"/>
      <w:r w:rsidRPr="00BD71C0">
        <w:rPr>
          <w:rFonts w:ascii="Times New Roman" w:eastAsia="Times New Roman" w:hAnsi="Times New Roman" w:cs="Times New Roman"/>
        </w:rPr>
        <w:t>medikovanej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vody závisí od klinického stavu zvierat. Aby bolo dosiahnuté správne dávkovanie, koncentrácia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musí byť zodpovedajúcim spôsobom upravená.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Dávka lieku, ktorá sa má použiť, sa má stanoviť podľa nasledujúceho vzorca: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right="165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.... ml lieku a deň 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 xml:space="preserve">x </w:t>
      </w:r>
      <w:r w:rsidRPr="00BD71C0">
        <w:rPr>
          <w:rFonts w:ascii="Times New Roman" w:eastAsia="Times New Roman" w:hAnsi="Times New Roman" w:cs="Times New Roman"/>
        </w:rPr>
        <w:tab/>
        <w:t xml:space="preserve">priemerná  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</w:p>
    <w:p w:rsidR="00BD71C0" w:rsidRPr="00BD71C0" w:rsidRDefault="00BD71C0" w:rsidP="00BD71C0">
      <w:pPr>
        <w:spacing w:after="0" w:line="240" w:lineRule="auto"/>
        <w:ind w:right="165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na kg živej hmotnosti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>živá hmotnosť (kg)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>ml lieku na liter</w:t>
      </w:r>
    </w:p>
    <w:p w:rsidR="00BD71C0" w:rsidRPr="00BD71C0" w:rsidRDefault="00BD71C0" w:rsidP="00BD71C0">
      <w:pPr>
        <w:spacing w:after="0" w:line="240" w:lineRule="auto"/>
        <w:ind w:right="165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----------------------------------------------------------------------   =  </w:t>
      </w:r>
      <w:r w:rsidRPr="00BD71C0">
        <w:rPr>
          <w:rFonts w:ascii="Times New Roman" w:eastAsia="Times New Roman" w:hAnsi="Times New Roman" w:cs="Times New Roman"/>
        </w:rPr>
        <w:tab/>
        <w:t>pitnej vody a deň</w:t>
      </w:r>
    </w:p>
    <w:p w:rsidR="00BD71C0" w:rsidRPr="00BD71C0" w:rsidRDefault="00BD71C0" w:rsidP="00BD71C0">
      <w:pPr>
        <w:spacing w:after="0" w:line="240" w:lineRule="auto"/>
        <w:ind w:right="165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                            príjem vody (litre na zviera a deň)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Na meranie požadovaného množstva lieku použite dostatočne presné komerčne dostupné zariadenie. Na prípravu </w:t>
      </w:r>
      <w:proofErr w:type="spellStart"/>
      <w:r w:rsidRPr="00BD71C0">
        <w:rPr>
          <w:rFonts w:ascii="Times New Roman" w:eastAsia="Times New Roman" w:hAnsi="Times New Roman" w:cs="Times New Roman"/>
        </w:rPr>
        <w:t>medikovanej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pitnej vody používajte len čisté nádoby. Pripravenú pitnú vodu s obsahom lieku miešajte po príprave aspoň 1 minútu, aby sa zaistila homogenita.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Pri pridávaní liečiva do veľkých objemov vody najprv pripravte koncentrovaný roztok a potom ho zrieďte na požadovanú konečnú koncentráciu. Maximálna rozpustnosť lieku je 200 ml/l.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Medikovaná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pitná voda by sa mala obnovovať alebo vymieňať každých 24 hodín.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Aby sa zabránilo interakciám medzi </w:t>
      </w:r>
      <w:proofErr w:type="spellStart"/>
      <w:r w:rsidRPr="00BD71C0">
        <w:rPr>
          <w:rFonts w:ascii="Times New Roman" w:eastAsia="Times New Roman" w:hAnsi="Times New Roman" w:cs="Times New Roman"/>
        </w:rPr>
        <w:t>ionofórmi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veterinárny lekár a chovateľ majú skontrolovať, či etiketa krmiva neuvádza, že obsahuje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V prípade kurčiat v záujme zabránenia interakciám medzi nekompatibilnými </w:t>
      </w:r>
      <w:proofErr w:type="spellStart"/>
      <w:r w:rsidRPr="00BD71C0">
        <w:rPr>
          <w:rFonts w:ascii="Times New Roman" w:eastAsia="Times New Roman" w:hAnsi="Times New Roman" w:cs="Times New Roman"/>
        </w:rPr>
        <w:t>ionofórmi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je nutné upozorniť </w:t>
      </w:r>
      <w:proofErr w:type="spellStart"/>
      <w:r w:rsidRPr="00BD71C0">
        <w:rPr>
          <w:rFonts w:ascii="Times New Roman" w:eastAsia="Times New Roman" w:hAnsi="Times New Roman" w:cs="Times New Roman"/>
        </w:rPr>
        <w:t>miešarne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dodávajúce krmivo pre hydinu, že bude použitý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a že tieto </w:t>
      </w:r>
      <w:proofErr w:type="spellStart"/>
      <w:r w:rsidRPr="00BD71C0">
        <w:rPr>
          <w:rFonts w:ascii="Times New Roman" w:eastAsia="Times New Roman" w:hAnsi="Times New Roman" w:cs="Times New Roman"/>
        </w:rPr>
        <w:t>antikokcidiká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nemožno do krmiva pridávať alebo nimi krmivo kontaminovať.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V prípade, že existuje akékoľvek podozrenie na prípadnú kontamináciu krmiva, krmivo pred použitím otestujte na prítomnosť </w:t>
      </w:r>
      <w:proofErr w:type="spellStart"/>
      <w:r w:rsidRPr="00BD71C0">
        <w:rPr>
          <w:rFonts w:ascii="Times New Roman" w:eastAsia="Times New Roman" w:hAnsi="Times New Roman" w:cs="Times New Roman"/>
        </w:rPr>
        <w:t>ionofórov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lastRenderedPageBreak/>
        <w:t xml:space="preserve">Ak sa objavia známky interakcie, medikáciu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okamžite ukončite a nahraďte ju čerstvou pitnou vodou. Čo najskôr odstráňte kontaminované krmivo a nahraďte ho krmivom neobsahujúcim </w:t>
      </w:r>
      <w:proofErr w:type="spellStart"/>
      <w:r w:rsidRPr="00BD71C0">
        <w:rPr>
          <w:rFonts w:ascii="Times New Roman" w:eastAsia="Times New Roman" w:hAnsi="Times New Roman" w:cs="Times New Roman"/>
        </w:rPr>
        <w:t>ionofóry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nekompatibilné s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  <w:highlight w:val="green"/>
          <w:u w:val="single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BD71C0">
        <w:rPr>
          <w:rFonts w:ascii="Times New Roman" w:eastAsia="Times New Roman" w:hAnsi="Times New Roman" w:cs="Times New Roman"/>
          <w:iCs/>
          <w:u w:val="single"/>
        </w:rPr>
        <w:t>Ošípané</w:t>
      </w:r>
    </w:p>
    <w:p w:rsidR="00BD71C0" w:rsidRPr="00BD71C0" w:rsidRDefault="00BD71C0" w:rsidP="00BD71C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 xml:space="preserve">i) </w:t>
      </w:r>
      <w:r w:rsidRPr="00BD71C0">
        <w:rPr>
          <w:rFonts w:ascii="Times New Roman" w:eastAsia="Times New Roman" w:hAnsi="Times New Roman" w:cs="Times New Roman"/>
          <w:iCs/>
        </w:rPr>
        <w:tab/>
        <w:t xml:space="preserve">Na liečbu dyzentérie ošípaných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hyodysenteriae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. </w:t>
      </w:r>
      <w:r w:rsidRPr="00BD71C0">
        <w:rPr>
          <w:rFonts w:ascii="Times New Roman" w:eastAsia="Times New Roman" w:hAnsi="Times New Roman" w:cs="Times New Roman"/>
          <w:iCs/>
        </w:rPr>
        <w:t xml:space="preserve">Dávka je 8,8 mg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>/kg živej hmotnosti (zodpovedá 7 ml roztoku/100 kg živej hmotnosti) podávaných denne v pitnej vode ošípaným počas 3 až 5 po sebe nasledujúcich dní v závislosti od závažnosti infekcie a / alebo doby trvania ochorenia.</w:t>
      </w:r>
    </w:p>
    <w:p w:rsidR="00BD71C0" w:rsidRPr="00BD71C0" w:rsidRDefault="00BD71C0" w:rsidP="00BD71C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</w:rPr>
      </w:pPr>
    </w:p>
    <w:p w:rsidR="00BD71C0" w:rsidRPr="00BD71C0" w:rsidRDefault="00BD71C0" w:rsidP="00BD71C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 xml:space="preserve">ii) </w:t>
      </w:r>
      <w:r w:rsidRPr="00BD71C0">
        <w:rPr>
          <w:rFonts w:ascii="Times New Roman" w:eastAsia="Times New Roman" w:hAnsi="Times New Roman" w:cs="Times New Roman"/>
          <w:iCs/>
        </w:rPr>
        <w:tab/>
        <w:t xml:space="preserve">Na liečbu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spirochetózy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hrubého čreva ošípaných (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kolitídy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)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pilosicoli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. </w:t>
      </w:r>
      <w:r w:rsidRPr="00BD71C0">
        <w:rPr>
          <w:rFonts w:ascii="Times New Roman" w:eastAsia="Times New Roman" w:hAnsi="Times New Roman" w:cs="Times New Roman"/>
          <w:iCs/>
        </w:rPr>
        <w:t xml:space="preserve">Dávka je 8,8 mg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>/kg živej hmotnosti (zodpovedá 7 ml roztoku/100 kg živej hmotnosti) podávaných denne v pitnej vode ošípaným počas 3 až 5 po sebe nasledujúcich dní v závislosti od závažnosti infekcie a / alebo doby trvania ochorenia.</w:t>
      </w:r>
    </w:p>
    <w:p w:rsidR="00BD71C0" w:rsidRPr="00BD71C0" w:rsidRDefault="00BD71C0" w:rsidP="00BD71C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</w:rPr>
      </w:pPr>
    </w:p>
    <w:p w:rsidR="00BD71C0" w:rsidRPr="00BD71C0" w:rsidRDefault="00BD71C0" w:rsidP="00BD71C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 xml:space="preserve">iii) </w:t>
      </w:r>
      <w:r w:rsidRPr="00BD71C0">
        <w:rPr>
          <w:rFonts w:ascii="Times New Roman" w:eastAsia="Times New Roman" w:hAnsi="Times New Roman" w:cs="Times New Roman"/>
          <w:iCs/>
        </w:rPr>
        <w:tab/>
        <w:t xml:space="preserve">Na liečbu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proliferatívnej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enteropatie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u ošípaných (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ileitída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)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Lawsonia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intracellularis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. Dávka je 8,8 mg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>/kg živej hmotnosti (zodpovedá 7 ml roztoku/100 kg živej hmotnosti) podávaná denne v pitnej vode ošípaným počas 5 po sebe nasledujúcich dní.</w:t>
      </w:r>
    </w:p>
    <w:p w:rsidR="00BD71C0" w:rsidRPr="00BD71C0" w:rsidRDefault="00BD71C0" w:rsidP="00BD71C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</w:rPr>
      </w:pPr>
    </w:p>
    <w:p w:rsidR="00BD71C0" w:rsidRPr="00BD71C0" w:rsidRDefault="00BD71C0" w:rsidP="00BD71C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 xml:space="preserve">iv) </w:t>
      </w:r>
      <w:r w:rsidRPr="00BD71C0">
        <w:rPr>
          <w:rFonts w:ascii="Times New Roman" w:eastAsia="Times New Roman" w:hAnsi="Times New Roman" w:cs="Times New Roman"/>
          <w:iCs/>
        </w:rPr>
        <w:tab/>
        <w:t xml:space="preserve">Na liečbu a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metafylaxiu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enzootickej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pneumónie ošípaných vyvolanej zárodkami</w:t>
      </w:r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hyopneumoniae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vrátane infekcií komplikovaných zárodkami</w:t>
      </w:r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Pasteurella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multocida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r w:rsidRPr="00BD71C0">
        <w:rPr>
          <w:rFonts w:ascii="Times New Roman" w:eastAsia="Times New Roman" w:hAnsi="Times New Roman" w:cs="Times New Roman"/>
          <w:iCs/>
        </w:rPr>
        <w:t xml:space="preserve">citlivými na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. Dávka je 20 mg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>/kg živej hmotnosti (zodpovedá 16 ml roztoku/100 kg živej hmotnosti) podávaných denne v pitnej vode počas 5 po sebe nasledujúcich dní.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BD71C0">
        <w:rPr>
          <w:rFonts w:ascii="Times New Roman" w:eastAsia="Times New Roman" w:hAnsi="Times New Roman" w:cs="Times New Roman"/>
          <w:iCs/>
          <w:u w:val="single"/>
        </w:rPr>
        <w:t>Kurčatá (nosnice)</w:t>
      </w:r>
    </w:p>
    <w:p w:rsidR="00BD71C0" w:rsidRPr="00BD71C0" w:rsidRDefault="00BD71C0" w:rsidP="00BD71C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 xml:space="preserve">Na liečbu a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metafylaxiu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chronickej respiračnej choroby vyvolanej zárodkami</w:t>
      </w:r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gallisepticum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r w:rsidRPr="00BD71C0">
        <w:rPr>
          <w:rFonts w:ascii="Times New Roman" w:eastAsia="Times New Roman" w:hAnsi="Times New Roman" w:cs="Times New Roman"/>
          <w:iCs/>
        </w:rPr>
        <w:t xml:space="preserve">a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aerosakulitídy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a infekčnej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synovitídy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vyvolaných zárodkami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synoviae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. Dávka je 25 mg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>/kg živej hmotnosti (zodpovedá 20 ml roztoku/100 kg živej hmotnosti) podávaných denne v pitnej vode počas 3 až 5 po sebe nasledujúcich dní.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u w:val="single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4.10 </w:t>
      </w:r>
      <w:r w:rsidRPr="00BD71C0">
        <w:rPr>
          <w:rFonts w:ascii="Times New Roman" w:eastAsia="Times New Roman" w:hAnsi="Times New Roman" w:cs="Times New Roman"/>
          <w:b/>
        </w:rPr>
        <w:tab/>
        <w:t xml:space="preserve">Predávkovanie (príznaky, núdzové postupy, </w:t>
      </w:r>
      <w:proofErr w:type="spellStart"/>
      <w:r w:rsidRPr="00BD71C0">
        <w:rPr>
          <w:rFonts w:ascii="Times New Roman" w:eastAsia="Times New Roman" w:hAnsi="Times New Roman" w:cs="Times New Roman"/>
          <w:b/>
        </w:rPr>
        <w:t>antidotá</w:t>
      </w:r>
      <w:proofErr w:type="spellEnd"/>
      <w:r w:rsidRPr="00BD71C0">
        <w:rPr>
          <w:rFonts w:ascii="Times New Roman" w:eastAsia="Times New Roman" w:hAnsi="Times New Roman" w:cs="Times New Roman"/>
          <w:b/>
        </w:rPr>
        <w:t>), ak sú potrebné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Ošípané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Jednorazové perorálne dávky 100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na kg živej hmotnosti u ošípaných spôsobili </w:t>
      </w:r>
      <w:proofErr w:type="spellStart"/>
      <w:r w:rsidRPr="00BD71C0">
        <w:rPr>
          <w:rFonts w:ascii="Times New Roman" w:eastAsia="Times New Roman" w:hAnsi="Times New Roman" w:cs="Times New Roman"/>
        </w:rPr>
        <w:t>hyperpnoe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zažívacie ťažkosti. Pri dávke 150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na kg živej hmotnosti neboli zaznamenané žiadne vplyvy na CNS okrem útlmu. Pri dávke 55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na kg živej hmotnosti podávaných po dobu 14 dní sa objavilo prechodné slinenie a mierne podráždenie žalúdka. Predpokladá sa, že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má zodpovedajúci terapeutický index u ošípaných a minimálna letálna dávka nebola stanovená.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Kurčatá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lk533522758"/>
      <w:r w:rsidRPr="00BD71C0">
        <w:rPr>
          <w:rFonts w:ascii="Times New Roman" w:eastAsia="Times New Roman" w:hAnsi="Times New Roman" w:cs="Times New Roman"/>
          <w:spacing w:val="3"/>
          <w:szCs w:val="20"/>
        </w:rPr>
        <w:t>LD</w:t>
      </w:r>
      <w:r w:rsidRPr="00BD71C0">
        <w:rPr>
          <w:rFonts w:ascii="Times New Roman" w:eastAsia="Times New Roman" w:hAnsi="Times New Roman" w:cs="Times New Roman"/>
          <w:spacing w:val="3"/>
          <w:position w:val="-2"/>
          <w:sz w:val="14"/>
          <w:szCs w:val="20"/>
        </w:rPr>
        <w:t>50</w:t>
      </w:r>
      <w:bookmarkEnd w:id="0"/>
      <w:r w:rsidRPr="00BD71C0">
        <w:rPr>
          <w:rFonts w:ascii="Times New Roman" w:eastAsia="Times New Roman" w:hAnsi="Times New Roman" w:cs="Times New Roman"/>
        </w:rPr>
        <w:t xml:space="preserve"> je 1090 mg/kg živej hmotnosti u kurčiat.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má pomerne vysoký terapeutický index a pravdepodobnosť predávkovania sa považuje za veľmi nízku, pretože príjem vody a tým príjem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sa znižuje, ak sú podávané abnormálne vysoké koncentrácie. Klinické príznaky akútnej toxicity u kurčiat sú vokalizácia, </w:t>
      </w:r>
      <w:proofErr w:type="spellStart"/>
      <w:r w:rsidRPr="00BD71C0">
        <w:rPr>
          <w:rFonts w:ascii="Times New Roman" w:eastAsia="Times New Roman" w:hAnsi="Times New Roman" w:cs="Times New Roman"/>
        </w:rPr>
        <w:t>klonické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kŕče a laterálna poloha.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Ak sa objavia príznaky intoxikácie, bezodkladne odstráňte vodu s obsahom liečiva a nahraďte ju čerstvou vodou bez obsahu liečiva a podajte podpornú symptomatickú liečbu.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4.11 </w:t>
      </w:r>
      <w:r w:rsidRPr="00BD71C0">
        <w:rPr>
          <w:rFonts w:ascii="Times New Roman" w:eastAsia="Times New Roman" w:hAnsi="Times New Roman" w:cs="Times New Roman"/>
          <w:b/>
        </w:rPr>
        <w:tab/>
        <w:t>Ochranné lehoty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BD71C0">
        <w:rPr>
          <w:rFonts w:ascii="Times New Roman" w:eastAsia="Times New Roman" w:hAnsi="Times New Roman" w:cs="Times New Roman"/>
          <w:iCs/>
          <w:u w:val="single"/>
        </w:rPr>
        <w:t>Ošípané: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lastRenderedPageBreak/>
        <w:t xml:space="preserve">Mäso a vnútornosti: 2 dni (8,8 mg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>/kg živej hmotnosti – je ekvivalentné 7 ml lieku/100 kg živej hmotnosti)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 xml:space="preserve">Mäso a vnútornosti: 4 dni (20 mg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>/kg živej hmotnosti – je ekvivalentné 16 ml lieku/na 100 kg živej hmotnosti)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BD71C0">
        <w:rPr>
          <w:rFonts w:ascii="Times New Roman" w:eastAsia="Times New Roman" w:hAnsi="Times New Roman" w:cs="Times New Roman"/>
          <w:iCs/>
          <w:u w:val="single"/>
        </w:rPr>
        <w:t>Kurčatá (nosnice):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>Mäso a vnútornosti: 2 dni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>Vajcia: nula dní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5. </w:t>
      </w:r>
      <w:r w:rsidRPr="00BD71C0">
        <w:rPr>
          <w:rFonts w:ascii="Times New Roman" w:eastAsia="Times New Roman" w:hAnsi="Times New Roman" w:cs="Times New Roman"/>
          <w:b/>
        </w:rPr>
        <w:tab/>
        <w:t>FARMAKOLOGICKÉ VLASTNOSTI</w:t>
      </w:r>
    </w:p>
    <w:p w:rsidR="00BD71C0" w:rsidRPr="00BD71C0" w:rsidRDefault="00BD71C0" w:rsidP="00BD71C0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Farmakoterapeutická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skupina: antibakteriálne liečivá pre systémové použitie/</w:t>
      </w:r>
      <w:proofErr w:type="spellStart"/>
      <w:r w:rsidRPr="00BD71C0">
        <w:rPr>
          <w:rFonts w:ascii="Times New Roman" w:eastAsia="Times New Roman" w:hAnsi="Times New Roman" w:cs="Times New Roman"/>
        </w:rPr>
        <w:t>pleuromutilíny</w:t>
      </w:r>
      <w:proofErr w:type="spellEnd"/>
      <w:r w:rsidRPr="00BD71C0">
        <w:rPr>
          <w:rFonts w:ascii="Times New Roman" w:eastAsia="Times New Roman" w:hAnsi="Times New Roman" w:cs="Times New Roman"/>
        </w:rPr>
        <w:t>/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ATCvet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kód: QJ01XQ01.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 xml:space="preserve">5.1 </w:t>
      </w:r>
      <w:r w:rsidRPr="00BD71C0">
        <w:rPr>
          <w:rFonts w:ascii="Times New Roman" w:eastAsia="Times New Roman" w:hAnsi="Times New Roman" w:cs="Times New Roman"/>
          <w:b/>
        </w:rPr>
        <w:tab/>
      </w:r>
      <w:proofErr w:type="spellStart"/>
      <w:r w:rsidRPr="00BD71C0">
        <w:rPr>
          <w:rFonts w:ascii="Times New Roman" w:eastAsia="Times New Roman" w:hAnsi="Times New Roman" w:cs="Times New Roman"/>
          <w:b/>
        </w:rPr>
        <w:t>Farmakodynamické</w:t>
      </w:r>
      <w:proofErr w:type="spellEnd"/>
      <w:r w:rsidRPr="00BD71C0">
        <w:rPr>
          <w:rFonts w:ascii="Times New Roman" w:eastAsia="Times New Roman" w:hAnsi="Times New Roman" w:cs="Times New Roman"/>
          <w:b/>
        </w:rPr>
        <w:t xml:space="preserve"> vlastnosti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BD71C0">
        <w:rPr>
          <w:rFonts w:ascii="Times New Roman" w:eastAsia="Times New Roman" w:hAnsi="Times New Roman" w:cs="Times New Roman"/>
        </w:rPr>
        <w:t>bakteriostatické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semisyntetické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antibiotikum patriace do antibiotickej skupiny </w:t>
      </w:r>
      <w:proofErr w:type="spellStart"/>
      <w:r w:rsidRPr="00BD71C0">
        <w:rPr>
          <w:rFonts w:ascii="Times New Roman" w:eastAsia="Times New Roman" w:hAnsi="Times New Roman" w:cs="Times New Roman"/>
        </w:rPr>
        <w:t>pleuromutilínov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Pôsobí na </w:t>
      </w:r>
      <w:proofErr w:type="spellStart"/>
      <w:r w:rsidRPr="00BD71C0">
        <w:rPr>
          <w:rFonts w:ascii="Times New Roman" w:eastAsia="Times New Roman" w:hAnsi="Times New Roman" w:cs="Times New Roman"/>
        </w:rPr>
        <w:t>ribozomálnej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úrovni, kde </w:t>
      </w:r>
      <w:proofErr w:type="spellStart"/>
      <w:r w:rsidRPr="00BD71C0">
        <w:rPr>
          <w:rFonts w:ascii="Times New Roman" w:eastAsia="Times New Roman" w:hAnsi="Times New Roman" w:cs="Times New Roman"/>
        </w:rPr>
        <w:t>inhibuje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syntézu bakteriálneho proteínu.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preukázal vysokú úroveň aktivity </w:t>
      </w:r>
      <w:r w:rsidRPr="00BD71C0">
        <w:rPr>
          <w:rFonts w:ascii="Times New Roman" w:eastAsia="Times New Roman" w:hAnsi="Times New Roman" w:cs="Times New Roman"/>
          <w:i/>
          <w:iCs/>
        </w:rPr>
        <w:t xml:space="preserve">in vitro </w:t>
      </w:r>
      <w:r w:rsidRPr="00BD71C0">
        <w:rPr>
          <w:rFonts w:ascii="Times New Roman" w:eastAsia="Times New Roman" w:hAnsi="Times New Roman" w:cs="Times New Roman"/>
        </w:rPr>
        <w:t xml:space="preserve">proti druhom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spp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>.</w:t>
      </w:r>
      <w:r w:rsidRPr="00BD71C0">
        <w:rPr>
          <w:rFonts w:ascii="Times New Roman" w:eastAsia="Times New Roman" w:hAnsi="Times New Roman" w:cs="Times New Roman"/>
        </w:rPr>
        <w:t xml:space="preserve"> u ošípaných a vtákov, rovnako ako proti </w:t>
      </w:r>
      <w:proofErr w:type="spellStart"/>
      <w:r w:rsidRPr="00BD71C0">
        <w:rPr>
          <w:rFonts w:ascii="Times New Roman" w:eastAsia="Times New Roman" w:hAnsi="Times New Roman" w:cs="Times New Roman"/>
        </w:rPr>
        <w:t>grampozitívnym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aeróbnym baktériám (</w:t>
      </w:r>
      <w:r w:rsidRPr="00BD71C0">
        <w:rPr>
          <w:rFonts w:ascii="Times New Roman" w:eastAsia="Times New Roman" w:hAnsi="Times New Roman" w:cs="Times New Roman"/>
          <w:spacing w:val="-1"/>
        </w:rPr>
        <w:t>streptokoky</w:t>
      </w:r>
      <w:r w:rsidRPr="00BD71C0">
        <w:rPr>
          <w:rFonts w:ascii="Times New Roman" w:eastAsia="Times New Roman" w:hAnsi="Times New Roman" w:cs="Times New Roman"/>
          <w:spacing w:val="1"/>
        </w:rPr>
        <w:t xml:space="preserve"> </w:t>
      </w:r>
      <w:r w:rsidRPr="00BD71C0">
        <w:rPr>
          <w:rFonts w:ascii="Times New Roman" w:eastAsia="Times New Roman" w:hAnsi="Times New Roman" w:cs="Times New Roman"/>
          <w:spacing w:val="-1"/>
        </w:rPr>
        <w:t>a stafylokoky</w:t>
      </w:r>
      <w:r w:rsidRPr="00BD71C0">
        <w:rPr>
          <w:rFonts w:ascii="Times New Roman" w:eastAsia="Times New Roman" w:hAnsi="Times New Roman" w:cs="Times New Roman"/>
        </w:rPr>
        <w:t>), anaeróbnym baktériám (</w:t>
      </w:r>
      <w:proofErr w:type="spellStart"/>
      <w:r w:rsidRPr="00BD71C0">
        <w:rPr>
          <w:rFonts w:ascii="Times New Roman" w:eastAsia="Times New Roman" w:hAnsi="Times New Roman" w:cs="Times New Roman"/>
        </w:rPr>
        <w:t>clostridia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BD71C0">
        <w:rPr>
          <w:rFonts w:ascii="Times New Roman" w:eastAsia="Times New Roman" w:hAnsi="Times New Roman" w:cs="Times New Roman"/>
        </w:rPr>
        <w:t>gramnegatívnym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anaeróbnym baktériám (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hyodysenteriae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</w:rPr>
        <w:t>pilosicoli</w:t>
      </w:r>
      <w:proofErr w:type="spellEnd"/>
      <w:r w:rsidRPr="00BD71C0">
        <w:rPr>
          <w:rFonts w:ascii="Times New Roman" w:eastAsia="Times New Roman" w:hAnsi="Times New Roman" w:cs="Times New Roman"/>
          <w:i/>
          <w:iCs/>
        </w:rPr>
        <w:t xml:space="preserve">), a </w:t>
      </w:r>
      <w:proofErr w:type="spellStart"/>
      <w:r w:rsidRPr="00BD71C0">
        <w:rPr>
          <w:rFonts w:ascii="Times New Roman" w:eastAsia="Times New Roman" w:hAnsi="Times New Roman" w:cs="Times New Roman"/>
        </w:rPr>
        <w:t>gramnegatívnym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aeróbnym baktériám (</w:t>
      </w:r>
      <w:proofErr w:type="spellStart"/>
      <w:r w:rsidRPr="00BD71C0">
        <w:rPr>
          <w:rFonts w:ascii="Times New Roman" w:eastAsia="Times New Roman" w:hAnsi="Times New Roman" w:cs="Times New Roman"/>
          <w:i/>
          <w:spacing w:val="-1"/>
        </w:rPr>
        <w:t>Pasteurella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spacing w:val="-1"/>
        </w:rPr>
        <w:t>multocida</w:t>
      </w:r>
      <w:proofErr w:type="spellEnd"/>
      <w:r w:rsidRPr="00BD71C0">
        <w:rPr>
          <w:rFonts w:ascii="Times New Roman" w:eastAsia="Times New Roman" w:hAnsi="Times New Roman" w:cs="Times New Roman"/>
          <w:spacing w:val="-1"/>
        </w:rPr>
        <w:t>).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Bolo preukázané, že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pôsobí na úrovni </w:t>
      </w:r>
      <w:proofErr w:type="spellStart"/>
      <w:r w:rsidRPr="00BD71C0">
        <w:rPr>
          <w:rFonts w:ascii="Times New Roman" w:eastAsia="Times New Roman" w:hAnsi="Times New Roman" w:cs="Times New Roman"/>
        </w:rPr>
        <w:t>ribozómu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70S a primárne väzobné miesta sú na </w:t>
      </w:r>
      <w:proofErr w:type="spellStart"/>
      <w:r w:rsidRPr="00BD71C0">
        <w:rPr>
          <w:rFonts w:ascii="Times New Roman" w:eastAsia="Times New Roman" w:hAnsi="Times New Roman" w:cs="Times New Roman"/>
        </w:rPr>
        <w:t>podjednotke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50S. Zdá sa, že potláča syntézu bielkovín tým, že produkuje biochemicky neaktívne iniciačné komplexy, ktoré zabraňujú predlžovaniu </w:t>
      </w:r>
      <w:proofErr w:type="spellStart"/>
      <w:r w:rsidRPr="00BD71C0">
        <w:rPr>
          <w:rFonts w:ascii="Times New Roman" w:eastAsia="Times New Roman" w:hAnsi="Times New Roman" w:cs="Times New Roman"/>
        </w:rPr>
        <w:t>polypeptidového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reťazca.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V európskych </w:t>
      </w:r>
      <w:proofErr w:type="spellStart"/>
      <w:r w:rsidRPr="00BD71C0">
        <w:rPr>
          <w:rFonts w:ascii="Times New Roman" w:eastAsia="Times New Roman" w:hAnsi="Times New Roman" w:cs="Times New Roman"/>
        </w:rPr>
        <w:t>izolátoch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hyodysenteriae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ktoré boli zhromaždené v rokoch 1990 až 2012, bola minimálna inhibičná koncentrácia (MIC) v rozmedzí od ≤0,016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do &gt; 16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/ml, </w:t>
      </w:r>
      <w:r w:rsidRPr="00BD71C0">
        <w:rPr>
          <w:rFonts w:ascii="Times New Roman" w:eastAsia="Calibri" w:hAnsi="Times New Roman" w:cs="Times New Roman"/>
          <w:color w:val="000000"/>
        </w:rPr>
        <w:t>MIC</w:t>
      </w:r>
      <w:r w:rsidRPr="00BD71C0">
        <w:rPr>
          <w:rFonts w:ascii="Times New Roman" w:eastAsia="Calibri" w:hAnsi="Times New Roman" w:cs="Times New Roman"/>
          <w:color w:val="000000"/>
          <w:vertAlign w:val="subscript"/>
        </w:rPr>
        <w:t>50</w:t>
      </w:r>
      <w:r w:rsidRPr="00BD71C0">
        <w:rPr>
          <w:rFonts w:ascii="Times New Roman" w:eastAsia="Times New Roman" w:hAnsi="Times New Roman" w:cs="Times New Roman"/>
        </w:rPr>
        <w:t xml:space="preserve"> ≤ 0,063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až 4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a </w:t>
      </w:r>
      <w:r w:rsidRPr="00BD71C0">
        <w:rPr>
          <w:rFonts w:ascii="Times New Roman" w:eastAsia="Calibri" w:hAnsi="Times New Roman" w:cs="Times New Roman"/>
          <w:color w:val="000000"/>
        </w:rPr>
        <w:t>MIC</w:t>
      </w:r>
      <w:r w:rsidRPr="00BD71C0">
        <w:rPr>
          <w:rFonts w:ascii="Times New Roman" w:eastAsia="Calibri" w:hAnsi="Times New Roman" w:cs="Times New Roman"/>
          <w:color w:val="000000"/>
          <w:vertAlign w:val="subscript"/>
        </w:rPr>
        <w:t>90</w:t>
      </w:r>
      <w:r w:rsidRPr="00BD71C0">
        <w:rPr>
          <w:rFonts w:ascii="Times New Roman" w:eastAsia="Times New Roman" w:hAnsi="Times New Roman" w:cs="Times New Roman"/>
        </w:rPr>
        <w:t xml:space="preserve"> ≤0,016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až &gt; 16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>/ml.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V európskych </w:t>
      </w:r>
      <w:proofErr w:type="spellStart"/>
      <w:r w:rsidRPr="00BD71C0">
        <w:rPr>
          <w:rFonts w:ascii="Times New Roman" w:eastAsia="Times New Roman" w:hAnsi="Times New Roman" w:cs="Times New Roman"/>
        </w:rPr>
        <w:t>izolátoch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pilosicoli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sa MIC pohybovali od (citácie z rokov 2006-2008-2012) ≤0,008-64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/ml, s hodnotami </w:t>
      </w:r>
      <w:r w:rsidRPr="00BD71C0">
        <w:rPr>
          <w:rFonts w:ascii="Times New Roman" w:eastAsia="Calibri" w:hAnsi="Times New Roman" w:cs="Times New Roman"/>
          <w:color w:val="000000"/>
        </w:rPr>
        <w:t>MIC</w:t>
      </w:r>
      <w:r w:rsidRPr="00BD71C0">
        <w:rPr>
          <w:rFonts w:ascii="Times New Roman" w:eastAsia="Calibri" w:hAnsi="Times New Roman" w:cs="Times New Roman"/>
          <w:color w:val="000000"/>
          <w:vertAlign w:val="subscript"/>
        </w:rPr>
        <w:t>50</w:t>
      </w:r>
      <w:r w:rsidRPr="00BD71C0">
        <w:rPr>
          <w:rFonts w:ascii="Times New Roman" w:eastAsia="Times New Roman" w:hAnsi="Times New Roman" w:cs="Times New Roman"/>
        </w:rPr>
        <w:t xml:space="preserve"> ≤ 0,062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až 0,125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a </w:t>
      </w:r>
      <w:r w:rsidRPr="00BD71C0">
        <w:rPr>
          <w:rFonts w:ascii="Times New Roman" w:eastAsia="Calibri" w:hAnsi="Times New Roman" w:cs="Times New Roman"/>
          <w:color w:val="000000"/>
        </w:rPr>
        <w:t>MIC</w:t>
      </w:r>
      <w:r w:rsidRPr="00BD71C0">
        <w:rPr>
          <w:rFonts w:ascii="Times New Roman" w:eastAsia="Calibri" w:hAnsi="Times New Roman" w:cs="Times New Roman"/>
          <w:color w:val="000000"/>
          <w:vertAlign w:val="subscript"/>
        </w:rPr>
        <w:t>90</w:t>
      </w:r>
      <w:r w:rsidRPr="00BD71C0">
        <w:rPr>
          <w:rFonts w:ascii="Times New Roman" w:eastAsia="Times New Roman" w:hAnsi="Times New Roman" w:cs="Times New Roman"/>
        </w:rPr>
        <w:t xml:space="preserve"> 0,25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až do 8 </w:t>
      </w:r>
      <w:proofErr w:type="spellStart"/>
      <w:r w:rsidRPr="00BD71C0">
        <w:rPr>
          <w:rFonts w:ascii="Times New Roman" w:eastAsia="Times New Roman" w:hAnsi="Times New Roman" w:cs="Times New Roman"/>
        </w:rPr>
        <w:t>ug</w:t>
      </w:r>
      <w:proofErr w:type="spellEnd"/>
      <w:r w:rsidRPr="00BD71C0">
        <w:rPr>
          <w:rFonts w:ascii="Times New Roman" w:eastAsia="Times New Roman" w:hAnsi="Times New Roman" w:cs="Times New Roman"/>
        </w:rPr>
        <w:t>/ml.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Testovanie citlivosti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Lawsonia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intracellularis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je náročné, pretože to je obligátny vnútrobunkový organizmus. Údaje MIC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určené pre dostupné kmene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Lawsonia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 EÚ boli (citácia z roku 2017) všetky nižšie ako odhadovaný obsah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 </w:t>
      </w:r>
      <w:proofErr w:type="spellStart"/>
      <w:r w:rsidRPr="00BD71C0">
        <w:rPr>
          <w:rFonts w:ascii="Times New Roman" w:eastAsia="Times New Roman" w:hAnsi="Times New Roman" w:cs="Times New Roman"/>
        </w:rPr>
        <w:t>ileu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0,63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>/ml.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V európskych </w:t>
      </w:r>
      <w:proofErr w:type="spellStart"/>
      <w:r w:rsidRPr="00BD71C0">
        <w:rPr>
          <w:rFonts w:ascii="Times New Roman" w:eastAsia="Times New Roman" w:hAnsi="Times New Roman" w:cs="Times New Roman"/>
        </w:rPr>
        <w:t>izolátoch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bol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vysoko účinný proti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hyopneumoniae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s hodnotou </w:t>
      </w:r>
      <w:r w:rsidRPr="00BD71C0">
        <w:rPr>
          <w:rFonts w:ascii="Times New Roman" w:eastAsia="Calibri" w:hAnsi="Times New Roman" w:cs="Times New Roman"/>
          <w:color w:val="000000"/>
        </w:rPr>
        <w:t>MIC</w:t>
      </w:r>
      <w:r w:rsidRPr="00BD71C0">
        <w:rPr>
          <w:rFonts w:ascii="Times New Roman" w:eastAsia="Calibri" w:hAnsi="Times New Roman" w:cs="Times New Roman"/>
          <w:color w:val="000000"/>
          <w:vertAlign w:val="subscript"/>
        </w:rPr>
        <w:t>50</w:t>
      </w:r>
      <w:r w:rsidRPr="00BD71C0">
        <w:rPr>
          <w:rFonts w:ascii="Times New Roman" w:eastAsia="Times New Roman" w:hAnsi="Times New Roman" w:cs="Times New Roman"/>
        </w:rPr>
        <w:t xml:space="preserve"> 0,016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/ml, </w:t>
      </w:r>
      <w:r w:rsidRPr="00BD71C0">
        <w:rPr>
          <w:rFonts w:ascii="Times New Roman" w:eastAsia="Calibri" w:hAnsi="Times New Roman" w:cs="Times New Roman"/>
          <w:color w:val="000000"/>
        </w:rPr>
        <w:t>MIC</w:t>
      </w:r>
      <w:r w:rsidRPr="00BD71C0">
        <w:rPr>
          <w:rFonts w:ascii="Times New Roman" w:eastAsia="Calibri" w:hAnsi="Times New Roman" w:cs="Times New Roman"/>
          <w:color w:val="000000"/>
          <w:vertAlign w:val="subscript"/>
        </w:rPr>
        <w:t>90</w:t>
      </w:r>
      <w:r w:rsidRPr="00BD71C0">
        <w:rPr>
          <w:rFonts w:ascii="Times New Roman" w:eastAsia="Times New Roman" w:hAnsi="Times New Roman" w:cs="Times New Roman"/>
        </w:rPr>
        <w:t xml:space="preserve"> 0,062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a rozpätie MIC 0,002-0,125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>/ml (citácia od roku 2014).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V novších európskych kmeňoch (2005 – 2013) a starších globálnych </w:t>
      </w:r>
      <w:proofErr w:type="spellStart"/>
      <w:r w:rsidRPr="00BD71C0">
        <w:rPr>
          <w:rFonts w:ascii="Times New Roman" w:eastAsia="Times New Roman" w:hAnsi="Times New Roman" w:cs="Times New Roman"/>
        </w:rPr>
        <w:t>izolátoch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(pred rokom 1997) boli rozsahy MIC pre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gallisepticum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podobné v rozmedzí od 0,001 do 0,037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s hodnotami </w:t>
      </w:r>
      <w:r w:rsidRPr="00BD71C0">
        <w:rPr>
          <w:rFonts w:ascii="Times New Roman" w:eastAsia="Calibri" w:hAnsi="Times New Roman" w:cs="Times New Roman"/>
          <w:color w:val="000000"/>
        </w:rPr>
        <w:t>MIC</w:t>
      </w:r>
      <w:r w:rsidRPr="00BD71C0">
        <w:rPr>
          <w:rFonts w:ascii="Times New Roman" w:eastAsia="Calibri" w:hAnsi="Times New Roman" w:cs="Times New Roman"/>
          <w:color w:val="000000"/>
          <w:vertAlign w:val="subscript"/>
        </w:rPr>
        <w:t xml:space="preserve">50 </w:t>
      </w:r>
      <w:r w:rsidRPr="00BD71C0">
        <w:rPr>
          <w:rFonts w:ascii="Times New Roman" w:eastAsia="Times New Roman" w:hAnsi="Times New Roman" w:cs="Times New Roman"/>
        </w:rPr>
        <w:t xml:space="preserve">0,001 a 0,008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a </w:t>
      </w:r>
      <w:r w:rsidRPr="00BD71C0">
        <w:rPr>
          <w:rFonts w:ascii="Times New Roman" w:eastAsia="Calibri" w:hAnsi="Times New Roman" w:cs="Times New Roman"/>
          <w:color w:val="000000"/>
        </w:rPr>
        <w:t>MIC</w:t>
      </w:r>
      <w:r w:rsidRPr="00BD71C0">
        <w:rPr>
          <w:rFonts w:ascii="Times New Roman" w:eastAsia="Calibri" w:hAnsi="Times New Roman" w:cs="Times New Roman"/>
          <w:color w:val="000000"/>
          <w:vertAlign w:val="subscript"/>
        </w:rPr>
        <w:t>90</w:t>
      </w:r>
      <w:r w:rsidRPr="00BD71C0">
        <w:rPr>
          <w:rFonts w:ascii="Times New Roman" w:eastAsia="Times New Roman" w:hAnsi="Times New Roman" w:cs="Times New Roman"/>
        </w:rPr>
        <w:t xml:space="preserve"> 0,025 a 0,031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/ml. Neboli nájdené žiadne rezistentné kmene. Pre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synoviae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boli hodnoty MIC v rozmedzí od 0,05 do 0,5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s hodnotami </w:t>
      </w:r>
      <w:r w:rsidRPr="00BD71C0">
        <w:rPr>
          <w:rFonts w:ascii="Times New Roman" w:eastAsia="Calibri" w:hAnsi="Times New Roman" w:cs="Times New Roman"/>
          <w:color w:val="000000"/>
        </w:rPr>
        <w:t>MIC</w:t>
      </w:r>
      <w:r w:rsidRPr="00BD71C0">
        <w:rPr>
          <w:rFonts w:ascii="Times New Roman" w:eastAsia="Calibri" w:hAnsi="Times New Roman" w:cs="Times New Roman"/>
          <w:color w:val="000000"/>
          <w:vertAlign w:val="subscript"/>
        </w:rPr>
        <w:t>50</w:t>
      </w:r>
      <w:r w:rsidRPr="00BD71C0">
        <w:rPr>
          <w:rFonts w:ascii="Times New Roman" w:eastAsia="Times New Roman" w:hAnsi="Times New Roman" w:cs="Times New Roman"/>
        </w:rPr>
        <w:t xml:space="preserve"> 0,1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/ml a </w:t>
      </w:r>
      <w:r w:rsidRPr="00BD71C0">
        <w:rPr>
          <w:rFonts w:ascii="Times New Roman" w:eastAsia="Calibri" w:hAnsi="Times New Roman" w:cs="Times New Roman"/>
          <w:color w:val="000000"/>
        </w:rPr>
        <w:t>MIC</w:t>
      </w:r>
      <w:r w:rsidRPr="00BD71C0">
        <w:rPr>
          <w:rFonts w:ascii="Times New Roman" w:eastAsia="Calibri" w:hAnsi="Times New Roman" w:cs="Times New Roman"/>
          <w:color w:val="000000"/>
          <w:vertAlign w:val="subscript"/>
        </w:rPr>
        <w:t xml:space="preserve">90 </w:t>
      </w:r>
      <w:r w:rsidRPr="00BD71C0">
        <w:rPr>
          <w:rFonts w:ascii="Times New Roman" w:eastAsia="Times New Roman" w:hAnsi="Times New Roman" w:cs="Times New Roman"/>
        </w:rPr>
        <w:t xml:space="preserve">0,25 </w:t>
      </w:r>
      <w:proofErr w:type="spellStart"/>
      <w:r w:rsidRPr="00BD71C0">
        <w:rPr>
          <w:rFonts w:ascii="Times New Roman" w:eastAsia="Times New Roman" w:hAnsi="Times New Roman" w:cs="Times New Roman"/>
        </w:rPr>
        <w:t>μg</w:t>
      </w:r>
      <w:proofErr w:type="spellEnd"/>
      <w:r w:rsidRPr="00BD71C0">
        <w:rPr>
          <w:rFonts w:ascii="Times New Roman" w:eastAsia="Times New Roman" w:hAnsi="Times New Roman" w:cs="Times New Roman"/>
        </w:rPr>
        <w:t>/ml.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5.2 </w:t>
      </w:r>
      <w:r w:rsidRPr="00BD71C0">
        <w:rPr>
          <w:rFonts w:ascii="Times New Roman" w:eastAsia="Times New Roman" w:hAnsi="Times New Roman" w:cs="Times New Roman"/>
          <w:b/>
        </w:rPr>
        <w:tab/>
      </w:r>
      <w:proofErr w:type="spellStart"/>
      <w:r w:rsidRPr="00BD71C0">
        <w:rPr>
          <w:rFonts w:ascii="Times New Roman" w:eastAsia="Times New Roman" w:hAnsi="Times New Roman" w:cs="Times New Roman"/>
          <w:b/>
        </w:rPr>
        <w:t>Farmakokinetické</w:t>
      </w:r>
      <w:proofErr w:type="spellEnd"/>
      <w:r w:rsidRPr="00BD71C0">
        <w:rPr>
          <w:rFonts w:ascii="Times New Roman" w:eastAsia="Times New Roman" w:hAnsi="Times New Roman" w:cs="Times New Roman"/>
          <w:b/>
        </w:rPr>
        <w:t xml:space="preserve"> údaje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Ošípané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sa u ošípaných po perorálnom podaní dobre vstrebáva (viac ako 90 %) a je široko distribuovaný po celom tele. Po jednorazovej perorálnej dávke 10 mg a 25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lastRenderedPageBreak/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na 1 kg živej hmotnosti boli hodnoty </w:t>
      </w:r>
      <w:r w:rsidRPr="00BD71C0">
        <w:rPr>
          <w:rFonts w:ascii="Times New Roman" w:eastAsia="Times New Roman" w:hAnsi="Times New Roman" w:cs="Times New Roman"/>
          <w:spacing w:val="2"/>
        </w:rPr>
        <w:t>C</w:t>
      </w:r>
      <w:r w:rsidRPr="00BD71C0">
        <w:rPr>
          <w:rFonts w:ascii="Times New Roman" w:eastAsia="Times New Roman" w:hAnsi="Times New Roman" w:cs="Times New Roman"/>
          <w:spacing w:val="2"/>
          <w:position w:val="-2"/>
        </w:rPr>
        <w:t>max</w:t>
      </w:r>
      <w:r w:rsidRPr="00BD71C0">
        <w:rPr>
          <w:rFonts w:ascii="Times New Roman" w:eastAsia="Times New Roman" w:hAnsi="Times New Roman" w:cs="Times New Roman"/>
          <w:spacing w:val="29"/>
          <w:position w:val="-2"/>
        </w:rPr>
        <w:t xml:space="preserve"> </w:t>
      </w:r>
      <w:r w:rsidRPr="00BD71C0">
        <w:rPr>
          <w:rFonts w:ascii="Times New Roman" w:eastAsia="Times New Roman" w:hAnsi="Times New Roman" w:cs="Times New Roman"/>
        </w:rPr>
        <w:t xml:space="preserve">1,03 </w:t>
      </w:r>
      <w:r w:rsidRPr="00BD71C0">
        <w:rPr>
          <w:rFonts w:ascii="Times New Roman" w:eastAsia="Times New Roman" w:hAnsi="Times New Roman" w:cs="Times New Roman"/>
          <w:spacing w:val="-2"/>
        </w:rPr>
        <w:t>µ</w:t>
      </w:r>
      <w:r w:rsidRPr="00BD71C0">
        <w:rPr>
          <w:rFonts w:ascii="Times New Roman" w:eastAsia="Times New Roman" w:hAnsi="Times New Roman" w:cs="Times New Roman"/>
        </w:rPr>
        <w:t xml:space="preserve">g/ml a 1,82 </w:t>
      </w:r>
      <w:r w:rsidRPr="00BD71C0">
        <w:rPr>
          <w:rFonts w:ascii="Times New Roman" w:eastAsia="Times New Roman" w:hAnsi="Times New Roman" w:cs="Times New Roman"/>
          <w:spacing w:val="-2"/>
        </w:rPr>
        <w:t>µ</w:t>
      </w:r>
      <w:r w:rsidRPr="00BD71C0">
        <w:rPr>
          <w:rFonts w:ascii="Times New Roman" w:eastAsia="Times New Roman" w:hAnsi="Times New Roman" w:cs="Times New Roman"/>
        </w:rPr>
        <w:t xml:space="preserve">g/ml v sére stanovené mikrobiologicky, v danom poradí, a </w:t>
      </w:r>
      <w:r w:rsidRPr="00BD71C0">
        <w:rPr>
          <w:rFonts w:ascii="Times New Roman" w:eastAsia="Times New Roman" w:hAnsi="Times New Roman" w:cs="Times New Roman"/>
          <w:spacing w:val="3"/>
        </w:rPr>
        <w:t>T</w:t>
      </w:r>
      <w:r w:rsidRPr="00BD71C0">
        <w:rPr>
          <w:rFonts w:ascii="Times New Roman" w:eastAsia="Times New Roman" w:hAnsi="Times New Roman" w:cs="Times New Roman"/>
          <w:spacing w:val="3"/>
          <w:position w:val="-2"/>
        </w:rPr>
        <w:t>max</w:t>
      </w:r>
      <w:r w:rsidRPr="00BD71C0">
        <w:rPr>
          <w:rFonts w:ascii="Times New Roman" w:eastAsia="Times New Roman" w:hAnsi="Times New Roman" w:cs="Times New Roman"/>
          <w:spacing w:val="29"/>
          <w:position w:val="-2"/>
        </w:rPr>
        <w:t xml:space="preserve"> </w:t>
      </w:r>
      <w:r w:rsidRPr="00BD71C0">
        <w:rPr>
          <w:rFonts w:ascii="Times New Roman" w:eastAsia="Times New Roman" w:hAnsi="Times New Roman" w:cs="Times New Roman"/>
        </w:rPr>
        <w:t xml:space="preserve">bol v oboch prípadoch 2 hodiny. Bolo preukázané, že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sa koncentruje v pľúcach, </w:t>
      </w:r>
      <w:proofErr w:type="spellStart"/>
      <w:r w:rsidRPr="00BD71C0">
        <w:rPr>
          <w:rFonts w:ascii="Times New Roman" w:eastAsia="Times New Roman" w:hAnsi="Times New Roman" w:cs="Times New Roman"/>
        </w:rPr>
        <w:t>polymorfonukleárnych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leukocytoch a tiež v pečeni, kde sa metabolizuje a vylučuje (70-85 %) v žlči, zvyšok sa vylučuje obličkami (15-30 %). Väzba na plazmatické proteíny je približne 30 %. 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ktorý nebol absorbovaný ani metabolizovaný, prechádza </w:t>
      </w:r>
      <w:proofErr w:type="spellStart"/>
      <w:r w:rsidRPr="00BD71C0">
        <w:rPr>
          <w:rFonts w:ascii="Times New Roman" w:eastAsia="Times New Roman" w:hAnsi="Times New Roman" w:cs="Times New Roman"/>
        </w:rPr>
        <w:t>gastrointestinálnym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traktom do hrubého čreva. Koncentrácia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 obsahu hrubého čreva sa odhadla na 3,41 </w:t>
      </w:r>
      <w:r w:rsidRPr="00BD71C0">
        <w:rPr>
          <w:rFonts w:ascii="Times New Roman" w:eastAsia="Times New Roman" w:hAnsi="Times New Roman" w:cs="Times New Roman"/>
          <w:spacing w:val="-2"/>
        </w:rPr>
        <w:t>µ</w:t>
      </w:r>
      <w:r w:rsidRPr="00BD71C0">
        <w:rPr>
          <w:rFonts w:ascii="Times New Roman" w:eastAsia="Times New Roman" w:hAnsi="Times New Roman" w:cs="Times New Roman"/>
        </w:rPr>
        <w:t xml:space="preserve">g/ml po podaní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 dávke 8,8 mg/kg živej hmotnosti.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Kurčatá (nosnice)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U kurčiat sa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dobre absorbuje (70-95 %) po perorálnom podaní a dosahuje maximálne koncentrácie po 2-4 hodinách (</w:t>
      </w:r>
      <w:r w:rsidRPr="00BD71C0">
        <w:rPr>
          <w:rFonts w:ascii="Times New Roman" w:eastAsia="Times New Roman" w:hAnsi="Times New Roman" w:cs="Times New Roman"/>
          <w:spacing w:val="1"/>
        </w:rPr>
        <w:t>T</w:t>
      </w:r>
      <w:r w:rsidRPr="00BD71C0">
        <w:rPr>
          <w:rFonts w:ascii="Times New Roman" w:eastAsia="Times New Roman" w:hAnsi="Times New Roman" w:cs="Times New Roman"/>
          <w:spacing w:val="1"/>
          <w:position w:val="-2"/>
        </w:rPr>
        <w:t>max</w:t>
      </w:r>
      <w:r w:rsidRPr="00BD71C0">
        <w:rPr>
          <w:rFonts w:ascii="Times New Roman" w:eastAsia="Times New Roman" w:hAnsi="Times New Roman" w:cs="Times New Roman"/>
        </w:rPr>
        <w:t xml:space="preserve"> 2,85 hodiny). Po jednorazovej dávke 50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na 1 kg živej hmotnosti bola hodnota C</w:t>
      </w:r>
      <w:r w:rsidRPr="00BD71C0">
        <w:rPr>
          <w:rFonts w:ascii="Times New Roman" w:eastAsia="Times New Roman" w:hAnsi="Times New Roman" w:cs="Times New Roman"/>
          <w:spacing w:val="1"/>
          <w:position w:val="-2"/>
        </w:rPr>
        <w:t>max</w:t>
      </w:r>
      <w:r w:rsidRPr="00BD71C0">
        <w:rPr>
          <w:rFonts w:ascii="Times New Roman" w:eastAsia="Times New Roman" w:hAnsi="Times New Roman" w:cs="Times New Roman"/>
        </w:rPr>
        <w:t xml:space="preserve"> 4,02 </w:t>
      </w:r>
      <w:r w:rsidRPr="00BD71C0">
        <w:rPr>
          <w:rFonts w:ascii="Times New Roman" w:eastAsia="Times New Roman" w:hAnsi="Times New Roman" w:cs="Times New Roman"/>
          <w:spacing w:val="-2"/>
        </w:rPr>
        <w:t>µ</w:t>
      </w:r>
      <w:r w:rsidRPr="00BD71C0">
        <w:rPr>
          <w:rFonts w:ascii="Times New Roman" w:eastAsia="Times New Roman" w:hAnsi="Times New Roman" w:cs="Times New Roman"/>
        </w:rPr>
        <w:t xml:space="preserve">g/ml v sére stanovená mikrobiologicky a po dávke 25 mg/kg bola 1,86 </w:t>
      </w:r>
      <w:r w:rsidRPr="00BD71C0">
        <w:rPr>
          <w:rFonts w:ascii="Times New Roman" w:eastAsia="Times New Roman" w:hAnsi="Times New Roman" w:cs="Times New Roman"/>
          <w:spacing w:val="-2"/>
        </w:rPr>
        <w:t>µ</w:t>
      </w:r>
      <w:r w:rsidRPr="00BD71C0">
        <w:rPr>
          <w:rFonts w:ascii="Times New Roman" w:eastAsia="Times New Roman" w:hAnsi="Times New Roman" w:cs="Times New Roman"/>
        </w:rPr>
        <w:t xml:space="preserve">g/ml. Koncentrácia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250 </w:t>
      </w:r>
      <w:proofErr w:type="spellStart"/>
      <w:r w:rsidRPr="00BD71C0">
        <w:rPr>
          <w:rFonts w:ascii="Times New Roman" w:eastAsia="Times New Roman" w:hAnsi="Times New Roman" w:cs="Times New Roman"/>
        </w:rPr>
        <w:t>ppm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(0,025 %) v pitnej vode zabezpečila konštantnú sérovú hladinu po 48-hodinovú dobu medikácie 0,78 </w:t>
      </w:r>
      <w:r w:rsidRPr="00BD71C0">
        <w:rPr>
          <w:rFonts w:ascii="Times New Roman" w:eastAsia="Times New Roman" w:hAnsi="Times New Roman" w:cs="Times New Roman"/>
          <w:spacing w:val="-2"/>
        </w:rPr>
        <w:t>µ</w:t>
      </w:r>
      <w:r w:rsidRPr="00BD71C0">
        <w:rPr>
          <w:rFonts w:ascii="Times New Roman" w:eastAsia="Times New Roman" w:hAnsi="Times New Roman" w:cs="Times New Roman"/>
        </w:rPr>
        <w:t xml:space="preserve">g/ml (v rozsahu 1,4-0,45 </w:t>
      </w:r>
      <w:r w:rsidRPr="00BD71C0">
        <w:rPr>
          <w:rFonts w:ascii="Times New Roman" w:eastAsia="Times New Roman" w:hAnsi="Times New Roman" w:cs="Times New Roman"/>
          <w:spacing w:val="-2"/>
        </w:rPr>
        <w:t>µ</w:t>
      </w:r>
      <w:r w:rsidRPr="00BD71C0">
        <w:rPr>
          <w:rFonts w:ascii="Times New Roman" w:eastAsia="Times New Roman" w:hAnsi="Times New Roman" w:cs="Times New Roman"/>
        </w:rPr>
        <w:t xml:space="preserve">g/ml) a pri 125 </w:t>
      </w:r>
      <w:proofErr w:type="spellStart"/>
      <w:r w:rsidRPr="00BD71C0">
        <w:rPr>
          <w:rFonts w:ascii="Times New Roman" w:eastAsia="Times New Roman" w:hAnsi="Times New Roman" w:cs="Times New Roman"/>
        </w:rPr>
        <w:t>ppm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(0,0125 % ) 0,38 </w:t>
      </w:r>
      <w:r w:rsidRPr="00BD71C0">
        <w:rPr>
          <w:rFonts w:ascii="Times New Roman" w:eastAsia="Times New Roman" w:hAnsi="Times New Roman" w:cs="Times New Roman"/>
          <w:spacing w:val="-2"/>
        </w:rPr>
        <w:t>µ</w:t>
      </w:r>
      <w:r w:rsidRPr="00BD71C0">
        <w:rPr>
          <w:rFonts w:ascii="Times New Roman" w:eastAsia="Times New Roman" w:hAnsi="Times New Roman" w:cs="Times New Roman"/>
        </w:rPr>
        <w:t xml:space="preserve">g/ml (v rozsahu 0,65- 0,2 </w:t>
      </w:r>
      <w:r w:rsidRPr="00BD71C0">
        <w:rPr>
          <w:rFonts w:ascii="Times New Roman" w:eastAsia="Times New Roman" w:hAnsi="Times New Roman" w:cs="Times New Roman"/>
          <w:spacing w:val="-2"/>
        </w:rPr>
        <w:t>µ</w:t>
      </w:r>
      <w:r w:rsidRPr="00BD71C0">
        <w:rPr>
          <w:rFonts w:ascii="Times New Roman" w:eastAsia="Times New Roman" w:hAnsi="Times New Roman" w:cs="Times New Roman"/>
        </w:rPr>
        <w:t xml:space="preserve">g/ml) u osemtýždňových kurčiat. Väzba na plazmatické proteíny je približne 45 %. V organizme sa distribuuje v širokej miere a preukázalo sa, že sa koncentruje v pečeni a obličkách (miesta vylučovania) a v pľúcach (30-násobok hladiny v sére). Vylučovanie prebieha hlavne žlčou (55-65 %) a obličkami (15-30 %), najmä v podobe mikrobiologicky </w:t>
      </w:r>
      <w:proofErr w:type="spellStart"/>
      <w:r w:rsidRPr="00BD71C0">
        <w:rPr>
          <w:rFonts w:ascii="Times New Roman" w:eastAsia="Times New Roman" w:hAnsi="Times New Roman" w:cs="Times New Roman"/>
        </w:rPr>
        <w:t>inaktívnych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metabolitov</w:t>
      </w:r>
      <w:proofErr w:type="spellEnd"/>
      <w:r w:rsidRPr="00BD71C0">
        <w:rPr>
          <w:rFonts w:ascii="Times New Roman" w:eastAsia="Times New Roman" w:hAnsi="Times New Roman" w:cs="Times New Roman"/>
        </w:rPr>
        <w:t>, a je dosť rýchle, 99 % dávky sa vylúči počas 48 hodín.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 xml:space="preserve">5.3 </w:t>
      </w:r>
      <w:r w:rsidRPr="00BD71C0">
        <w:rPr>
          <w:rFonts w:ascii="Times New Roman" w:eastAsia="Times New Roman" w:hAnsi="Times New Roman" w:cs="Times New Roman"/>
          <w:b/>
        </w:rPr>
        <w:tab/>
        <w:t>Vplyv na životné prostredie</w:t>
      </w:r>
    </w:p>
    <w:p w:rsidR="00BD71C0" w:rsidRPr="00BD71C0" w:rsidRDefault="00BD71C0" w:rsidP="00BD71C0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 pôde sa rozkladá pomaly a rokmi sa môže hromadiť</w:t>
      </w:r>
      <w:r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6. </w:t>
      </w:r>
      <w:r w:rsidRPr="00BD71C0">
        <w:rPr>
          <w:rFonts w:ascii="Times New Roman" w:eastAsia="Times New Roman" w:hAnsi="Times New Roman" w:cs="Times New Roman"/>
          <w:b/>
        </w:rPr>
        <w:tab/>
        <w:t>FARMACEUTICKÉ ÚDAJE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 xml:space="preserve">6.1 </w:t>
      </w:r>
      <w:r w:rsidRPr="00BD71C0">
        <w:rPr>
          <w:rFonts w:ascii="Times New Roman" w:eastAsia="Times New Roman" w:hAnsi="Times New Roman" w:cs="Times New Roman"/>
          <w:b/>
        </w:rPr>
        <w:tab/>
        <w:t>Zoznam pomocných látok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Metylparabén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(E218)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Propylparabén</w:t>
      </w:r>
      <w:proofErr w:type="spellEnd"/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Hydrogénfosforečnan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sodný bezvodý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</w:rPr>
        <w:t>Etanol 96%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Voda na injekciu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6.2 </w:t>
      </w:r>
      <w:r w:rsidRPr="00BD71C0">
        <w:rPr>
          <w:rFonts w:ascii="Times New Roman" w:eastAsia="Times New Roman" w:hAnsi="Times New Roman" w:cs="Times New Roman"/>
          <w:b/>
        </w:rPr>
        <w:tab/>
      </w:r>
      <w:r w:rsidRPr="00BD71C0">
        <w:rPr>
          <w:rFonts w:ascii="Times New Roman" w:eastAsia="Times New Roman" w:hAnsi="Times New Roman" w:cs="Times New Roman"/>
          <w:b/>
          <w:bCs/>
        </w:rPr>
        <w:t xml:space="preserve">Závažné </w:t>
      </w:r>
      <w:r w:rsidRPr="00BD71C0">
        <w:rPr>
          <w:rFonts w:ascii="Times New Roman" w:eastAsia="Times New Roman" w:hAnsi="Times New Roman" w:cs="Times New Roman"/>
          <w:b/>
        </w:rPr>
        <w:t>inkompatibility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Z dôvodu chýbania štúdií kompatibility, sa tento veterinárny liek nesmie miešať s inými veterinárnymi liekmi.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6.3 </w:t>
      </w:r>
      <w:r w:rsidRPr="00BD71C0">
        <w:rPr>
          <w:rFonts w:ascii="Times New Roman" w:eastAsia="Times New Roman" w:hAnsi="Times New Roman" w:cs="Times New Roman"/>
          <w:b/>
        </w:rPr>
        <w:tab/>
        <w:t>Čas použiteľnosti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Čas použiteľnosti veterinárneho lieku zabaleného v neporušenom obale: 3 roky.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Čas použiteľnosti po prvom otvorení vnútorného obalu: 3 mesiace.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Čas použiteľnosti po rozpustení v pitnej vode podľa návodu: 24 hodín.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6.4 </w:t>
      </w:r>
      <w:r w:rsidRPr="00BD71C0">
        <w:rPr>
          <w:rFonts w:ascii="Times New Roman" w:eastAsia="Times New Roman" w:hAnsi="Times New Roman" w:cs="Times New Roman"/>
          <w:b/>
        </w:rPr>
        <w:tab/>
        <w:t>Osobitné bezpečnostné opatrenia na uchovávanie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Uchovávať v pôvodnom obale na ochranu pred svetlom.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6.5 </w:t>
      </w:r>
      <w:r w:rsidRPr="00BD71C0">
        <w:rPr>
          <w:rFonts w:ascii="Times New Roman" w:eastAsia="Times New Roman" w:hAnsi="Times New Roman" w:cs="Times New Roman"/>
          <w:b/>
        </w:rPr>
        <w:tab/>
        <w:t>Charakter a zloženie vnútorného obalu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Liek sa dodáva v:</w:t>
      </w:r>
    </w:p>
    <w:p w:rsidR="00BD71C0" w:rsidRPr="00BD71C0" w:rsidRDefault="00BD71C0" w:rsidP="00BD71C0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lastRenderedPageBreak/>
        <w:t xml:space="preserve">1-litrovej fľaši z </w:t>
      </w:r>
      <w:proofErr w:type="spellStart"/>
      <w:r w:rsidRPr="00BD71C0">
        <w:rPr>
          <w:rFonts w:ascii="Times New Roman" w:eastAsia="Times New Roman" w:hAnsi="Times New Roman" w:cs="Times New Roman"/>
        </w:rPr>
        <w:t>vysokohustotného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polyetylénu (HDPE) uzavretej </w:t>
      </w:r>
      <w:proofErr w:type="spellStart"/>
      <w:r w:rsidRPr="00BD71C0">
        <w:rPr>
          <w:rFonts w:ascii="Times New Roman" w:eastAsia="Times New Roman" w:hAnsi="Times New Roman" w:cs="Times New Roman"/>
        </w:rPr>
        <w:t>skrutkovacím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uzáverom z polypropylénu (PP) a tesniacim krúžkom z </w:t>
      </w:r>
      <w:proofErr w:type="spellStart"/>
      <w:r w:rsidRPr="00BD71C0">
        <w:rPr>
          <w:rFonts w:ascii="Times New Roman" w:eastAsia="Times New Roman" w:hAnsi="Times New Roman" w:cs="Times New Roman"/>
        </w:rPr>
        <w:t>nízkohustotného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polyetylénu (LDPE).</w:t>
      </w:r>
    </w:p>
    <w:p w:rsidR="00BD71C0" w:rsidRPr="00BD71C0" w:rsidRDefault="00BD71C0" w:rsidP="00BD71C0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5-litrovej nádobe z </w:t>
      </w:r>
      <w:proofErr w:type="spellStart"/>
      <w:r w:rsidRPr="00BD71C0">
        <w:rPr>
          <w:rFonts w:ascii="Times New Roman" w:eastAsia="Times New Roman" w:hAnsi="Times New Roman" w:cs="Times New Roman"/>
        </w:rPr>
        <w:t>vysokohustotného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polyetylénu (HDPE) uzavretej vrúbkovaným uzáverom z HDPE a krúžkom proti manipulácii.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Nie všetky veľkosti balenia sa musia uvádzať na trh.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BD71C0">
        <w:rPr>
          <w:rFonts w:ascii="Times New Roman" w:eastAsia="Times New Roman" w:hAnsi="Times New Roman" w:cs="Times New Roman"/>
          <w:b/>
          <w:bCs/>
        </w:rPr>
        <w:t>6.6</w:t>
      </w:r>
      <w:r w:rsidRPr="00BD71C0">
        <w:rPr>
          <w:rFonts w:ascii="Times New Roman" w:eastAsia="Times New Roman" w:hAnsi="Times New Roman" w:cs="Times New Roman"/>
          <w:b/>
          <w:bCs/>
        </w:rPr>
        <w:tab/>
      </w:r>
      <w:r w:rsidRPr="00BD71C0">
        <w:rPr>
          <w:rFonts w:ascii="Times New Roman" w:eastAsia="Times New Roman" w:hAnsi="Times New Roman" w:cs="Times New Roman"/>
          <w:b/>
        </w:rPr>
        <w:t>Osobitné bezpečnostné opatrenia na zneškodňovanie nepoužitých veterinárnych liekov, prípadne odpadových materiálov vytvorených pri používaní týchto liekov</w:t>
      </w:r>
      <w:r w:rsidRPr="00BD71C0">
        <w:rPr>
          <w:rFonts w:ascii="Times New Roman" w:eastAsia="Times New Roman" w:hAnsi="Times New Roman" w:cs="Times New Roman"/>
          <w:b/>
          <w:bCs/>
        </w:rPr>
        <w:t>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D71C0">
        <w:rPr>
          <w:rFonts w:ascii="Times New Roman" w:eastAsia="Times New Roman" w:hAnsi="Times New Roman" w:cs="Times New Roman"/>
        </w:rPr>
        <w:t>Každý nepoužitý veterinárny liek alebo odpadové materiály z tohto veterinárneho lieku musia byť zlikvidované v súlade s miestnymi požiadavkami.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 xml:space="preserve">7. </w:t>
      </w:r>
      <w:r w:rsidRPr="00BD71C0">
        <w:rPr>
          <w:rFonts w:ascii="Times New Roman" w:eastAsia="Times New Roman" w:hAnsi="Times New Roman" w:cs="Times New Roman"/>
          <w:b/>
        </w:rPr>
        <w:tab/>
        <w:t>DRŽITEĽ ROZHODNUTIA O REGISTRÁCII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Huvepharma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NV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Uitbreidingstraat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80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2600 </w:t>
      </w:r>
      <w:proofErr w:type="spellStart"/>
      <w:r w:rsidRPr="00BD71C0">
        <w:rPr>
          <w:rFonts w:ascii="Times New Roman" w:eastAsia="Times New Roman" w:hAnsi="Times New Roman" w:cs="Times New Roman"/>
        </w:rPr>
        <w:t>Antwerp</w:t>
      </w:r>
      <w:proofErr w:type="spellEnd"/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Belgicko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8. </w:t>
      </w:r>
      <w:r w:rsidRPr="00BD71C0">
        <w:rPr>
          <w:rFonts w:ascii="Times New Roman" w:eastAsia="Times New Roman" w:hAnsi="Times New Roman" w:cs="Times New Roman"/>
          <w:b/>
        </w:rPr>
        <w:tab/>
      </w:r>
      <w:r w:rsidRPr="00BD71C0">
        <w:rPr>
          <w:rFonts w:ascii="Times New Roman" w:eastAsia="Times New Roman" w:hAnsi="Times New Roman" w:cs="Times New Roman"/>
          <w:b/>
          <w:bCs/>
        </w:rPr>
        <w:t>REGISTRAČNÉ ČÍSLO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96/002/DC/19-S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</w:rPr>
        <w:t xml:space="preserve">9. </w:t>
      </w:r>
      <w:r w:rsidRPr="00BD71C0">
        <w:rPr>
          <w:rFonts w:ascii="Times New Roman" w:eastAsia="Times New Roman" w:hAnsi="Times New Roman" w:cs="Times New Roman"/>
          <w:b/>
        </w:rPr>
        <w:tab/>
      </w:r>
      <w:r w:rsidRPr="00BD71C0">
        <w:rPr>
          <w:rFonts w:ascii="Times New Roman" w:eastAsia="Times New Roman" w:hAnsi="Times New Roman" w:cs="Times New Roman"/>
          <w:b/>
          <w:bCs/>
        </w:rPr>
        <w:t>DÁTUM PRVEJ REGISTRÁCIE/PREDĹŽENIA REGISTRÁCIE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E6A27" w:rsidRPr="00AE6A27" w:rsidRDefault="00AE6A27" w:rsidP="00AE6A2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6A27">
        <w:rPr>
          <w:rFonts w:ascii="Times New Roman" w:eastAsia="Times New Roman" w:hAnsi="Times New Roman" w:cs="Times New Roman"/>
        </w:rPr>
        <w:t xml:space="preserve">Dátum prvej registrácie: </w:t>
      </w:r>
      <w:r>
        <w:rPr>
          <w:rFonts w:ascii="Times New Roman" w:eastAsia="Times New Roman" w:hAnsi="Times New Roman" w:cs="Times New Roman"/>
          <w:lang w:val="de-DE"/>
        </w:rPr>
        <w:t>20</w:t>
      </w:r>
      <w:r w:rsidRPr="00AE6A27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lang w:val="de-DE"/>
        </w:rPr>
        <w:t>03</w:t>
      </w:r>
      <w:r w:rsidRPr="00AE6A27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lang w:val="de-DE"/>
        </w:rPr>
        <w:t>2019</w:t>
      </w:r>
      <w:bookmarkStart w:id="1" w:name="_GoBack"/>
      <w:bookmarkEnd w:id="1"/>
    </w:p>
    <w:p w:rsidR="00735A08" w:rsidRPr="00BD71C0" w:rsidRDefault="00735A08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 xml:space="preserve">10. </w:t>
      </w:r>
      <w:r w:rsidRPr="00BD71C0">
        <w:rPr>
          <w:rFonts w:ascii="Times New Roman" w:eastAsia="Times New Roman" w:hAnsi="Times New Roman" w:cs="Times New Roman"/>
          <w:b/>
        </w:rPr>
        <w:tab/>
        <w:t>DÁTUM REVÍZIE TEXTU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  <w:bCs/>
        </w:rPr>
        <w:t>ZÁKAZ PREDAJA, DODÁVOK A/ALEBO POUŽÍVANIA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Cs w:val="20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b/>
          <w:bCs/>
        </w:rPr>
        <w:lastRenderedPageBreak/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0" w:type="auto"/>
          </w:tcPr>
          <w:p w:rsidR="00BD71C0" w:rsidRPr="00BD71C0" w:rsidRDefault="00BD71C0" w:rsidP="00BD7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ÚDAJE, KTORÉ MAJÚ BYŤ UVEDENÉ NA VNÚTORNOM OBALE</w:t>
            </w:r>
          </w:p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Cs/>
              </w:rPr>
            </w:pPr>
          </w:p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Fľaša s objemom 1 l</w:t>
            </w:r>
          </w:p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Plechová nádoba s objemom 5 l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NÁZOV VETERINÁRNEHO LIEKU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71C0">
        <w:rPr>
          <w:rFonts w:ascii="Times New Roman" w:eastAsia="Times New Roman" w:hAnsi="Times New Roman" w:cs="Times New Roman"/>
          <w:bCs/>
          <w:color w:val="000000"/>
        </w:rPr>
        <w:t xml:space="preserve">VETMULIN 125 mg/ml roztok na podanie v pitnej vode pre ošípané a kurčatá </w:t>
      </w:r>
    </w:p>
    <w:p w:rsidR="00BD71C0" w:rsidRPr="00BD71C0" w:rsidRDefault="00BD71C0" w:rsidP="00BD71C0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BD71C0">
        <w:rPr>
          <w:rFonts w:ascii="Times New Roman" w:eastAsia="Times New Roman" w:hAnsi="Times New Roman" w:cs="Times New Roman"/>
          <w:bCs/>
          <w:color w:val="000000"/>
        </w:rPr>
        <w:t>Tiamulini</w:t>
      </w:r>
      <w:proofErr w:type="spellEnd"/>
      <w:r w:rsidRPr="00BD71C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bCs/>
          <w:color w:val="000000"/>
        </w:rPr>
        <w:t>hydrogenofumaras</w:t>
      </w:r>
      <w:proofErr w:type="spellEnd"/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ÚČINNÉ LÁTKY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Calibri" w:hAnsi="Times New Roman" w:cs="Times New Roman"/>
        </w:rPr>
        <w:t>1 ml obsahuje: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Calibri" w:hAnsi="Times New Roman" w:cs="Times New Roman"/>
          <w:u w:val="single"/>
        </w:rPr>
        <w:t>Účinná látka: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Calibri" w:hAnsi="Times New Roman" w:cs="Times New Roman"/>
        </w:rPr>
        <w:t>Tiamulín</w:t>
      </w:r>
      <w:proofErr w:type="spellEnd"/>
      <w:r w:rsidRPr="00BD71C0">
        <w:rPr>
          <w:rFonts w:ascii="Times New Roman" w:eastAsia="Calibri" w:hAnsi="Times New Roman" w:cs="Times New Roman"/>
        </w:rPr>
        <w:t xml:space="preserve"> </w:t>
      </w:r>
      <w:proofErr w:type="spellStart"/>
      <w:r w:rsidRPr="00BD71C0">
        <w:rPr>
          <w:rFonts w:ascii="Times New Roman" w:eastAsia="Calibri" w:hAnsi="Times New Roman" w:cs="Times New Roman"/>
        </w:rPr>
        <w:t>hydrogénfumarát</w:t>
      </w:r>
      <w:proofErr w:type="spellEnd"/>
      <w:r w:rsidRPr="00BD71C0">
        <w:rPr>
          <w:rFonts w:ascii="Times New Roman" w:eastAsia="Calibri" w:hAnsi="Times New Roman" w:cs="Times New Roman"/>
        </w:rPr>
        <w:t xml:space="preserve"> </w:t>
      </w:r>
      <w:r w:rsidRPr="00BD71C0">
        <w:rPr>
          <w:rFonts w:ascii="Times New Roman" w:eastAsia="Calibri" w:hAnsi="Times New Roman" w:cs="Times New Roman"/>
        </w:rPr>
        <w:tab/>
      </w:r>
      <w:r w:rsidRPr="00BD71C0">
        <w:rPr>
          <w:rFonts w:ascii="Times New Roman" w:eastAsia="Calibri" w:hAnsi="Times New Roman" w:cs="Times New Roman"/>
        </w:rPr>
        <w:tab/>
      </w:r>
      <w:r w:rsidRPr="00BD71C0">
        <w:rPr>
          <w:rFonts w:ascii="Times New Roman" w:eastAsia="Calibri" w:hAnsi="Times New Roman" w:cs="Times New Roman"/>
        </w:rPr>
        <w:tab/>
        <w:t xml:space="preserve">125 mg </w:t>
      </w:r>
      <w:r w:rsidRPr="00BD71C0">
        <w:rPr>
          <w:rFonts w:ascii="Times New Roman" w:eastAsia="Calibri" w:hAnsi="Times New Roman" w:cs="Times New Roman"/>
        </w:rPr>
        <w:br/>
        <w:t xml:space="preserve">(zodpovedá </w:t>
      </w:r>
      <w:proofErr w:type="spellStart"/>
      <w:r w:rsidRPr="00BD71C0">
        <w:rPr>
          <w:rFonts w:ascii="Times New Roman" w:eastAsia="Calibri" w:hAnsi="Times New Roman" w:cs="Times New Roman"/>
        </w:rPr>
        <w:t>tiamulinum</w:t>
      </w:r>
      <w:proofErr w:type="spellEnd"/>
      <w:r w:rsidRPr="00BD71C0">
        <w:rPr>
          <w:rFonts w:ascii="Times New Roman" w:eastAsia="Calibri" w:hAnsi="Times New Roman" w:cs="Times New Roman"/>
        </w:rPr>
        <w:tab/>
      </w:r>
      <w:r w:rsidRPr="00BD71C0">
        <w:rPr>
          <w:rFonts w:ascii="Times New Roman" w:eastAsia="Calibri" w:hAnsi="Times New Roman" w:cs="Times New Roman"/>
        </w:rPr>
        <w:tab/>
      </w:r>
      <w:r w:rsidRPr="00BD71C0">
        <w:rPr>
          <w:rFonts w:ascii="Times New Roman" w:eastAsia="Calibri" w:hAnsi="Times New Roman" w:cs="Times New Roman"/>
        </w:rPr>
        <w:tab/>
      </w:r>
      <w:r w:rsidRPr="00BD71C0">
        <w:rPr>
          <w:rFonts w:ascii="Times New Roman" w:eastAsia="Calibri" w:hAnsi="Times New Roman" w:cs="Times New Roman"/>
        </w:rPr>
        <w:tab/>
        <w:t>101,2 mg)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tabs>
          <w:tab w:val="left" w:pos="170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u w:val="single"/>
        </w:rPr>
      </w:pPr>
      <w:r w:rsidRPr="00BD71C0">
        <w:rPr>
          <w:rFonts w:ascii="Times New Roman" w:eastAsia="Times New Roman" w:hAnsi="Times New Roman" w:cs="Times New Roman"/>
          <w:iCs/>
          <w:u w:val="single"/>
        </w:rPr>
        <w:t>Pomocné látky: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Metylparabén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(E218) 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 xml:space="preserve">0,90 mg 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Propylparabén</w:t>
      </w:r>
      <w:proofErr w:type="spellEnd"/>
      <w:r w:rsidRPr="00BD71C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BD71C0">
        <w:rPr>
          <w:rFonts w:ascii="Times New Roman" w:eastAsia="Times New Roman" w:hAnsi="Times New Roman" w:cs="Times New Roman"/>
        </w:rPr>
        <w:t xml:space="preserve">   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>0,10 mg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LIEKOVÁ FORMA 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Roztok na podanie v pitnej vode 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VEĽKOSŤ BALENIA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1 liter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highlight w:val="lightGray"/>
        </w:rPr>
        <w:t>5 litrov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CIEĽOVÉ DRUHY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Ošípané a kurčatá (nosnice).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INDIKÁCIA (-IE) 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SPÔSOB  A CESTA PODANIA LIEKU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Použitie v pitnej vode.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Pred použitím si prečítajte písomnú informáciu pre používateľov.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OCHRANNÁ LEHOTA(-Y)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BD71C0">
        <w:rPr>
          <w:rFonts w:ascii="Times New Roman" w:eastAsia="Times New Roman" w:hAnsi="Times New Roman" w:cs="Times New Roman"/>
          <w:iCs/>
          <w:u w:val="single"/>
        </w:rPr>
        <w:t>Ošípané: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 xml:space="preserve">Mäso a vnútornosti: 2 dni (8,8 mg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>/kg živej hmotnosti – je ekvivalentné 7 ml lieku/100 kg živej hmotnosti)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 xml:space="preserve">Mäso a vnútornosti: 4 dni (20 mg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Cs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iCs/>
        </w:rPr>
        <w:t>/kg živej hmotnosti – je ekvivalentné 16 ml lieku/na 100 kg živej hmotnosti)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BD71C0">
        <w:rPr>
          <w:rFonts w:ascii="Times New Roman" w:eastAsia="Times New Roman" w:hAnsi="Times New Roman" w:cs="Times New Roman"/>
          <w:iCs/>
          <w:u w:val="single"/>
        </w:rPr>
        <w:t>Kurčatá (nosnice):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>Mäso a vnútornosti: 2 dni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D71C0">
        <w:rPr>
          <w:rFonts w:ascii="Times New Roman" w:eastAsia="Times New Roman" w:hAnsi="Times New Roman" w:cs="Times New Roman"/>
          <w:iCs/>
        </w:rPr>
        <w:t>Vajcia: nula dní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OSOBITNÉ UPOZORNENIE (-A), AK JE POTREBNÉ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Pred použitím si prečítajte písomnú informáciu pre používateľov.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072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DÁTUM EXSPIRÁCIE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BD71C0">
        <w:rPr>
          <w:rFonts w:ascii="Times New Roman" w:eastAsia="Times New Roman" w:hAnsi="Times New Roman" w:cs="Times New Roman"/>
        </w:rPr>
        <w:t>EXP</w:t>
      </w:r>
      <w:r w:rsidRPr="00BD71C0">
        <w:rPr>
          <w:rFonts w:ascii="Times New Roman" w:eastAsia="Times New Roman" w:hAnsi="Times New Roman" w:cs="Times New Roman"/>
          <w:b/>
          <w:bCs/>
        </w:rPr>
        <w:t xml:space="preserve"> </w:t>
      </w:r>
      <w:r w:rsidRPr="00BD71C0">
        <w:rPr>
          <w:rFonts w:ascii="Times New Roman" w:eastAsia="Times New Roman" w:hAnsi="Times New Roman" w:cs="Times New Roman"/>
        </w:rPr>
        <w:t>{mesiac/rok}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Po prvom otvorení použiť do: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>3 mesiacov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Po otvorení použiť do: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Po nariedení v pitnej vode použiť do: 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>24 hodín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072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11.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OSOBITNÉ PODMIENKY NA UCHOVÁVANIE</w:t>
            </w:r>
          </w:p>
        </w:tc>
      </w:tr>
    </w:tbl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Uchovávať v pôvodnom obale na ochranu pred svetlom.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12.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Odpadový materiál zlikvidovať v súlade s miestnymi požiadavkami.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13.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Len pre zvieratá. Výdaj lieku je viazaný  na veterinárny predpis.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14.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Uchovávať mimo dohľadu a dosahu detí.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15.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Huvepharma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NV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Uitbreidingstraat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80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2600 </w:t>
      </w:r>
      <w:proofErr w:type="spellStart"/>
      <w:r w:rsidRPr="00BD71C0">
        <w:rPr>
          <w:rFonts w:ascii="Times New Roman" w:eastAsia="Times New Roman" w:hAnsi="Times New Roman" w:cs="Times New Roman"/>
        </w:rPr>
        <w:t>Antwerpen</w:t>
      </w:r>
      <w:proofErr w:type="spellEnd"/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Belgicko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D71C0" w:rsidRPr="00BD71C0" w:rsidTr="00A5300A">
        <w:tc>
          <w:tcPr>
            <w:tcW w:w="925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</w:rPr>
            </w:pPr>
            <w:r w:rsidRPr="00BD71C0">
              <w:rPr>
                <w:rFonts w:ascii="Times New Roman" w:eastAsia="Times New Roman" w:hAnsi="Times New Roman" w:cs="Times New Roman"/>
                <w:b/>
              </w:rPr>
              <w:t>16.</w:t>
            </w:r>
            <w:r w:rsidRPr="00BD71C0">
              <w:rPr>
                <w:rFonts w:ascii="Times New Roman" w:eastAsia="Times New Roman" w:hAnsi="Times New Roman" w:cs="Times New Roman"/>
                <w:b/>
              </w:rPr>
              <w:tab/>
              <w:t xml:space="preserve">REGISTRAČNÉ ČÍSLO 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96/002/DC/19-S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D71C0" w:rsidRPr="00BD71C0" w:rsidTr="00A5300A">
        <w:tc>
          <w:tcPr>
            <w:tcW w:w="9070" w:type="dxa"/>
          </w:tcPr>
          <w:p w:rsidR="00BD71C0" w:rsidRPr="00BD71C0" w:rsidRDefault="00BD71C0" w:rsidP="00BD71C0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>17.</w:t>
            </w:r>
            <w:r w:rsidRPr="00BD71C0">
              <w:rPr>
                <w:rFonts w:ascii="Times New Roman" w:eastAsia="Times New Roman" w:hAnsi="Times New Roman" w:cs="Times New Roman"/>
                <w:b/>
                <w:bCs/>
              </w:rPr>
              <w:tab/>
              <w:t>ČÍSLO VÝROBNEJ ŠARŽE</w:t>
            </w:r>
          </w:p>
        </w:tc>
      </w:tr>
    </w:tbl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Šarža: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</w:rPr>
        <w:br w:type="page"/>
      </w:r>
      <w:r w:rsidRPr="00BD71C0">
        <w:rPr>
          <w:rFonts w:ascii="Times New Roman" w:eastAsia="Times New Roman" w:hAnsi="Times New Roman" w:cs="Times New Roman"/>
          <w:b/>
        </w:rPr>
        <w:lastRenderedPageBreak/>
        <w:t>PÍSOMNÁ INFORMÁCIA PRE POUŽÍVATEĽOV</w:t>
      </w:r>
    </w:p>
    <w:p w:rsidR="00BD71C0" w:rsidRPr="00BD71C0" w:rsidRDefault="00BD71C0" w:rsidP="00BD71C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D71C0">
        <w:rPr>
          <w:rFonts w:ascii="Times New Roman" w:eastAsia="Times New Roman" w:hAnsi="Times New Roman" w:cs="Times New Roman"/>
          <w:b/>
          <w:bCs/>
          <w:color w:val="000000"/>
        </w:rPr>
        <w:t>VETMULIN 125 mg/ml roztok na podanie v pitnej vode pre ošípané a kurčatá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1.</w:t>
      </w:r>
      <w:r w:rsidRPr="00BD71C0">
        <w:rPr>
          <w:rFonts w:ascii="Times New Roman" w:eastAsia="Times New Roman" w:hAnsi="Times New Roman" w:cs="Times New Roman"/>
          <w:b/>
        </w:rPr>
        <w:tab/>
        <w:t>NÁZOV A ADRESA DRŽITEĽA ROZHODNUTIA O REGISTRÁCII A DRŽITEĽA POVOLENIA NA VÝROBU ZODPOVEDNÉHO ZA UVOĽNENIE ŠARŽE, AK NIE SÚ IDENTICKÍ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Calibri" w:hAnsi="Times New Roman" w:cs="Times New Roman"/>
          <w:color w:val="221E1F"/>
        </w:rPr>
      </w:pPr>
      <w:r w:rsidRPr="00BD71C0">
        <w:rPr>
          <w:rFonts w:ascii="Times New Roman" w:eastAsia="Calibri" w:hAnsi="Times New Roman" w:cs="Times New Roman"/>
          <w:color w:val="221E1F"/>
          <w:u w:val="single"/>
        </w:rPr>
        <w:t>Držiteľ rozhodnutia o registrácii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Calibri" w:hAnsi="Times New Roman" w:cs="Times New Roman"/>
          <w:color w:val="221E1F"/>
        </w:rPr>
      </w:pPr>
      <w:proofErr w:type="spellStart"/>
      <w:r w:rsidRPr="00BD71C0">
        <w:rPr>
          <w:rFonts w:ascii="Times New Roman" w:eastAsia="Calibri" w:hAnsi="Times New Roman" w:cs="Times New Roman"/>
          <w:color w:val="221E1F"/>
        </w:rPr>
        <w:t>Huvepharma</w:t>
      </w:r>
      <w:proofErr w:type="spellEnd"/>
      <w:r w:rsidRPr="00BD71C0">
        <w:rPr>
          <w:rFonts w:ascii="Times New Roman" w:eastAsia="Calibri" w:hAnsi="Times New Roman" w:cs="Times New Roman"/>
          <w:color w:val="221E1F"/>
        </w:rPr>
        <w:t xml:space="preserve"> NV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Calibri" w:hAnsi="Times New Roman" w:cs="Times New Roman"/>
          <w:color w:val="221E1F"/>
        </w:rPr>
      </w:pPr>
      <w:proofErr w:type="spellStart"/>
      <w:r w:rsidRPr="00BD71C0">
        <w:rPr>
          <w:rFonts w:ascii="Times New Roman" w:eastAsia="Calibri" w:hAnsi="Times New Roman" w:cs="Times New Roman"/>
          <w:color w:val="221E1F"/>
        </w:rPr>
        <w:t>Uitbreidingstraat</w:t>
      </w:r>
      <w:proofErr w:type="spellEnd"/>
      <w:r w:rsidRPr="00BD71C0">
        <w:rPr>
          <w:rFonts w:ascii="Times New Roman" w:eastAsia="Calibri" w:hAnsi="Times New Roman" w:cs="Times New Roman"/>
          <w:color w:val="221E1F"/>
        </w:rPr>
        <w:t xml:space="preserve"> 80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Calibri" w:hAnsi="Times New Roman" w:cs="Times New Roman"/>
          <w:color w:val="221E1F"/>
        </w:rPr>
      </w:pPr>
      <w:r w:rsidRPr="00BD71C0">
        <w:rPr>
          <w:rFonts w:ascii="Times New Roman" w:eastAsia="Calibri" w:hAnsi="Times New Roman" w:cs="Times New Roman"/>
          <w:color w:val="221E1F"/>
        </w:rPr>
        <w:t xml:space="preserve">2600 </w:t>
      </w:r>
      <w:proofErr w:type="spellStart"/>
      <w:r w:rsidRPr="00BD71C0">
        <w:rPr>
          <w:rFonts w:ascii="Times New Roman" w:eastAsia="Calibri" w:hAnsi="Times New Roman" w:cs="Times New Roman"/>
          <w:color w:val="221E1F"/>
        </w:rPr>
        <w:t>Antwerpen</w:t>
      </w:r>
      <w:proofErr w:type="spellEnd"/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Calibri" w:hAnsi="Times New Roman" w:cs="Times New Roman"/>
          <w:color w:val="221E1F"/>
        </w:rPr>
      </w:pPr>
      <w:r w:rsidRPr="00BD71C0">
        <w:rPr>
          <w:rFonts w:ascii="Times New Roman" w:eastAsia="Calibri" w:hAnsi="Times New Roman" w:cs="Times New Roman"/>
          <w:color w:val="221E1F"/>
        </w:rPr>
        <w:t>Belgicko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Calibri" w:hAnsi="Times New Roman" w:cs="Times New Roman"/>
          <w:color w:val="221E1F"/>
          <w:u w:val="single"/>
        </w:rPr>
      </w:pP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Calibri" w:hAnsi="Times New Roman" w:cs="Times New Roman"/>
          <w:color w:val="221E1F"/>
        </w:rPr>
      </w:pPr>
      <w:r w:rsidRPr="00BD71C0">
        <w:rPr>
          <w:rFonts w:ascii="Times New Roman" w:eastAsia="Calibri" w:hAnsi="Times New Roman" w:cs="Times New Roman"/>
          <w:color w:val="221E1F"/>
          <w:u w:val="single"/>
        </w:rPr>
        <w:t>Výrobca zodpovedný za uvoľnenie šarže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Calibri" w:hAnsi="Times New Roman" w:cs="Times New Roman"/>
          <w:color w:val="221E1F"/>
        </w:rPr>
      </w:pPr>
      <w:proofErr w:type="spellStart"/>
      <w:r w:rsidRPr="00BD71C0">
        <w:rPr>
          <w:rFonts w:ascii="Times New Roman" w:eastAsia="Calibri" w:hAnsi="Times New Roman" w:cs="Times New Roman"/>
          <w:color w:val="221E1F"/>
        </w:rPr>
        <w:t>Biovet</w:t>
      </w:r>
      <w:proofErr w:type="spellEnd"/>
      <w:r w:rsidRPr="00BD71C0">
        <w:rPr>
          <w:rFonts w:ascii="Times New Roman" w:eastAsia="Calibri" w:hAnsi="Times New Roman" w:cs="Times New Roman"/>
          <w:color w:val="221E1F"/>
        </w:rPr>
        <w:t xml:space="preserve"> JSC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Calibri" w:hAnsi="Times New Roman" w:cs="Times New Roman"/>
          <w:color w:val="221E1F"/>
        </w:rPr>
      </w:pPr>
      <w:r w:rsidRPr="00BD71C0">
        <w:rPr>
          <w:rFonts w:ascii="Times New Roman" w:eastAsia="Calibri" w:hAnsi="Times New Roman" w:cs="Times New Roman"/>
          <w:color w:val="221E1F"/>
        </w:rPr>
        <w:t xml:space="preserve">39 </w:t>
      </w:r>
      <w:proofErr w:type="spellStart"/>
      <w:r w:rsidRPr="00BD71C0">
        <w:rPr>
          <w:rFonts w:ascii="Times New Roman" w:eastAsia="Calibri" w:hAnsi="Times New Roman" w:cs="Times New Roman"/>
          <w:color w:val="221E1F"/>
        </w:rPr>
        <w:t>Petar</w:t>
      </w:r>
      <w:proofErr w:type="spellEnd"/>
      <w:r w:rsidRPr="00BD71C0">
        <w:rPr>
          <w:rFonts w:ascii="Times New Roman" w:eastAsia="Calibri" w:hAnsi="Times New Roman" w:cs="Times New Roman"/>
          <w:color w:val="221E1F"/>
        </w:rPr>
        <w:t xml:space="preserve"> Rakov Str.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color w:val="221E1F"/>
        </w:rPr>
      </w:pPr>
      <w:r w:rsidRPr="00BD71C0">
        <w:rPr>
          <w:rFonts w:ascii="Times New Roman" w:eastAsia="Times New Roman" w:hAnsi="Times New Roman" w:cs="Times New Roman"/>
          <w:color w:val="221E1F"/>
        </w:rPr>
        <w:t xml:space="preserve">4550 </w:t>
      </w:r>
      <w:proofErr w:type="spellStart"/>
      <w:r w:rsidRPr="00BD71C0">
        <w:rPr>
          <w:rFonts w:ascii="Times New Roman" w:eastAsia="Times New Roman" w:hAnsi="Times New Roman" w:cs="Times New Roman"/>
          <w:color w:val="221E1F"/>
        </w:rPr>
        <w:t>Peshtera</w:t>
      </w:r>
      <w:proofErr w:type="spellEnd"/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color w:val="221E1F"/>
        </w:rPr>
        <w:t>Bulharsko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2.</w:t>
      </w:r>
      <w:r w:rsidRPr="00BD71C0">
        <w:rPr>
          <w:rFonts w:ascii="Times New Roman" w:eastAsia="Times New Roman" w:hAnsi="Times New Roman" w:cs="Times New Roman"/>
          <w:b/>
        </w:rPr>
        <w:tab/>
        <w:t>NÁZOV VETERINÁRNEHO LIEKU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Helvetica" w:eastAsia="Times New Roman" w:hAnsi="Helvetica" w:cs="Times New Roman"/>
          <w:b/>
          <w:sz w:val="20"/>
          <w:highlight w:val="lightGray"/>
        </w:rPr>
      </w:pPr>
      <w:r w:rsidRPr="00BD71C0">
        <w:rPr>
          <w:rFonts w:ascii="Times New Roman" w:eastAsia="Times New Roman" w:hAnsi="Times New Roman" w:cs="Times New Roman"/>
          <w:bCs/>
          <w:color w:val="000000"/>
        </w:rPr>
        <w:t xml:space="preserve">VETMULIN 125 mg/ml roztok na podanie v pitnej vode pre ošípané a kurčatá </w:t>
      </w:r>
    </w:p>
    <w:p w:rsidR="00BD71C0" w:rsidRPr="00BD71C0" w:rsidRDefault="00BD71C0" w:rsidP="00BD71C0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BD71C0">
        <w:rPr>
          <w:rFonts w:ascii="Times New Roman" w:eastAsia="Times New Roman" w:hAnsi="Times New Roman" w:cs="Times New Roman"/>
          <w:bCs/>
          <w:color w:val="000000"/>
        </w:rPr>
        <w:t>Tiamulini</w:t>
      </w:r>
      <w:proofErr w:type="spellEnd"/>
      <w:r w:rsidRPr="00BD71C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bCs/>
          <w:color w:val="000000"/>
        </w:rPr>
        <w:t>hydrogenofumaras</w:t>
      </w:r>
      <w:proofErr w:type="spellEnd"/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3.</w:t>
      </w:r>
      <w:r w:rsidRPr="00BD71C0">
        <w:rPr>
          <w:rFonts w:ascii="Times New Roman" w:eastAsia="Times New Roman" w:hAnsi="Times New Roman" w:cs="Times New Roman"/>
          <w:b/>
        </w:rPr>
        <w:tab/>
        <w:t>OBSAH ÚČINNEJ LÁTKY (-OK) A INEJ LÁTKY  (-OK)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Calibri" w:hAnsi="Times New Roman" w:cs="Times New Roman"/>
        </w:rPr>
        <w:t xml:space="preserve">Roztok na podanie v pitnej vode. </w:t>
      </w:r>
      <w:r w:rsidRPr="00BD71C0">
        <w:rPr>
          <w:rFonts w:ascii="Times New Roman" w:eastAsia="Calibri" w:hAnsi="Times New Roman" w:cs="Times New Roman"/>
        </w:rPr>
        <w:br/>
        <w:t>Číry, bezfarebný až slabožltý roztok.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Calibri" w:hAnsi="Times New Roman" w:cs="Times New Roman"/>
        </w:rPr>
        <w:t>1 ml obsahuje: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Calibri" w:hAnsi="Times New Roman" w:cs="Times New Roman"/>
          <w:u w:val="single"/>
        </w:rPr>
        <w:t>Účinná látka: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Calibri" w:hAnsi="Times New Roman" w:cs="Times New Roman"/>
        </w:rPr>
        <w:t>Tiamulín</w:t>
      </w:r>
      <w:proofErr w:type="spellEnd"/>
      <w:r w:rsidRPr="00BD71C0">
        <w:rPr>
          <w:rFonts w:ascii="Times New Roman" w:eastAsia="Calibri" w:hAnsi="Times New Roman" w:cs="Times New Roman"/>
        </w:rPr>
        <w:t xml:space="preserve"> </w:t>
      </w:r>
      <w:proofErr w:type="spellStart"/>
      <w:r w:rsidRPr="00BD71C0">
        <w:rPr>
          <w:rFonts w:ascii="Times New Roman" w:eastAsia="Calibri" w:hAnsi="Times New Roman" w:cs="Times New Roman"/>
        </w:rPr>
        <w:t>hydrogénfumarát</w:t>
      </w:r>
      <w:proofErr w:type="spellEnd"/>
      <w:r w:rsidRPr="00BD71C0">
        <w:rPr>
          <w:rFonts w:ascii="Times New Roman" w:eastAsia="Calibri" w:hAnsi="Times New Roman" w:cs="Times New Roman"/>
        </w:rPr>
        <w:t xml:space="preserve"> </w:t>
      </w:r>
      <w:r w:rsidRPr="00BD71C0">
        <w:rPr>
          <w:rFonts w:ascii="Times New Roman" w:eastAsia="Calibri" w:hAnsi="Times New Roman" w:cs="Times New Roman"/>
        </w:rPr>
        <w:tab/>
      </w:r>
      <w:r w:rsidRPr="00BD71C0">
        <w:rPr>
          <w:rFonts w:ascii="Times New Roman" w:eastAsia="Calibri" w:hAnsi="Times New Roman" w:cs="Times New Roman"/>
        </w:rPr>
        <w:tab/>
      </w:r>
      <w:r w:rsidRPr="00BD71C0">
        <w:rPr>
          <w:rFonts w:ascii="Times New Roman" w:eastAsia="Calibri" w:hAnsi="Times New Roman" w:cs="Times New Roman"/>
        </w:rPr>
        <w:tab/>
        <w:t xml:space="preserve">125 mg </w:t>
      </w:r>
      <w:r w:rsidRPr="00BD71C0">
        <w:rPr>
          <w:rFonts w:ascii="Times New Roman" w:eastAsia="Calibri" w:hAnsi="Times New Roman" w:cs="Times New Roman"/>
        </w:rPr>
        <w:br/>
        <w:t xml:space="preserve">(zodpovedá </w:t>
      </w:r>
      <w:proofErr w:type="spellStart"/>
      <w:r w:rsidRPr="00BD71C0">
        <w:rPr>
          <w:rFonts w:ascii="Times New Roman" w:eastAsia="Calibri" w:hAnsi="Times New Roman" w:cs="Times New Roman"/>
        </w:rPr>
        <w:t>tiamulinum</w:t>
      </w:r>
      <w:proofErr w:type="spellEnd"/>
      <w:r w:rsidRPr="00BD71C0">
        <w:rPr>
          <w:rFonts w:ascii="Times New Roman" w:eastAsia="Calibri" w:hAnsi="Times New Roman" w:cs="Times New Roman"/>
        </w:rPr>
        <w:tab/>
      </w:r>
      <w:r w:rsidRPr="00BD71C0">
        <w:rPr>
          <w:rFonts w:ascii="Times New Roman" w:eastAsia="Calibri" w:hAnsi="Times New Roman" w:cs="Times New Roman"/>
        </w:rPr>
        <w:tab/>
      </w:r>
      <w:r w:rsidRPr="00BD71C0">
        <w:rPr>
          <w:rFonts w:ascii="Times New Roman" w:eastAsia="Calibri" w:hAnsi="Times New Roman" w:cs="Times New Roman"/>
        </w:rPr>
        <w:tab/>
      </w:r>
      <w:r w:rsidRPr="00BD71C0">
        <w:rPr>
          <w:rFonts w:ascii="Times New Roman" w:eastAsia="Calibri" w:hAnsi="Times New Roman" w:cs="Times New Roman"/>
        </w:rPr>
        <w:tab/>
        <w:t>101,2 mg)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BD71C0">
        <w:rPr>
          <w:rFonts w:ascii="Times New Roman" w:eastAsia="Times New Roman" w:hAnsi="Times New Roman" w:cs="Times New Roman"/>
          <w:iCs/>
          <w:u w:val="single"/>
        </w:rPr>
        <w:t>Pomocné látky: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Metylparabén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(E218) 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 xml:space="preserve">0,90 mg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Propylparabén</w:t>
      </w:r>
      <w:proofErr w:type="spellEnd"/>
      <w:r w:rsidRPr="00BD71C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BD71C0">
        <w:rPr>
          <w:rFonts w:ascii="Times New Roman" w:eastAsia="Times New Roman" w:hAnsi="Times New Roman" w:cs="Times New Roman"/>
        </w:rPr>
        <w:t xml:space="preserve">   </w:t>
      </w:r>
      <w:r w:rsidRPr="00BD71C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>0,10 mg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4.</w:t>
      </w:r>
      <w:r w:rsidRPr="00BD71C0">
        <w:rPr>
          <w:rFonts w:ascii="Times New Roman" w:eastAsia="Times New Roman" w:hAnsi="Times New Roman" w:cs="Times New Roman"/>
          <w:b/>
        </w:rPr>
        <w:tab/>
        <w:t>INDIKÁCIA (-E)</w:t>
      </w:r>
    </w:p>
    <w:p w:rsid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color w:val="221F1F"/>
        </w:rPr>
      </w:pPr>
    </w:p>
    <w:p w:rsid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color w:val="221F1F"/>
        </w:rPr>
      </w:pPr>
      <w:r w:rsidRPr="00BD71C0">
        <w:rPr>
          <w:rFonts w:ascii="Times New Roman" w:eastAsia="Times New Roman" w:hAnsi="Times New Roman" w:cs="Times New Roman"/>
          <w:color w:val="221F1F"/>
        </w:rPr>
        <w:t>Pred použitím lieku musí byť potvrdená prítomn</w:t>
      </w:r>
      <w:r>
        <w:rPr>
          <w:rFonts w:ascii="Times New Roman" w:eastAsia="Times New Roman" w:hAnsi="Times New Roman" w:cs="Times New Roman"/>
          <w:color w:val="221F1F"/>
        </w:rPr>
        <w:t>osť ochorenia v stáde.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color w:val="221F1F"/>
        </w:rPr>
      </w:pPr>
    </w:p>
    <w:p w:rsid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/>
          <w:color w:val="231F20"/>
          <w:u w:val="single"/>
        </w:rPr>
      </w:pPr>
      <w:r w:rsidRPr="00BD71C0">
        <w:rPr>
          <w:rFonts w:ascii="Times New Roman" w:eastAsia="Times New Roman" w:hAnsi="Times New Roman" w:cs="Times New Roman"/>
          <w:i/>
          <w:color w:val="231F20"/>
          <w:u w:val="single"/>
        </w:rPr>
        <w:t>Ošípané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/>
          <w:color w:val="231F20"/>
          <w:u w:val="single"/>
        </w:rPr>
      </w:pPr>
      <w:r w:rsidRPr="00BD71C0">
        <w:rPr>
          <w:rFonts w:ascii="Times New Roman" w:eastAsia="Times New Roman" w:hAnsi="Times New Roman" w:cs="Times New Roman"/>
          <w:color w:val="221F1F"/>
        </w:rPr>
        <w:t xml:space="preserve">Na liečbu dyzentérie ošípaných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  <w:color w:val="221F1F"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  <w:color w:val="221F1F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color w:val="221F1F"/>
        </w:rPr>
        <w:t>hyodysenteriae</w:t>
      </w:r>
      <w:proofErr w:type="spellEnd"/>
      <w:r w:rsidRPr="00BD71C0">
        <w:rPr>
          <w:rFonts w:ascii="Times New Roman" w:eastAsia="Times New Roman" w:hAnsi="Times New Roman" w:cs="Times New Roman"/>
          <w:i/>
          <w:color w:val="221F1F"/>
        </w:rPr>
        <w:t xml:space="preserve"> </w:t>
      </w:r>
      <w:r w:rsidRPr="00BD71C0">
        <w:rPr>
          <w:rFonts w:ascii="Times New Roman" w:eastAsia="Times New Roman" w:hAnsi="Times New Roman" w:cs="Times New Roman"/>
          <w:color w:val="221F1F"/>
        </w:rPr>
        <w:t xml:space="preserve">citlivými na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>.</w:t>
      </w:r>
      <w:r w:rsidRPr="00BD71C0">
        <w:rPr>
          <w:rFonts w:ascii="Times New Roman" w:eastAsia="Times New Roman" w:hAnsi="Times New Roman" w:cs="Times New Roman"/>
          <w:color w:val="221F1F"/>
        </w:rPr>
        <w:br/>
      </w:r>
      <w:r w:rsidRPr="00BD71C0">
        <w:rPr>
          <w:rFonts w:ascii="Times New Roman" w:eastAsia="Times New Roman" w:hAnsi="Times New Roman" w:cs="Times New Roman"/>
        </w:rPr>
        <w:t xml:space="preserve">Na liečbu </w:t>
      </w:r>
      <w:proofErr w:type="spellStart"/>
      <w:r w:rsidRPr="00BD71C0">
        <w:rPr>
          <w:rFonts w:ascii="Times New Roman" w:eastAsia="Times New Roman" w:hAnsi="Times New Roman" w:cs="Times New Roman"/>
        </w:rPr>
        <w:t>spirochetózy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hrubého čreva ošípaných (</w:t>
      </w:r>
      <w:proofErr w:type="spellStart"/>
      <w:r w:rsidRPr="00BD71C0">
        <w:rPr>
          <w:rFonts w:ascii="Times New Roman" w:eastAsia="Times New Roman" w:hAnsi="Times New Roman" w:cs="Times New Roman"/>
        </w:rPr>
        <w:t>kolitídy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hnačky)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  <w:color w:val="221F1F"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  <w:iCs/>
          <w:color w:val="221F1F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  <w:color w:val="221F1F"/>
        </w:rPr>
        <w:t>pilosicoli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citlivými na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>.</w:t>
      </w:r>
      <w:r w:rsidRPr="00BD71C0">
        <w:rPr>
          <w:rFonts w:ascii="Times New Roman" w:eastAsia="Times New Roman" w:hAnsi="Times New Roman" w:cs="Times New Roman"/>
          <w:i/>
          <w:color w:val="221F1F"/>
        </w:rPr>
        <w:br/>
      </w:r>
      <w:r w:rsidRPr="00BD71C0">
        <w:rPr>
          <w:rFonts w:ascii="Times New Roman" w:eastAsia="Times New Roman" w:hAnsi="Times New Roman" w:cs="Times New Roman"/>
        </w:rPr>
        <w:t xml:space="preserve">Na liečbu </w:t>
      </w:r>
      <w:proofErr w:type="spellStart"/>
      <w:r w:rsidRPr="00BD71C0">
        <w:rPr>
          <w:rFonts w:ascii="Times New Roman" w:eastAsia="Times New Roman" w:hAnsi="Times New Roman" w:cs="Times New Roman"/>
        </w:rPr>
        <w:t>proliferatívnej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enteropatie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u ošípaných (</w:t>
      </w:r>
      <w:proofErr w:type="spellStart"/>
      <w:r w:rsidRPr="00BD71C0">
        <w:rPr>
          <w:rFonts w:ascii="Times New Roman" w:eastAsia="Times New Roman" w:hAnsi="Times New Roman" w:cs="Times New Roman"/>
        </w:rPr>
        <w:t>ileitída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)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Lawsonia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intracellularis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r w:rsidRPr="00BD71C0">
        <w:rPr>
          <w:rFonts w:ascii="Times New Roman" w:eastAsia="Times New Roman" w:hAnsi="Times New Roman" w:cs="Times New Roman"/>
          <w:color w:val="221F1F"/>
        </w:rPr>
        <w:t xml:space="preserve">citlivými na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>.</w:t>
      </w:r>
      <w:r w:rsidRPr="00BD71C0">
        <w:rPr>
          <w:rFonts w:ascii="Times New Roman" w:eastAsia="Times New Roman" w:hAnsi="Times New Roman" w:cs="Times New Roman"/>
          <w:color w:val="221F1F"/>
        </w:rPr>
        <w:br/>
        <w:t xml:space="preserve">Na liečbu a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metafylaxiu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enzootickej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pneumónie ošípaných vyvolanej zárodkami</w:t>
      </w:r>
      <w:r w:rsidRPr="00BD71C0">
        <w:rPr>
          <w:rFonts w:ascii="Times New Roman" w:eastAsia="Times New Roman" w:hAnsi="Times New Roman" w:cs="Times New Roman"/>
          <w:i/>
          <w:color w:val="221F1F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color w:val="221F1F"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  <w:color w:val="221F1F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color w:val="221F1F"/>
        </w:rPr>
        <w:t>hyopneumoniae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citlivými na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>, vrátane infekcií komplikovaných zárodkami</w:t>
      </w:r>
      <w:r w:rsidRPr="00BD71C0">
        <w:rPr>
          <w:rFonts w:ascii="Times New Roman" w:eastAsia="Times New Roman" w:hAnsi="Times New Roman" w:cs="Times New Roman"/>
          <w:i/>
          <w:color w:val="221F1F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color w:val="221F1F"/>
        </w:rPr>
        <w:t>Pasteurella</w:t>
      </w:r>
      <w:proofErr w:type="spellEnd"/>
      <w:r w:rsidRPr="00BD71C0">
        <w:rPr>
          <w:rFonts w:ascii="Times New Roman" w:eastAsia="Times New Roman" w:hAnsi="Times New Roman" w:cs="Times New Roman"/>
          <w:i/>
          <w:color w:val="221F1F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color w:val="221F1F"/>
        </w:rPr>
        <w:t>multocida</w:t>
      </w:r>
      <w:proofErr w:type="spellEnd"/>
      <w:r w:rsidRPr="00BD71C0">
        <w:rPr>
          <w:rFonts w:ascii="Times New Roman" w:eastAsia="Times New Roman" w:hAnsi="Times New Roman" w:cs="Times New Roman"/>
          <w:i/>
          <w:color w:val="221F1F"/>
        </w:rPr>
        <w:t xml:space="preserve"> </w:t>
      </w:r>
      <w:r w:rsidRPr="00BD71C0">
        <w:rPr>
          <w:rFonts w:ascii="Times New Roman" w:eastAsia="Times New Roman" w:hAnsi="Times New Roman" w:cs="Times New Roman"/>
          <w:color w:val="221F1F"/>
        </w:rPr>
        <w:t xml:space="preserve">citlivými na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>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color w:val="221F1F"/>
        </w:rPr>
      </w:pPr>
    </w:p>
    <w:p w:rsidR="003E1DEF" w:rsidRDefault="00BD71C0" w:rsidP="003E1DEF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  <w:r w:rsidRPr="00BD71C0">
        <w:rPr>
          <w:rFonts w:ascii="Times New Roman" w:eastAsia="Times New Roman" w:hAnsi="Times New Roman" w:cs="Times New Roman"/>
          <w:i/>
          <w:u w:val="single"/>
        </w:rPr>
        <w:lastRenderedPageBreak/>
        <w:t>Kurčatá (nosnice)</w:t>
      </w:r>
    </w:p>
    <w:p w:rsidR="00BD71C0" w:rsidRPr="003E1DEF" w:rsidRDefault="00BD71C0" w:rsidP="003E1DEF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  <w:r w:rsidRPr="00BD71C0">
        <w:rPr>
          <w:rFonts w:ascii="Times New Roman" w:eastAsia="Times New Roman" w:hAnsi="Times New Roman" w:cs="Times New Roman"/>
          <w:color w:val="221F1F"/>
        </w:rPr>
        <w:t xml:space="preserve">Na liečbu a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metafylaxiu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chronickej respiračnej choroby vyvolanej zárodkami</w:t>
      </w:r>
      <w:r w:rsidRPr="00BD71C0">
        <w:rPr>
          <w:rFonts w:ascii="Times New Roman" w:eastAsia="Times New Roman" w:hAnsi="Times New Roman" w:cs="Times New Roman"/>
          <w:i/>
          <w:color w:val="221F1F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color w:val="221F1F"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  <w:color w:val="221F1F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color w:val="221F1F"/>
        </w:rPr>
        <w:t>gallisepticum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citlivými na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aerosakulitídy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a infekčnej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synovitídy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  <w:color w:val="221F1F"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  <w:iCs/>
          <w:color w:val="221F1F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iCs/>
          <w:color w:val="221F1F"/>
        </w:rPr>
        <w:t>synoviae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citlivými na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.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5.</w:t>
      </w:r>
      <w:r w:rsidRPr="00BD71C0">
        <w:rPr>
          <w:rFonts w:ascii="Times New Roman" w:eastAsia="Times New Roman" w:hAnsi="Times New Roman" w:cs="Times New Roman"/>
          <w:b/>
        </w:rPr>
        <w:tab/>
        <w:t>KONTRAINDIKÁCIE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before="11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D71C0">
        <w:rPr>
          <w:rFonts w:ascii="Times New Roman" w:eastAsia="Times New Roman" w:hAnsi="Times New Roman" w:cs="Times New Roman"/>
        </w:rPr>
        <w:t xml:space="preserve">Nepoužívať u zvierat, ktoré by mohli dostávať lieky obsahujúce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počas liečby alebo 7 dní pred a 7 dní po liečbe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>. Môže dôjsť k vážnemu potlačeniu rastu alebo úhynu.</w:t>
      </w:r>
    </w:p>
    <w:p w:rsidR="00BD71C0" w:rsidRPr="00BD71C0" w:rsidRDefault="00BD71C0" w:rsidP="00BD71C0">
      <w:pPr>
        <w:spacing w:after="0" w:line="240" w:lineRule="auto"/>
        <w:ind w:right="250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199" w:lineRule="auto"/>
        <w:ind w:right="374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Nepoužívať v prípade precitlivenosti na účinnú látku alebo na niektorú z pomocných látok.</w:t>
      </w:r>
    </w:p>
    <w:p w:rsidR="00BD71C0" w:rsidRPr="00BD71C0" w:rsidRDefault="00BD71C0" w:rsidP="00BD71C0">
      <w:pPr>
        <w:spacing w:after="0" w:line="199" w:lineRule="auto"/>
        <w:ind w:right="374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V časti 12 nájdete informácie týkajúce sa interakcie medzi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ionofórmi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after="0" w:line="199" w:lineRule="auto"/>
        <w:ind w:right="374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6.</w:t>
      </w:r>
      <w:r w:rsidRPr="00BD71C0">
        <w:rPr>
          <w:rFonts w:ascii="Times New Roman" w:eastAsia="Times New Roman" w:hAnsi="Times New Roman" w:cs="Times New Roman"/>
          <w:b/>
        </w:rPr>
        <w:tab/>
        <w:t>NEŽIADUCE ÚČINKY</w:t>
      </w:r>
    </w:p>
    <w:p w:rsidR="00BD71C0" w:rsidRPr="00BD71C0" w:rsidRDefault="00BD71C0" w:rsidP="00BD71C0">
      <w:pPr>
        <w:spacing w:after="0" w:line="199" w:lineRule="auto"/>
        <w:jc w:val="both"/>
        <w:rPr>
          <w:rFonts w:ascii="Times New Roman" w:eastAsia="Times New Roman" w:hAnsi="Times New Roman" w:cs="Times New Roman"/>
          <w:color w:val="231F20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color w:val="231F20"/>
        </w:rPr>
        <w:t xml:space="preserve">Ošípané: Vo veľmi zriedkavých prípadoch sa môže u liečených ošípaných vyskytnúť </w:t>
      </w:r>
      <w:proofErr w:type="spellStart"/>
      <w:r w:rsidRPr="00BD71C0">
        <w:rPr>
          <w:rFonts w:ascii="Times New Roman" w:eastAsia="Times New Roman" w:hAnsi="Times New Roman" w:cs="Times New Roman"/>
          <w:color w:val="231F20"/>
        </w:rPr>
        <w:t>erytém</w:t>
      </w:r>
      <w:proofErr w:type="spellEnd"/>
      <w:r w:rsidRPr="00BD71C0">
        <w:rPr>
          <w:rFonts w:ascii="Times New Roman" w:eastAsia="Times New Roman" w:hAnsi="Times New Roman" w:cs="Times New Roman"/>
          <w:color w:val="231F20"/>
        </w:rPr>
        <w:t xml:space="preserve"> alebo mierny opuch kože (reakcie na koži). </w:t>
      </w:r>
    </w:p>
    <w:p w:rsidR="00BD71C0" w:rsidRPr="00BD71C0" w:rsidRDefault="00BD71C0" w:rsidP="00BD71C0">
      <w:pPr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Kurčatá (nosnice): neznáme.</w:t>
      </w:r>
    </w:p>
    <w:p w:rsidR="00BD71C0" w:rsidRPr="00BD71C0" w:rsidRDefault="00BD71C0" w:rsidP="00BD71C0">
      <w:pPr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Calibri" w:hAnsi="Times New Roman" w:cs="Times New Roman"/>
        </w:rPr>
        <w:t xml:space="preserve">Frekvencia výskytu nežiaducich účinkov sa definuje použitím nasledujúceho pravidla: 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Calibri" w:hAnsi="Times New Roman" w:cs="Times New Roman"/>
        </w:rPr>
        <w:t xml:space="preserve">- veľmi časté (nežiaduce účinky sa prejavili u viac ako 1 z 10 liečených zvierat) 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Calibri" w:hAnsi="Times New Roman" w:cs="Times New Roman"/>
        </w:rPr>
        <w:t xml:space="preserve">- časté (u viac ako 1 ale menej ako 10 zo 100 liečených zvierat) 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Calibri" w:hAnsi="Times New Roman" w:cs="Times New Roman"/>
        </w:rPr>
        <w:t xml:space="preserve">- menej časté (u viac ako 1 ale menej ako 10 z 1 000 liečených zvierat) 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Calibri" w:hAnsi="Times New Roman" w:cs="Times New Roman"/>
        </w:rPr>
        <w:t xml:space="preserve">- zriedkavé (u viac ako 1 ale menej ako 10 z 10 000 liečených zvierat)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- veľmi zriedkavé (u menej ako 1 z 10 000 liečených zvierat, vrátane ojedinelých hlásení).</w:t>
      </w:r>
    </w:p>
    <w:p w:rsidR="00BD71C0" w:rsidRPr="00BD71C0" w:rsidRDefault="00BD71C0" w:rsidP="00BD71C0">
      <w:pPr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before="9"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7.</w:t>
      </w:r>
      <w:r w:rsidRPr="00BD71C0">
        <w:rPr>
          <w:rFonts w:ascii="Times New Roman" w:eastAsia="Times New Roman" w:hAnsi="Times New Roman" w:cs="Times New Roman"/>
          <w:b/>
        </w:rPr>
        <w:tab/>
        <w:t>CIEĽOVÝ DRUH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color w:val="231F20"/>
        </w:rPr>
        <w:t>Ošípané a kurčatá (nosnice).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8.</w:t>
      </w:r>
      <w:r w:rsidRPr="00BD71C0">
        <w:rPr>
          <w:rFonts w:ascii="Times New Roman" w:eastAsia="Times New Roman" w:hAnsi="Times New Roman" w:cs="Times New Roman"/>
          <w:b/>
        </w:rPr>
        <w:tab/>
        <w:t>DÁVKOVANIE PRE KAŽDÝ DRUH, CESTA (-Y) A SPÔSOB PODANIA LIEKU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BD71C0" w:rsidRPr="00BD71C0" w:rsidRDefault="00BD71C0" w:rsidP="00BD71C0">
      <w:pPr>
        <w:spacing w:before="8"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Podanie v pitnej vode.</w:t>
      </w:r>
    </w:p>
    <w:p w:rsidR="00BD71C0" w:rsidRPr="00BD71C0" w:rsidRDefault="00BD71C0" w:rsidP="00BD71C0">
      <w:pPr>
        <w:spacing w:before="72"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u w:val="single" w:color="000000"/>
        </w:rPr>
        <w:t>Ošípané</w:t>
      </w:r>
    </w:p>
    <w:p w:rsidR="00BD71C0" w:rsidRPr="00BD71C0" w:rsidRDefault="00BD71C0" w:rsidP="00BD71C0">
      <w:pPr>
        <w:numPr>
          <w:ilvl w:val="0"/>
          <w:numId w:val="4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eastAsia="da-DK"/>
        </w:rPr>
      </w:pPr>
      <w:r w:rsidRPr="00BD71C0">
        <w:rPr>
          <w:rFonts w:ascii="Times New Roman" w:eastAsia="Times New Roman" w:hAnsi="Times New Roman" w:cs="Times New Roman"/>
          <w:lang w:eastAsia="da-DK"/>
        </w:rPr>
        <w:t xml:space="preserve">Na liečbu dyzentérie ošípaných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  <w:lang w:eastAsia="da-DK"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lang w:eastAsia="da-DK"/>
        </w:rPr>
        <w:t>hyodysenteriae</w:t>
      </w:r>
      <w:proofErr w:type="spellEnd"/>
      <w:r w:rsidRPr="00BD71C0">
        <w:rPr>
          <w:rFonts w:ascii="Times New Roman" w:eastAsia="Times New Roman" w:hAnsi="Times New Roman" w:cs="Times New Roman"/>
          <w:i/>
          <w:lang w:eastAsia="da-DK"/>
        </w:rPr>
        <w:t>.</w:t>
      </w:r>
    </w:p>
    <w:p w:rsidR="00BD71C0" w:rsidRPr="00BD71C0" w:rsidRDefault="00BD71C0" w:rsidP="00BD71C0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1"/>
        </w:rPr>
      </w:pPr>
      <w:r w:rsidRPr="00BD71C0">
        <w:rPr>
          <w:rFonts w:ascii="Times New Roman" w:eastAsia="Times New Roman" w:hAnsi="Times New Roman" w:cs="Times New Roman"/>
        </w:rPr>
        <w:t xml:space="preserve">Dávka je 8,8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>/kg živej hmotnosti (zodpovedá 7 ml roztoku/100 kg živej hmotnosti) podávaných denne v pitnej vode ošípaným počas 3 až 5 po sebe nasledujúcich dní v závislosti od závažnosti infekcie a / alebo doby trvania ochorenia.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pacing w:val="-1"/>
        </w:rPr>
      </w:pPr>
    </w:p>
    <w:p w:rsidR="00BD71C0" w:rsidRPr="00BD71C0" w:rsidRDefault="00BD71C0" w:rsidP="00BD71C0">
      <w:pPr>
        <w:numPr>
          <w:ilvl w:val="0"/>
          <w:numId w:val="4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pacing w:val="-1"/>
          <w:lang w:eastAsia="da-DK"/>
        </w:rPr>
      </w:pPr>
      <w:r w:rsidRPr="00BD71C0">
        <w:rPr>
          <w:rFonts w:ascii="Times New Roman" w:eastAsia="Times New Roman" w:hAnsi="Times New Roman" w:cs="Times New Roman"/>
          <w:lang w:eastAsia="da-DK"/>
        </w:rPr>
        <w:t xml:space="preserve">Na liečbu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spirochetózy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 hrubého čreva ošípaných (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kolitídy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)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  <w:lang w:eastAsia="da-DK"/>
        </w:rPr>
        <w:t>Brachyspira</w:t>
      </w:r>
      <w:proofErr w:type="spellEnd"/>
      <w:r w:rsidRPr="00BD71C0">
        <w:rPr>
          <w:rFonts w:ascii="Times New Roman" w:eastAsia="Times New Roman" w:hAnsi="Times New Roman" w:cs="Times New Roman"/>
          <w:i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lang w:eastAsia="da-DK"/>
        </w:rPr>
        <w:t>pilosicoli</w:t>
      </w:r>
      <w:proofErr w:type="spellEnd"/>
      <w:r w:rsidRPr="00BD71C0">
        <w:rPr>
          <w:rFonts w:ascii="Times New Roman" w:eastAsia="Times New Roman" w:hAnsi="Times New Roman" w:cs="Times New Roman"/>
          <w:i/>
          <w:lang w:eastAsia="da-DK"/>
        </w:rPr>
        <w:t>.</w:t>
      </w:r>
      <w:r w:rsidRPr="00BD71C0">
        <w:rPr>
          <w:rFonts w:ascii="Times New Roman" w:eastAsia="Times New Roman" w:hAnsi="Times New Roman" w:cs="Times New Roman"/>
          <w:lang w:eastAsia="da-DK"/>
        </w:rPr>
        <w:t xml:space="preserve"> Dávka je 8,8 mg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>/kg živej hmotnosti (zodpovedá 7 ml roztoku/100 kg živej hmotnosti) podávaných denne v pitnej vode ošípaným počas 3 až 5 po sebe nasledujúcich dní v závislosti od závažnosti infekcie a / alebo doby trvania ochorenia.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pacing w:val="-1"/>
        </w:rPr>
      </w:pPr>
    </w:p>
    <w:p w:rsidR="00BD71C0" w:rsidRPr="00BD71C0" w:rsidRDefault="00BD71C0" w:rsidP="00BD71C0">
      <w:pPr>
        <w:numPr>
          <w:ilvl w:val="0"/>
          <w:numId w:val="4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eastAsia="da-DK"/>
        </w:rPr>
      </w:pPr>
      <w:r w:rsidRPr="00BD71C0">
        <w:rPr>
          <w:rFonts w:ascii="Times New Roman" w:eastAsia="Times New Roman" w:hAnsi="Times New Roman" w:cs="Times New Roman"/>
          <w:lang w:eastAsia="da-DK"/>
        </w:rPr>
        <w:t xml:space="preserve">Na liečbu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proliferatívnej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enteropatie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 u ošípaných (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ileitída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) vyvolanej zárodkami </w:t>
      </w:r>
      <w:proofErr w:type="spellStart"/>
      <w:r w:rsidRPr="00BD71C0">
        <w:rPr>
          <w:rFonts w:ascii="Times New Roman" w:eastAsia="Times New Roman" w:hAnsi="Times New Roman" w:cs="Times New Roman"/>
          <w:i/>
          <w:lang w:eastAsia="da-DK"/>
        </w:rPr>
        <w:t>Lawsonia</w:t>
      </w:r>
      <w:proofErr w:type="spellEnd"/>
      <w:r w:rsidRPr="00BD71C0">
        <w:rPr>
          <w:rFonts w:ascii="Times New Roman" w:eastAsia="Times New Roman" w:hAnsi="Times New Roman" w:cs="Times New Roman"/>
          <w:i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lang w:eastAsia="da-DK"/>
        </w:rPr>
        <w:t>intracellularis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. Dávka je 8,8 mg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>/kg živej hmotnosti (zodpovedá 7 ml roztoku/100 kg živej hmotnosti) podávaná denne v pitnej vode ošípaným počas 5 po sebe nasledujúcich dní.</w:t>
      </w:r>
    </w:p>
    <w:p w:rsidR="00BD71C0" w:rsidRPr="00BD71C0" w:rsidRDefault="00BD71C0" w:rsidP="00BD71C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numPr>
          <w:ilvl w:val="0"/>
          <w:numId w:val="4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eastAsia="da-DK"/>
        </w:rPr>
      </w:pPr>
      <w:r w:rsidRPr="00BD71C0">
        <w:rPr>
          <w:rFonts w:ascii="Times New Roman" w:eastAsia="Times New Roman" w:hAnsi="Times New Roman" w:cs="Times New Roman"/>
          <w:lang w:eastAsia="da-DK"/>
        </w:rPr>
        <w:lastRenderedPageBreak/>
        <w:t xml:space="preserve">Na liečbu a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metafylaxiu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enzootickej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 pneumónie ošípaných vyvolanej zárodkami</w:t>
      </w:r>
      <w:r w:rsidRPr="00BD71C0">
        <w:rPr>
          <w:rFonts w:ascii="Times New Roman" w:eastAsia="Times New Roman" w:hAnsi="Times New Roman" w:cs="Times New Roman"/>
          <w:i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lang w:eastAsia="da-DK"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lang w:eastAsia="da-DK"/>
        </w:rPr>
        <w:t>hyopneumoniae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 vrátane infekcií komplikovaných zárodkami</w:t>
      </w:r>
      <w:r w:rsidRPr="00BD71C0">
        <w:rPr>
          <w:rFonts w:ascii="Times New Roman" w:eastAsia="Times New Roman" w:hAnsi="Times New Roman" w:cs="Times New Roman"/>
          <w:i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lang w:eastAsia="da-DK"/>
        </w:rPr>
        <w:t>Pasteurella</w:t>
      </w:r>
      <w:proofErr w:type="spellEnd"/>
      <w:r w:rsidRPr="00BD71C0">
        <w:rPr>
          <w:rFonts w:ascii="Times New Roman" w:eastAsia="Times New Roman" w:hAnsi="Times New Roman" w:cs="Times New Roman"/>
          <w:i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  <w:lang w:eastAsia="da-DK"/>
        </w:rPr>
        <w:t>multocida</w:t>
      </w:r>
      <w:proofErr w:type="spellEnd"/>
      <w:r w:rsidRPr="00BD71C0">
        <w:rPr>
          <w:rFonts w:ascii="Times New Roman" w:eastAsia="Times New Roman" w:hAnsi="Times New Roman" w:cs="Times New Roman"/>
          <w:i/>
          <w:lang w:eastAsia="da-DK"/>
        </w:rPr>
        <w:t xml:space="preserve"> </w:t>
      </w:r>
      <w:r w:rsidRPr="00BD71C0">
        <w:rPr>
          <w:rFonts w:ascii="Times New Roman" w:eastAsia="Times New Roman" w:hAnsi="Times New Roman" w:cs="Times New Roman"/>
          <w:lang w:eastAsia="da-DK"/>
        </w:rPr>
        <w:t xml:space="preserve">citlivými na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>.</w:t>
      </w:r>
      <w:r w:rsidRPr="00BD71C0">
        <w:rPr>
          <w:rFonts w:ascii="Times New Roman" w:eastAsia="Times New Roman" w:hAnsi="Times New Roman" w:cs="Times New Roman"/>
          <w:i/>
          <w:lang w:eastAsia="da-DK"/>
        </w:rPr>
        <w:t xml:space="preserve"> </w:t>
      </w:r>
      <w:r w:rsidRPr="00BD71C0">
        <w:rPr>
          <w:rFonts w:ascii="Times New Roman" w:eastAsia="Times New Roman" w:hAnsi="Times New Roman" w:cs="Times New Roman"/>
          <w:lang w:eastAsia="da-DK"/>
        </w:rPr>
        <w:t xml:space="preserve">Dávka je 20 mg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lang w:eastAsia="da-DK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  <w:lang w:eastAsia="da-DK"/>
        </w:rPr>
        <w:t>/kg živej hmotnosti (zodpovedá 16 ml roztoku/100 kg živej hmotnosti) podávaných denne v pitnej vode počas 5 po sebe nasledujúcich dní.</w:t>
      </w:r>
    </w:p>
    <w:p w:rsidR="00BD71C0" w:rsidRPr="00BD71C0" w:rsidRDefault="00BD71C0" w:rsidP="00BD71C0">
      <w:pPr>
        <w:spacing w:after="0" w:line="252" w:lineRule="exact"/>
        <w:rPr>
          <w:rFonts w:ascii="Times New Roman" w:eastAsia="Times New Roman" w:hAnsi="Times New Roman" w:cs="Times New Roman"/>
          <w:spacing w:val="-1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  <w:u w:val="single" w:color="000000"/>
        </w:rPr>
        <w:t>Kurčatá (nosnice)</w:t>
      </w:r>
    </w:p>
    <w:p w:rsidR="00BD71C0" w:rsidRPr="00BD71C0" w:rsidRDefault="00BD71C0" w:rsidP="00BD71C0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Na liečbu a </w:t>
      </w:r>
      <w:proofErr w:type="spellStart"/>
      <w:r w:rsidRPr="00BD71C0">
        <w:rPr>
          <w:rFonts w:ascii="Times New Roman" w:eastAsia="Times New Roman" w:hAnsi="Times New Roman" w:cs="Times New Roman"/>
        </w:rPr>
        <w:t>metafylaxiu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chronickej respiračnej choroby vyvolanej zárodkami</w:t>
      </w:r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gallisepticum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r w:rsidRPr="00BD71C0">
        <w:rPr>
          <w:rFonts w:ascii="Times New Roman" w:eastAsia="Times New Roman" w:hAnsi="Times New Roman" w:cs="Times New Roman"/>
        </w:rPr>
        <w:t xml:space="preserve">a </w:t>
      </w:r>
      <w:proofErr w:type="spellStart"/>
      <w:r w:rsidRPr="00BD71C0">
        <w:rPr>
          <w:rFonts w:ascii="Times New Roman" w:eastAsia="Times New Roman" w:hAnsi="Times New Roman" w:cs="Times New Roman"/>
        </w:rPr>
        <w:t>aerosakulitídy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infekčnej </w:t>
      </w:r>
      <w:proofErr w:type="spellStart"/>
      <w:r w:rsidRPr="00BD71C0">
        <w:rPr>
          <w:rFonts w:ascii="Times New Roman" w:eastAsia="Times New Roman" w:hAnsi="Times New Roman" w:cs="Times New Roman"/>
        </w:rPr>
        <w:t>synovitídy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vyvolaných zárodkami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Mycoplasma</w:t>
      </w:r>
      <w:proofErr w:type="spellEnd"/>
      <w:r w:rsidRPr="00BD71C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  <w:i/>
        </w:rPr>
        <w:t>synoviae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Dávka je 25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>/kg živej hmotnosti (zodpovedá 20 ml roztoku/100 kg živej hmotnosti) podávaných denne v pitnej vode počas 3 až 5 po sebe nasledujúcich dní.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9.</w:t>
      </w:r>
      <w:r w:rsidRPr="00BD71C0">
        <w:rPr>
          <w:rFonts w:ascii="Times New Roman" w:eastAsia="Times New Roman" w:hAnsi="Times New Roman" w:cs="Times New Roman"/>
          <w:b/>
        </w:rPr>
        <w:tab/>
        <w:t>POKYN O SPRÁVNOM PODANÍ</w:t>
      </w:r>
    </w:p>
    <w:p w:rsidR="00BD71C0" w:rsidRPr="00BD71C0" w:rsidRDefault="00BD71C0" w:rsidP="00BD71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D71C0" w:rsidRPr="00BD71C0" w:rsidRDefault="00BD71C0" w:rsidP="00BD71C0">
      <w:pPr>
        <w:spacing w:before="26" w:after="0" w:line="240" w:lineRule="auto"/>
        <w:ind w:right="1080"/>
        <w:jc w:val="both"/>
        <w:rPr>
          <w:rFonts w:ascii="Times New Roman" w:eastAsia="Times New Roman" w:hAnsi="Times New Roman" w:cs="Times New Roman"/>
          <w:color w:val="231F20"/>
          <w:u w:val="single"/>
        </w:rPr>
      </w:pPr>
      <w:r w:rsidRPr="00BD71C0">
        <w:rPr>
          <w:rFonts w:ascii="Times New Roman" w:eastAsia="Times New Roman" w:hAnsi="Times New Roman" w:cs="Times New Roman"/>
          <w:color w:val="231F20"/>
          <w:u w:val="single"/>
        </w:rPr>
        <w:t xml:space="preserve">Podávanie: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BD71C0">
        <w:rPr>
          <w:rFonts w:ascii="Times New Roman" w:eastAsia="Times New Roman" w:hAnsi="Times New Roman" w:cs="Times New Roman"/>
          <w:color w:val="231F20"/>
        </w:rPr>
        <w:t xml:space="preserve">Na zabezpečenie správneho dávkovania sa má živá hmotnosť stanoviť čo možno najpresnejšie, aby sa predišlo </w:t>
      </w:r>
      <w:proofErr w:type="spellStart"/>
      <w:r w:rsidRPr="00BD71C0">
        <w:rPr>
          <w:rFonts w:ascii="Times New Roman" w:eastAsia="Times New Roman" w:hAnsi="Times New Roman" w:cs="Times New Roman"/>
          <w:color w:val="231F20"/>
        </w:rPr>
        <w:t>poddávkovaniu</w:t>
      </w:r>
      <w:proofErr w:type="spellEnd"/>
      <w:r w:rsidRPr="00BD71C0">
        <w:rPr>
          <w:rFonts w:ascii="Times New Roman" w:eastAsia="Times New Roman" w:hAnsi="Times New Roman" w:cs="Times New Roman"/>
          <w:color w:val="231F20"/>
        </w:rPr>
        <w:t xml:space="preserve">.  Príjem </w:t>
      </w:r>
      <w:proofErr w:type="spellStart"/>
      <w:r w:rsidRPr="00BD71C0">
        <w:rPr>
          <w:rFonts w:ascii="Times New Roman" w:eastAsia="Times New Roman" w:hAnsi="Times New Roman" w:cs="Times New Roman"/>
          <w:color w:val="231F20"/>
        </w:rPr>
        <w:t>medikovanej</w:t>
      </w:r>
      <w:proofErr w:type="spellEnd"/>
      <w:r w:rsidRPr="00BD71C0">
        <w:rPr>
          <w:rFonts w:ascii="Times New Roman" w:eastAsia="Times New Roman" w:hAnsi="Times New Roman" w:cs="Times New Roman"/>
          <w:color w:val="231F20"/>
        </w:rPr>
        <w:t xml:space="preserve"> vody závisí od skutočnej živej hmotnosti, príjmu vody, klinického stavu zvierat, prostredia a veku zvieraťa. Aby bolo dosiahnuté správne dávkovanie, koncentrácia </w:t>
      </w:r>
      <w:proofErr w:type="spellStart"/>
      <w:r w:rsidRPr="00BD71C0">
        <w:rPr>
          <w:rFonts w:ascii="Times New Roman" w:eastAsia="Times New Roman" w:hAnsi="Times New Roman" w:cs="Times New Roman"/>
          <w:color w:val="231F20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  <w:color w:val="231F20"/>
        </w:rPr>
        <w:t xml:space="preserve"> sa má zodpovedajúcim spôsobom upraviť. Požadované denné množstvo lieku vyrátajte podľa nasledovných pokynov:</w:t>
      </w:r>
    </w:p>
    <w:p w:rsidR="00BD71C0" w:rsidRPr="00BD71C0" w:rsidDel="000F12FF" w:rsidRDefault="00BD71C0" w:rsidP="00BD71C0">
      <w:pPr>
        <w:spacing w:before="26" w:after="0" w:line="240" w:lineRule="auto"/>
        <w:ind w:right="-1"/>
        <w:jc w:val="both"/>
        <w:rPr>
          <w:rFonts w:ascii="Times New Roman" w:eastAsia="Times New Roman" w:hAnsi="Times New Roman" w:cs="Times New Roman"/>
          <w:color w:val="231F20"/>
        </w:rPr>
      </w:pPr>
    </w:p>
    <w:p w:rsidR="00BD71C0" w:rsidRPr="00BD71C0" w:rsidRDefault="00BD71C0" w:rsidP="00BD71C0">
      <w:pPr>
        <w:spacing w:after="0" w:line="240" w:lineRule="auto"/>
        <w:ind w:right="165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.... ml lieku a deň 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 xml:space="preserve">x </w:t>
      </w:r>
      <w:r w:rsidRPr="00BD71C0">
        <w:rPr>
          <w:rFonts w:ascii="Times New Roman" w:eastAsia="Times New Roman" w:hAnsi="Times New Roman" w:cs="Times New Roman"/>
        </w:rPr>
        <w:tab/>
        <w:t xml:space="preserve">priemerná  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</w:p>
    <w:p w:rsidR="00BD71C0" w:rsidRPr="00BD71C0" w:rsidRDefault="00BD71C0" w:rsidP="00BD71C0">
      <w:pPr>
        <w:spacing w:after="0" w:line="240" w:lineRule="auto"/>
        <w:ind w:right="165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na kg živej hmotnosti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>živá hmotnosť (kg)</w:t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</w:r>
      <w:r w:rsidRPr="00BD71C0">
        <w:rPr>
          <w:rFonts w:ascii="Times New Roman" w:eastAsia="Times New Roman" w:hAnsi="Times New Roman" w:cs="Times New Roman"/>
        </w:rPr>
        <w:tab/>
        <w:t>ml lieku na liter</w:t>
      </w:r>
    </w:p>
    <w:p w:rsidR="00BD71C0" w:rsidRPr="00BD71C0" w:rsidRDefault="00BD71C0" w:rsidP="00BD71C0">
      <w:pPr>
        <w:spacing w:after="0" w:line="240" w:lineRule="auto"/>
        <w:ind w:right="165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----------------------------------------------------------------------   =  </w:t>
      </w:r>
      <w:r w:rsidRPr="00BD71C0">
        <w:rPr>
          <w:rFonts w:ascii="Times New Roman" w:eastAsia="Times New Roman" w:hAnsi="Times New Roman" w:cs="Times New Roman"/>
        </w:rPr>
        <w:tab/>
        <w:t>pitnej vody a deň</w:t>
      </w:r>
    </w:p>
    <w:p w:rsidR="00BD71C0" w:rsidRPr="00BD71C0" w:rsidRDefault="00BD71C0" w:rsidP="00BD71C0">
      <w:pPr>
        <w:spacing w:after="0" w:line="240" w:lineRule="auto"/>
        <w:ind w:right="165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                            príjem vody (litre na zviera a deň)</w:t>
      </w:r>
    </w:p>
    <w:p w:rsidR="00BD71C0" w:rsidRPr="00BD71C0" w:rsidRDefault="00BD71C0" w:rsidP="00BD71C0">
      <w:pPr>
        <w:spacing w:before="26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nl-BE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color w:val="000000"/>
        </w:rPr>
        <w:t>Na meranie požadovaného množstva lieku použite dostatočne presné zariadenie.</w:t>
      </w:r>
      <w:r w:rsidRPr="00BD71C0">
        <w:rPr>
          <w:rFonts w:ascii="Times New Roman" w:eastAsia="Times New Roman" w:hAnsi="Times New Roman" w:cs="Times New Roman"/>
          <w:color w:val="231F20"/>
        </w:rPr>
        <w:t xml:space="preserve"> </w:t>
      </w:r>
      <w:r w:rsidRPr="00BD71C0">
        <w:rPr>
          <w:rFonts w:ascii="Times New Roman" w:eastAsia="Times New Roman" w:hAnsi="Times New Roman" w:cs="Times New Roman"/>
        </w:rPr>
        <w:t xml:space="preserve">Na prípravu </w:t>
      </w:r>
      <w:proofErr w:type="spellStart"/>
      <w:r w:rsidRPr="00BD71C0">
        <w:rPr>
          <w:rFonts w:ascii="Times New Roman" w:eastAsia="Times New Roman" w:hAnsi="Times New Roman" w:cs="Times New Roman"/>
        </w:rPr>
        <w:t>medikovanej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pitnej vody používajte čisté nádoby. Pripravenú pitnú vodu s obsahom lieku miešajte po príprave aspoň 1 minútu, aby sa zaistila homogenita. Pri pridávaní liečiva do veľkých objemov vody najprv pripravte koncentrovaný roztok a potom ho zrieďte na požadovanú konečnú koncentráciu. Maximálna rozpustnosť lieku je 200 ml/l.</w:t>
      </w:r>
    </w:p>
    <w:p w:rsidR="00BD71C0" w:rsidRPr="00BD71C0" w:rsidRDefault="00BD71C0" w:rsidP="00BD71C0">
      <w:pPr>
        <w:spacing w:before="26"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Medikovaná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pitná voda by sa mala obnovovať alebo vymieňať každých 24 hodín.</w:t>
      </w:r>
    </w:p>
    <w:p w:rsidR="00BD71C0" w:rsidRPr="00BD71C0" w:rsidRDefault="00BD71C0" w:rsidP="00BD71C0">
      <w:pPr>
        <w:spacing w:before="26"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</w:rPr>
      </w:pPr>
    </w:p>
    <w:p w:rsidR="00BD71C0" w:rsidRPr="00BD71C0" w:rsidRDefault="00BD71C0" w:rsidP="00BD71C0">
      <w:pPr>
        <w:spacing w:before="26" w:after="0" w:line="240" w:lineRule="auto"/>
        <w:ind w:right="-1"/>
        <w:jc w:val="both"/>
        <w:rPr>
          <w:rFonts w:ascii="Times New Roman" w:eastAsia="Times New Roman" w:hAnsi="Times New Roman" w:cs="Times New Roman"/>
          <w:color w:val="231F20"/>
        </w:rPr>
      </w:pPr>
      <w:r w:rsidRPr="00BD71C0">
        <w:rPr>
          <w:rFonts w:ascii="Times New Roman" w:eastAsia="Times New Roman" w:hAnsi="Times New Roman" w:cs="Times New Roman"/>
        </w:rPr>
        <w:t xml:space="preserve">Aby sa zabránilo interakciám medzi </w:t>
      </w:r>
      <w:proofErr w:type="spellStart"/>
      <w:r w:rsidRPr="00BD71C0">
        <w:rPr>
          <w:rFonts w:ascii="Times New Roman" w:eastAsia="Times New Roman" w:hAnsi="Times New Roman" w:cs="Times New Roman"/>
        </w:rPr>
        <w:t>ionofórmi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veterinárny lekár a chovateľ majú overiť v  </w:t>
      </w:r>
      <w:proofErr w:type="spellStart"/>
      <w:r w:rsidRPr="00BD71C0">
        <w:rPr>
          <w:rFonts w:ascii="Times New Roman" w:eastAsia="Times New Roman" w:hAnsi="Times New Roman" w:cs="Times New Roman"/>
        </w:rPr>
        <w:t>miešarni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že krmivo neobsahuje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before="1" w:after="0" w:line="240" w:lineRule="auto"/>
        <w:ind w:right="165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V prípade kurčiat v záujme zabránenia interakciám medzi nekompatibilnými </w:t>
      </w:r>
      <w:proofErr w:type="spellStart"/>
      <w:r w:rsidRPr="00BD71C0">
        <w:rPr>
          <w:rFonts w:ascii="Times New Roman" w:eastAsia="Times New Roman" w:hAnsi="Times New Roman" w:cs="Times New Roman"/>
        </w:rPr>
        <w:t>ionofórmi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je nutné upozorniť </w:t>
      </w:r>
      <w:proofErr w:type="spellStart"/>
      <w:r w:rsidRPr="00BD71C0">
        <w:rPr>
          <w:rFonts w:ascii="Times New Roman" w:eastAsia="Times New Roman" w:hAnsi="Times New Roman" w:cs="Times New Roman"/>
        </w:rPr>
        <w:t>miešarne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dodávajúce krmivo pre hydinu, že bude použitý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a že tieto </w:t>
      </w:r>
      <w:proofErr w:type="spellStart"/>
      <w:r w:rsidRPr="00BD71C0">
        <w:rPr>
          <w:rFonts w:ascii="Times New Roman" w:eastAsia="Times New Roman" w:hAnsi="Times New Roman" w:cs="Times New Roman"/>
        </w:rPr>
        <w:t>antikokcidiká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nemožno do krmiva pridávať alebo nimi krmivo kontaminovať. V prípade, že existuje akékoľvek podozrenie na prípadnú kontamináciu krmiva, krmivo pred použitím otestujte na prítomnosť </w:t>
      </w:r>
      <w:proofErr w:type="spellStart"/>
      <w:r w:rsidRPr="00BD71C0">
        <w:rPr>
          <w:rFonts w:ascii="Times New Roman" w:eastAsia="Times New Roman" w:hAnsi="Times New Roman" w:cs="Times New Roman"/>
        </w:rPr>
        <w:t>ionofórov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before="26" w:after="0" w:line="240" w:lineRule="auto"/>
        <w:ind w:right="-1"/>
        <w:jc w:val="both"/>
        <w:rPr>
          <w:rFonts w:ascii="Times New Roman" w:eastAsia="Times New Roman" w:hAnsi="Times New Roman" w:cs="Times New Roman"/>
          <w:color w:val="231F20"/>
        </w:rPr>
      </w:pPr>
      <w:r w:rsidRPr="00BD71C0">
        <w:rPr>
          <w:rFonts w:ascii="Times New Roman" w:eastAsia="Times New Roman" w:hAnsi="Times New Roman" w:cs="Times New Roman"/>
        </w:rPr>
        <w:t xml:space="preserve">Ak sa objavia známky interakcie, medikáciu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okamžite ukončite a nahraďte ju čerstvou pitnou vodou. Čo najskôr odstráňte kontaminované krmivo a nahraďte ho krmivom neobsahujúcim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>.</w:t>
      </w:r>
    </w:p>
    <w:p w:rsidR="00BD71C0" w:rsidRPr="00BD71C0" w:rsidRDefault="00BD71C0" w:rsidP="00BD71C0">
      <w:pPr>
        <w:spacing w:before="26" w:after="0" w:line="240" w:lineRule="auto"/>
        <w:ind w:right="-1"/>
        <w:jc w:val="both"/>
        <w:rPr>
          <w:rFonts w:ascii="Times New Roman" w:eastAsia="Times New Roman" w:hAnsi="Times New Roman" w:cs="Times New Roman"/>
          <w:color w:val="231F20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10.</w:t>
      </w:r>
      <w:r w:rsidRPr="00BD71C0">
        <w:rPr>
          <w:rFonts w:ascii="Times New Roman" w:eastAsia="Times New Roman" w:hAnsi="Times New Roman" w:cs="Times New Roman"/>
          <w:b/>
        </w:rPr>
        <w:tab/>
        <w:t>OCHRANNÁ LEHOTA (-Y)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BD71C0" w:rsidRPr="00BD71C0" w:rsidRDefault="00BD71C0" w:rsidP="00BD71C0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Ošípané:</w:t>
      </w:r>
    </w:p>
    <w:p w:rsidR="00BD71C0" w:rsidRPr="00BD71C0" w:rsidRDefault="00BD71C0" w:rsidP="00BD71C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Mäso a vnútornosti: 2 dni (8,8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/kg živej hmotnosti – zodpovedá 7 ml lieku/100 kg živej hmotnosti) </w:t>
      </w:r>
    </w:p>
    <w:p w:rsidR="00BD71C0" w:rsidRPr="00BD71C0" w:rsidRDefault="00BD71C0" w:rsidP="00BD71C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Mäso a vnútornosti: 4 dni (20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/kg živej hmotnosti – zodpovedá 16 ml lieku/na 100 kg živej hmotnosti) </w:t>
      </w:r>
    </w:p>
    <w:p w:rsidR="00BD71C0" w:rsidRPr="00BD71C0" w:rsidRDefault="00BD71C0" w:rsidP="00BD71C0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</w:rPr>
      </w:pPr>
    </w:p>
    <w:p w:rsidR="00BD71C0" w:rsidRPr="00BD71C0" w:rsidRDefault="00BD71C0" w:rsidP="00BD71C0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</w:rPr>
      </w:pPr>
      <w:r w:rsidRPr="00BD71C0">
        <w:rPr>
          <w:rFonts w:ascii="Times New Roman" w:eastAsia="Times New Roman" w:hAnsi="Times New Roman" w:cs="Times New Roman"/>
          <w:u w:val="single"/>
        </w:rPr>
        <w:t>Kurčatá (nosnice)</w:t>
      </w:r>
      <w:r w:rsidRPr="00BD71C0">
        <w:rPr>
          <w:rFonts w:ascii="Times New Roman" w:eastAsia="Times New Roman" w:hAnsi="Times New Roman" w:cs="Times New Roman"/>
        </w:rPr>
        <w:t>:</w:t>
      </w:r>
    </w:p>
    <w:p w:rsidR="00BD71C0" w:rsidRPr="00BD71C0" w:rsidRDefault="00BD71C0" w:rsidP="00BD71C0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</w:rPr>
      </w:pPr>
      <w:r w:rsidRPr="00BD71C0">
        <w:rPr>
          <w:rFonts w:ascii="Times New Roman" w:eastAsia="Times New Roman" w:hAnsi="Times New Roman" w:cs="Times New Roman"/>
        </w:rPr>
        <w:lastRenderedPageBreak/>
        <w:t>Mäso a vnútornosti: 2 dni</w:t>
      </w:r>
    </w:p>
    <w:p w:rsidR="00BD71C0" w:rsidRPr="00BD71C0" w:rsidRDefault="00BD71C0" w:rsidP="00BD71C0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</w:rPr>
      </w:pPr>
      <w:r w:rsidRPr="00BD71C0">
        <w:rPr>
          <w:rFonts w:ascii="Times New Roman" w:eastAsia="Times New Roman" w:hAnsi="Times New Roman" w:cs="Times New Roman"/>
        </w:rPr>
        <w:t>Vajcia: nula dní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11.</w:t>
      </w:r>
      <w:r w:rsidRPr="00BD71C0">
        <w:rPr>
          <w:rFonts w:ascii="Times New Roman" w:eastAsia="Times New Roman" w:hAnsi="Times New Roman" w:cs="Times New Roman"/>
          <w:b/>
        </w:rPr>
        <w:tab/>
        <w:t>OSOBITNÉ BEZPEČNOSTNÉ OPATRENIA NA UCHOVÁVANIE</w:t>
      </w:r>
    </w:p>
    <w:p w:rsidR="00BD71C0" w:rsidRPr="00BD71C0" w:rsidRDefault="00BD71C0" w:rsidP="00BD71C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before="7"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Uchovávať mimo dohľadu a dosahu detí.</w:t>
      </w:r>
    </w:p>
    <w:p w:rsidR="00BD71C0" w:rsidRPr="00BD71C0" w:rsidRDefault="00BD71C0" w:rsidP="00BD71C0">
      <w:pPr>
        <w:spacing w:before="7"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Uchovávať v pôvodnom obale na ochranu pred svetlom.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Nepoužívať tento veterinárny liek po dátume exspirácie uvedenom na etikete po EXP. Dátum exspirácie sa vzťahuje na posledný deň v uvedenom mesiaci.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Čas použiteľnosti veterinárneho lieku zabaleného v neporušenom obale: 3 roky.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Čas použiteľnosti po prvom otvorení vnútorného obalu: 3 mesiace.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Čas použiteľnosti po nariedení v pitnej vode podľa návodu: 24 hodín.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12.</w:t>
      </w:r>
      <w:r w:rsidRPr="00BD71C0">
        <w:rPr>
          <w:rFonts w:ascii="Times New Roman" w:eastAsia="Times New Roman" w:hAnsi="Times New Roman" w:cs="Times New Roman"/>
          <w:b/>
        </w:rPr>
        <w:tab/>
        <w:t>OSOBITNÉ UPOZORNENIA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Osobitné bezpečnostné upozornenia pre každý cieľový druh: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Príjem vody u hydiny sa môže počas podávania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znížiť. Príjem vody u hydiny je nutné počas liečby sledovať v častých intervaloch, najmä v horúcom počasí. </w:t>
      </w:r>
      <w:r w:rsidRPr="00BD71C0">
        <w:rPr>
          <w:rFonts w:ascii="Times New Roman" w:eastAsia="Times New Roman" w:hAnsi="Times New Roman" w:cs="Times New Roman"/>
        </w:rPr>
        <w:br/>
        <w:t xml:space="preserve">Ošípané so zníženým príjmom vody a / alebo v oslabenej kondícii je nutné liečiť </w:t>
      </w:r>
      <w:proofErr w:type="spellStart"/>
      <w:r w:rsidRPr="00BD71C0">
        <w:rPr>
          <w:rFonts w:ascii="Times New Roman" w:eastAsia="Times New Roman" w:hAnsi="Times New Roman" w:cs="Times New Roman"/>
        </w:rPr>
        <w:t>parenterálne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(s podaním do žily alebo do svalu).</w:t>
      </w:r>
    </w:p>
    <w:p w:rsidR="00BD71C0" w:rsidRPr="00BD71C0" w:rsidRDefault="00BD71C0" w:rsidP="00BD71C0">
      <w:pPr>
        <w:spacing w:before="7"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Osobitné bezpečnostné opatrenia na používanie u zvierat: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Použitie lieku musí byť založené na stanovení citlivosti baktérií izolovaných zo zvieraťa. Ak to nie je možné, je nutné založiť terapiu na miestnych (regionálnych, farmových) epidemiologických informáciách o citlivosti cieľovej baktérie.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Použitie veterinárneho lieku, ktoré sa odlišuje od pokynov v tejto písomnej informácii pre používateľov môže zvýšiť </w:t>
      </w:r>
      <w:proofErr w:type="spellStart"/>
      <w:r w:rsidRPr="00BD71C0">
        <w:rPr>
          <w:rFonts w:ascii="Times New Roman" w:eastAsia="Times New Roman" w:hAnsi="Times New Roman" w:cs="Times New Roman"/>
        </w:rPr>
        <w:t>prevalenciu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baktérií rezistentných voči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</w:t>
      </w:r>
    </w:p>
    <w:p w:rsidR="00BD71C0" w:rsidRPr="00BD71C0" w:rsidRDefault="00BD71C0" w:rsidP="00BD71C0">
      <w:pPr>
        <w:spacing w:before="7"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 xml:space="preserve">Osobitné bezpečnostné opatrenia, ktoré má urobiť osoba podávajúca liek zvieratám: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Ľudia so známou precitlivenosťou na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BD71C0">
        <w:rPr>
          <w:rFonts w:ascii="Times New Roman" w:eastAsia="Times New Roman" w:hAnsi="Times New Roman" w:cs="Times New Roman"/>
        </w:rPr>
        <w:t>parabény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by mali veterinárny liek podávať s opatrnosťou.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Liek ako aj liek nariedený v pitnej vode môžu pri kontakte spôsobiť reakcie z precitlivenosti. Zabráňte kontaktu lieku a </w:t>
      </w:r>
      <w:proofErr w:type="spellStart"/>
      <w:r w:rsidRPr="00BD71C0">
        <w:rPr>
          <w:rFonts w:ascii="Times New Roman" w:eastAsia="Times New Roman" w:hAnsi="Times New Roman" w:cs="Times New Roman"/>
        </w:rPr>
        <w:t>medikovanej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vody s kožou. Pri manipulácii s liekom nefajčite, nejedzte ani nepite. Pri miešaní a manipulácii s liekom používajte ochranný odev a rukavice a po použití si umyte ruky. V prípade náhodného kontaktu s kožou ju dôkladne opláchnite čistou tečúcou vodou. Kontaminovaný odev sa má odstrániť.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Je potrebné zabrániť požitiu lieku alebo </w:t>
      </w:r>
      <w:proofErr w:type="spellStart"/>
      <w:r w:rsidRPr="00BD71C0">
        <w:rPr>
          <w:rFonts w:ascii="Times New Roman" w:eastAsia="Times New Roman" w:hAnsi="Times New Roman" w:cs="Times New Roman"/>
        </w:rPr>
        <w:t>medikovanej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vody. V prípade náhodného požitia ústa dôkladne vypláchnite čistou vodou a ihneď vyhľadajte lekársku pomoc. </w:t>
      </w:r>
    </w:p>
    <w:p w:rsidR="00BD71C0" w:rsidRPr="00BD71C0" w:rsidRDefault="00BD71C0" w:rsidP="00BD71C0">
      <w:pPr>
        <w:spacing w:before="7"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Gravidita a laktácia:</w:t>
      </w:r>
    </w:p>
    <w:p w:rsidR="00BD71C0" w:rsidRPr="00BD71C0" w:rsidRDefault="00BD71C0" w:rsidP="00BD71C0">
      <w:pPr>
        <w:spacing w:before="7"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Možno použiť u ošípaných počas gravidity a laktácie.</w:t>
      </w:r>
    </w:p>
    <w:p w:rsidR="00BD71C0" w:rsidRPr="00BD71C0" w:rsidRDefault="00BD71C0" w:rsidP="00BD71C0">
      <w:pPr>
        <w:spacing w:before="7"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Znáška:</w:t>
      </w:r>
    </w:p>
    <w:p w:rsidR="00BD71C0" w:rsidRPr="00BD71C0" w:rsidRDefault="00BD71C0" w:rsidP="00BD71C0">
      <w:pPr>
        <w:spacing w:before="7"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Možno použiť u nosníc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Liekové interakcie a iné formy vzájomného pôsobenia:</w:t>
      </w:r>
    </w:p>
    <w:p w:rsidR="00BD71C0" w:rsidRPr="00BD71C0" w:rsidRDefault="00BD71C0" w:rsidP="00BD71C0">
      <w:pPr>
        <w:spacing w:before="7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D71C0">
        <w:rPr>
          <w:rFonts w:ascii="Times New Roman" w:eastAsia="Times New Roman" w:hAnsi="Times New Roman" w:cs="Times New Roman"/>
        </w:rPr>
        <w:t xml:space="preserve">Interakcia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BD71C0">
        <w:rPr>
          <w:rFonts w:ascii="Times New Roman" w:eastAsia="Times New Roman" w:hAnsi="Times New Roman" w:cs="Times New Roman"/>
        </w:rPr>
        <w:t>ionofórmi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ako sú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môže viesť k závažnému potlačeniu rastu, </w:t>
      </w:r>
      <w:proofErr w:type="spellStart"/>
      <w:r w:rsidRPr="00BD71C0">
        <w:rPr>
          <w:rFonts w:ascii="Times New Roman" w:eastAsia="Times New Roman" w:hAnsi="Times New Roman" w:cs="Times New Roman"/>
        </w:rPr>
        <w:t>ataxii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paralýze (ochrnutiu) alebo úhynu. Zvieratá by nemali dostávať lieky obsahujúce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počas liečby alebo najmenej 7 dní pred a 7 dní po liečbe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Ak sa objavia príznaky interakcie, ukončite ihneď podávanie ako pitnej vody s obsahom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podávanie krmiva kontaminovaného </w:t>
      </w:r>
      <w:proofErr w:type="spellStart"/>
      <w:r w:rsidRPr="00BD71C0">
        <w:rPr>
          <w:rFonts w:ascii="Times New Roman" w:eastAsia="Times New Roman" w:hAnsi="Times New Roman" w:cs="Times New Roman"/>
        </w:rPr>
        <w:t>ionofórmi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Krmivo je potrebné odstrániť a nahradiť ho čerstvým krmivom, ktoré neobsahuje </w:t>
      </w:r>
      <w:proofErr w:type="spellStart"/>
      <w:r w:rsidRPr="00BD71C0">
        <w:rPr>
          <w:rFonts w:ascii="Times New Roman" w:eastAsia="Times New Roman" w:hAnsi="Times New Roman" w:cs="Times New Roman"/>
        </w:rPr>
        <w:t>antikokcidiká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monenzín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D71C0">
        <w:rPr>
          <w:rFonts w:ascii="Times New Roman" w:eastAsia="Times New Roman" w:hAnsi="Times New Roman" w:cs="Times New Roman"/>
        </w:rPr>
        <w:t>salinomycín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BD71C0">
        <w:rPr>
          <w:rFonts w:ascii="Times New Roman" w:eastAsia="Times New Roman" w:hAnsi="Times New Roman" w:cs="Times New Roman"/>
        </w:rPr>
        <w:t>narazín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 </w:t>
      </w:r>
      <w:r w:rsidRPr="00BD71C0">
        <w:rPr>
          <w:rFonts w:ascii="Times New Roman" w:eastAsia="Times New Roman" w:hAnsi="Times New Roman" w:cs="Times New Roman"/>
        </w:rPr>
        <w:lastRenderedPageBreak/>
        <w:t xml:space="preserve">Súbežné použitie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lasalocidu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BD71C0">
        <w:rPr>
          <w:rFonts w:ascii="Times New Roman" w:eastAsia="Times New Roman" w:hAnsi="Times New Roman" w:cs="Times New Roman"/>
        </w:rPr>
        <w:t>semduramicínu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žiadnu interakciu nespôsobuje. Súbežné použitie </w:t>
      </w:r>
      <w:proofErr w:type="spellStart"/>
      <w:r w:rsidRPr="00BD71C0">
        <w:rPr>
          <w:rFonts w:ascii="Times New Roman" w:eastAsia="Times New Roman" w:hAnsi="Times New Roman" w:cs="Times New Roman"/>
        </w:rPr>
        <w:t>maduramycínu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BD71C0">
        <w:rPr>
          <w:rFonts w:ascii="Times New Roman" w:eastAsia="Times New Roman" w:hAnsi="Times New Roman" w:cs="Times New Roman"/>
        </w:rPr>
        <w:t>tiamulínu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môže spôsobiť slabé až mierne potlačenie rastu u kurčiat. Ide o prechodnú situáciu a k zotaveniu zvyčajne dochádza počas 3 - 5 dní po vysadení liečby </w:t>
      </w:r>
      <w:proofErr w:type="spellStart"/>
      <w:r w:rsidRPr="00BD71C0">
        <w:rPr>
          <w:rFonts w:ascii="Times New Roman" w:eastAsia="Times New Roman" w:hAnsi="Times New Roman" w:cs="Times New Roman"/>
        </w:rPr>
        <w:t>tiamulínom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. </w:t>
      </w:r>
    </w:p>
    <w:p w:rsidR="00BD71C0" w:rsidRPr="00BD71C0" w:rsidRDefault="00BD71C0" w:rsidP="00BD71C0">
      <w:pPr>
        <w:spacing w:before="7"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 xml:space="preserve">Predávkovanie (príznaky, núdzové postupy, </w:t>
      </w:r>
      <w:proofErr w:type="spellStart"/>
      <w:r w:rsidRPr="00BD71C0">
        <w:rPr>
          <w:rFonts w:ascii="Times New Roman" w:eastAsia="Times New Roman" w:hAnsi="Times New Roman" w:cs="Times New Roman"/>
          <w:u w:val="single"/>
        </w:rPr>
        <w:t>antidotá</w:t>
      </w:r>
      <w:proofErr w:type="spellEnd"/>
      <w:r w:rsidRPr="00BD71C0">
        <w:rPr>
          <w:rFonts w:ascii="Times New Roman" w:eastAsia="Times New Roman" w:hAnsi="Times New Roman" w:cs="Times New Roman"/>
          <w:u w:val="single"/>
        </w:rPr>
        <w:t>):</w:t>
      </w:r>
    </w:p>
    <w:p w:rsidR="00BD71C0" w:rsidRPr="00BD71C0" w:rsidRDefault="00BD71C0" w:rsidP="00BD71C0">
      <w:pPr>
        <w:spacing w:after="0" w:line="240" w:lineRule="auto"/>
        <w:ind w:right="148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Jednorazové perorálne dávky 100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na kg živej hmotnosti u ošípaných spôsobili </w:t>
      </w:r>
      <w:proofErr w:type="spellStart"/>
      <w:r w:rsidRPr="00BD71C0">
        <w:rPr>
          <w:rFonts w:ascii="Times New Roman" w:eastAsia="Times New Roman" w:hAnsi="Times New Roman" w:cs="Times New Roman"/>
        </w:rPr>
        <w:t>hyperpnoe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a zažívacie ťažkosti. Pri dávke 150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na kg živej hmotnosti bol zaznamenaný útlm ako jediný účinok na CNS. Dávka 55 mg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na kg živej hmotnosti podávaná po dobu 14 dní spôsobila prechodné slinenie a mierne podráždenie žalúdka.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má zodpovedajúci terapeutický index u ošípaných (čo znamená, že dávka s terapeutickým účinkom je oveľa nižšia ako dávka spôsobujúca toxicitu) a preto minimálna letálna dávka pre ošípané nebola stanovená.</w:t>
      </w:r>
    </w:p>
    <w:p w:rsidR="00BD71C0" w:rsidRPr="00BD71C0" w:rsidRDefault="00BD71C0" w:rsidP="00BD71C0">
      <w:pPr>
        <w:spacing w:after="0" w:line="236" w:lineRule="auto"/>
        <w:ind w:right="216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LD</w:t>
      </w:r>
      <w:r w:rsidRPr="00BD71C0">
        <w:rPr>
          <w:rFonts w:ascii="Times New Roman" w:eastAsia="Times New Roman" w:hAnsi="Times New Roman" w:cs="Times New Roman"/>
          <w:vertAlign w:val="subscript"/>
        </w:rPr>
        <w:t>50</w:t>
      </w:r>
      <w:r w:rsidRPr="00BD71C0">
        <w:rPr>
          <w:rFonts w:ascii="Times New Roman" w:eastAsia="Times New Roman" w:hAnsi="Times New Roman" w:cs="Times New Roman"/>
        </w:rPr>
        <w:t xml:space="preserve"> (dávka, pri ktorej uhynulo 50 % testovanej populácie kurčiat po špecifikovanom trvaní testu) je 1090 mg/kg živej hmotnosti u kurčiat.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má u hydiny pomerne vysoký terapeutický index. Pravdepodobnosť predávkovania sa považuje za nízku, pretože príjem vody a tým príjem </w:t>
      </w: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71C0">
        <w:rPr>
          <w:rFonts w:ascii="Times New Roman" w:eastAsia="Times New Roman" w:hAnsi="Times New Roman" w:cs="Times New Roman"/>
        </w:rPr>
        <w:t>hydrogénfumarátu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sa znižuje, ak sú podávané abnormálne vysoké dávky. Klinické príznaky akútnej toxicity u kurčiat sú: vokalizácia, </w:t>
      </w:r>
      <w:proofErr w:type="spellStart"/>
      <w:r w:rsidRPr="00BD71C0">
        <w:rPr>
          <w:rFonts w:ascii="Times New Roman" w:eastAsia="Times New Roman" w:hAnsi="Times New Roman" w:cs="Times New Roman"/>
        </w:rPr>
        <w:t>klonické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kŕče a laterálna poloha.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Ak sa objavia príznaky otravy, rýchlo odstráňte vodu s obsahom liečiva a nahraďte ju čerstvou vodou bez obsahu liečiva. Je potrebné začať s vhodnou symptomatickou liečbou.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Inkompatibility: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 xml:space="preserve">Z dôvodu chýbania štúdií kompatibility, sa tento veterinárny liek nesmie miešať s inými veterinárnymi liekmi.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D71C0">
        <w:rPr>
          <w:rFonts w:ascii="Times New Roman" w:eastAsia="Times New Roman" w:hAnsi="Times New Roman" w:cs="Times New Roman"/>
          <w:u w:val="single"/>
        </w:rPr>
        <w:t>Ďalšie informácie</w:t>
      </w:r>
    </w:p>
    <w:p w:rsidR="00BD71C0" w:rsidRPr="00BD71C0" w:rsidRDefault="00BD71C0" w:rsidP="00BD71C0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proofErr w:type="spellStart"/>
      <w:r w:rsidRPr="00BD71C0">
        <w:rPr>
          <w:rFonts w:ascii="Times New Roman" w:eastAsia="Times New Roman" w:hAnsi="Times New Roman" w:cs="Times New Roman"/>
        </w:rPr>
        <w:t>Tiamulín</w:t>
      </w:r>
      <w:proofErr w:type="spellEnd"/>
      <w:r w:rsidRPr="00BD71C0">
        <w:rPr>
          <w:rFonts w:ascii="Times New Roman" w:eastAsia="Times New Roman" w:hAnsi="Times New Roman" w:cs="Times New Roman"/>
        </w:rPr>
        <w:t xml:space="preserve"> v pôde sa rozkladá pomaly a rokmi sa môže hromadiť.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13.</w:t>
      </w:r>
      <w:r w:rsidRPr="00BD71C0">
        <w:rPr>
          <w:rFonts w:ascii="Times New Roman" w:eastAsia="Times New Roman" w:hAnsi="Times New Roman" w:cs="Times New Roman"/>
          <w:b/>
        </w:rPr>
        <w:tab/>
        <w:t>OSOBITNÉ BEZPEČNOSTNÉ OPATRENIA NA ZNEŠKODNENIE NEPOUŽITÉHO LIEKU(-OV) ALEBO ODPADOVÉHO MATERIÁLU, V PRÍPADE POTREBY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71C0">
        <w:rPr>
          <w:rFonts w:ascii="Times New Roman" w:eastAsia="Times New Roman" w:hAnsi="Times New Roman" w:cs="Times New Roman"/>
        </w:rPr>
        <w:t>Každý nepoužitý veterinárny liek alebo odpadové materiály z tohto veterinárneho lieku musia byť zlikvidované v súlade s miestnymi požiadavkami.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14.</w:t>
      </w:r>
      <w:r w:rsidRPr="00BD71C0">
        <w:rPr>
          <w:rFonts w:ascii="Times New Roman" w:eastAsia="Times New Roman" w:hAnsi="Times New Roman" w:cs="Times New Roman"/>
          <w:b/>
        </w:rPr>
        <w:tab/>
        <w:t>DÁTUM POSLEDNÉHO SCHVÁLENIA TEXTU V PÍSOMNEJ INFORMÁCII PRE POUŽÍVATEĽOV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71C0">
        <w:rPr>
          <w:rFonts w:ascii="Times New Roman" w:eastAsia="Times New Roman" w:hAnsi="Times New Roman" w:cs="Times New Roman"/>
          <w:b/>
        </w:rPr>
        <w:t>15.</w:t>
      </w:r>
      <w:r w:rsidRPr="00BD71C0">
        <w:rPr>
          <w:rFonts w:ascii="Times New Roman" w:eastAsia="Times New Roman" w:hAnsi="Times New Roman" w:cs="Times New Roman"/>
          <w:b/>
        </w:rPr>
        <w:tab/>
        <w:t>ĎALŠIE INFORMÁCIE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Pr="00BD71C0" w:rsidRDefault="00BD71C0" w:rsidP="00BD71C0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color w:val="221F1F"/>
          <w:spacing w:val="-1"/>
        </w:rPr>
      </w:pPr>
      <w:r w:rsidRPr="00BD71C0">
        <w:rPr>
          <w:rFonts w:ascii="Times New Roman" w:eastAsia="Times New Roman" w:hAnsi="Times New Roman" w:cs="Times New Roman"/>
          <w:color w:val="221F1F"/>
        </w:rPr>
        <w:t xml:space="preserve">Liek sa dodáva v 1-litrovej fľaši z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vysokohustotného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polyetylénu (HDPE) uzavretej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skrutkovacím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uzáverom z polypropylénu (PP) a tesniacim krúžkom z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nízkohustotného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polyetylénu (LDPE) a v 5-litrovej nádobe z </w:t>
      </w:r>
      <w:proofErr w:type="spellStart"/>
      <w:r w:rsidRPr="00BD71C0">
        <w:rPr>
          <w:rFonts w:ascii="Times New Roman" w:eastAsia="Times New Roman" w:hAnsi="Times New Roman" w:cs="Times New Roman"/>
          <w:color w:val="221F1F"/>
        </w:rPr>
        <w:t>vysokohustotného</w:t>
      </w:r>
      <w:proofErr w:type="spellEnd"/>
      <w:r w:rsidRPr="00BD71C0">
        <w:rPr>
          <w:rFonts w:ascii="Times New Roman" w:eastAsia="Times New Roman" w:hAnsi="Times New Roman" w:cs="Times New Roman"/>
          <w:color w:val="221F1F"/>
        </w:rPr>
        <w:t xml:space="preserve"> polyetylénu (HDPE) uzavretej vrúbkovaným uzáverom z HDPE a krúžkom proti manipulácii. </w:t>
      </w:r>
    </w:p>
    <w:p w:rsidR="00BD71C0" w:rsidRPr="00BD71C0" w:rsidRDefault="00BD71C0" w:rsidP="00BD71C0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color w:val="221F1F"/>
          <w:spacing w:val="-1"/>
        </w:rPr>
      </w:pPr>
    </w:p>
    <w:p w:rsidR="00BD71C0" w:rsidRPr="00BD71C0" w:rsidRDefault="00BD71C0" w:rsidP="00BD71C0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color w:val="221F1F"/>
          <w:spacing w:val="-1"/>
        </w:rPr>
      </w:pPr>
      <w:r w:rsidRPr="00BD71C0">
        <w:rPr>
          <w:rFonts w:ascii="Times New Roman" w:eastAsia="Times New Roman" w:hAnsi="Times New Roman" w:cs="Times New Roman"/>
          <w:color w:val="221F1F"/>
        </w:rPr>
        <w:t xml:space="preserve">Nie všetky veľkosti balenia sa musia uvádzať na trh. </w:t>
      </w:r>
    </w:p>
    <w:p w:rsidR="00BD71C0" w:rsidRPr="00BD71C0" w:rsidRDefault="00BD71C0" w:rsidP="00BD71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D71C0" w:rsidRPr="00BD71C0" w:rsidRDefault="00BD71C0" w:rsidP="00BD71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</w:rPr>
      </w:pPr>
      <w:r w:rsidRPr="00BD71C0">
        <w:rPr>
          <w:rFonts w:ascii="Times New Roman" w:eastAsia="Times New Roman" w:hAnsi="Times New Roman" w:cs="Times New Roman"/>
          <w:color w:val="231F20"/>
        </w:rPr>
        <w:t>Ak potrebujete akúkoľvek informáciu o tomto veterinárnom lieku, kontaktujte miestneho zástupcu držiteľa rozhodnutia o registrácii.</w:t>
      </w:r>
    </w:p>
    <w:p w:rsidR="00BD71C0" w:rsidRPr="00BD71C0" w:rsidRDefault="00BD71C0" w:rsidP="00BD71C0">
      <w:pPr>
        <w:tabs>
          <w:tab w:val="left" w:pos="2850"/>
          <w:tab w:val="left" w:pos="4569"/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E7479" w:rsidRDefault="001E7479"/>
    <w:sectPr w:rsidR="001E7479" w:rsidSect="00386E90">
      <w:footerReference w:type="default" r:id="rId7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530" w:rsidRDefault="000D3530" w:rsidP="00BD71C0">
      <w:pPr>
        <w:spacing w:after="0" w:line="240" w:lineRule="auto"/>
      </w:pPr>
      <w:r>
        <w:separator/>
      </w:r>
    </w:p>
  </w:endnote>
  <w:endnote w:type="continuationSeparator" w:id="0">
    <w:p w:rsidR="000D3530" w:rsidRDefault="000D3530" w:rsidP="00BD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1355142"/>
      <w:docPartObj>
        <w:docPartGallery w:val="Page Numbers (Bottom of Page)"/>
        <w:docPartUnique/>
      </w:docPartObj>
    </w:sdtPr>
    <w:sdtEndPr/>
    <w:sdtContent>
      <w:p w:rsidR="00BD71C0" w:rsidRDefault="00BD71C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A27">
          <w:rPr>
            <w:noProof/>
          </w:rPr>
          <w:t>7</w:t>
        </w:r>
        <w:r>
          <w:fldChar w:fldCharType="end"/>
        </w:r>
      </w:p>
    </w:sdtContent>
  </w:sdt>
  <w:p w:rsidR="00BD71C0" w:rsidRDefault="00BD71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530" w:rsidRDefault="000D3530" w:rsidP="00BD71C0">
      <w:pPr>
        <w:spacing w:after="0" w:line="240" w:lineRule="auto"/>
      </w:pPr>
      <w:r>
        <w:separator/>
      </w:r>
    </w:p>
  </w:footnote>
  <w:footnote w:type="continuationSeparator" w:id="0">
    <w:p w:rsidR="000D3530" w:rsidRDefault="000D3530" w:rsidP="00BD7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7BD1CB1"/>
    <w:multiLevelType w:val="hybridMultilevel"/>
    <w:tmpl w:val="5FA8191C"/>
    <w:lvl w:ilvl="0" w:tplc="306881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F4660"/>
    <w:multiLevelType w:val="hybridMultilevel"/>
    <w:tmpl w:val="25F4883E"/>
    <w:lvl w:ilvl="0" w:tplc="306881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C3719EE"/>
    <w:multiLevelType w:val="hybridMultilevel"/>
    <w:tmpl w:val="F21808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cs="Times New Roman" w:hint="default"/>
      </w:r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4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9"/>
  </w:num>
  <w:num w:numId="5">
    <w:abstractNumId w:val="38"/>
  </w:num>
  <w:num w:numId="6">
    <w:abstractNumId w:val="14"/>
  </w:num>
  <w:num w:numId="7">
    <w:abstractNumId w:val="26"/>
  </w:num>
  <w:num w:numId="8">
    <w:abstractNumId w:val="25"/>
  </w:num>
  <w:num w:numId="9">
    <w:abstractNumId w:val="9"/>
  </w:num>
  <w:num w:numId="10">
    <w:abstractNumId w:val="36"/>
  </w:num>
  <w:num w:numId="11">
    <w:abstractNumId w:val="37"/>
  </w:num>
  <w:num w:numId="12">
    <w:abstractNumId w:val="20"/>
  </w:num>
  <w:num w:numId="13">
    <w:abstractNumId w:val="16"/>
  </w:num>
  <w:num w:numId="14">
    <w:abstractNumId w:val="2"/>
  </w:num>
  <w:num w:numId="15">
    <w:abstractNumId w:val="35"/>
  </w:num>
  <w:num w:numId="16">
    <w:abstractNumId w:val="23"/>
  </w:num>
  <w:num w:numId="17">
    <w:abstractNumId w:val="40"/>
  </w:num>
  <w:num w:numId="18">
    <w:abstractNumId w:val="10"/>
  </w:num>
  <w:num w:numId="19">
    <w:abstractNumId w:val="1"/>
  </w:num>
  <w:num w:numId="20">
    <w:abstractNumId w:val="21"/>
  </w:num>
  <w:num w:numId="21">
    <w:abstractNumId w:val="3"/>
  </w:num>
  <w:num w:numId="22">
    <w:abstractNumId w:val="7"/>
  </w:num>
  <w:num w:numId="23">
    <w:abstractNumId w:val="29"/>
  </w:num>
  <w:num w:numId="24">
    <w:abstractNumId w:val="13"/>
  </w:num>
  <w:num w:numId="25">
    <w:abstractNumId w:val="34"/>
  </w:num>
  <w:num w:numId="26">
    <w:abstractNumId w:val="28"/>
  </w:num>
  <w:num w:numId="27">
    <w:abstractNumId w:val="15"/>
  </w:num>
  <w:num w:numId="28">
    <w:abstractNumId w:val="12"/>
  </w:num>
  <w:num w:numId="29">
    <w:abstractNumId w:val="24"/>
  </w:num>
  <w:num w:numId="30">
    <w:abstractNumId w:val="27"/>
  </w:num>
  <w:num w:numId="31">
    <w:abstractNumId w:val="17"/>
  </w:num>
  <w:num w:numId="32">
    <w:abstractNumId w:val="11"/>
  </w:num>
  <w:num w:numId="33">
    <w:abstractNumId w:val="32"/>
  </w:num>
  <w:num w:numId="34">
    <w:abstractNumId w:val="33"/>
  </w:num>
  <w:num w:numId="35">
    <w:abstractNumId w:val="31"/>
  </w:num>
  <w:num w:numId="36">
    <w:abstractNumId w:val="18"/>
  </w:num>
  <w:num w:numId="37">
    <w:abstractNumId w:val="4"/>
  </w:num>
  <w:num w:numId="38">
    <w:abstractNumId w:val="41"/>
  </w:num>
  <w:num w:numId="39">
    <w:abstractNumId w:val="8"/>
  </w:num>
  <w:num w:numId="40">
    <w:abstractNumId w:val="6"/>
  </w:num>
  <w:num w:numId="41">
    <w:abstractNumId w:val="22"/>
  </w:num>
  <w:num w:numId="42">
    <w:abstractNumId w:val="1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C0"/>
    <w:rsid w:val="000D3530"/>
    <w:rsid w:val="00140D49"/>
    <w:rsid w:val="0016283B"/>
    <w:rsid w:val="001E7479"/>
    <w:rsid w:val="00386E90"/>
    <w:rsid w:val="003E1DEF"/>
    <w:rsid w:val="00735A08"/>
    <w:rsid w:val="00AA685F"/>
    <w:rsid w:val="00AE6A27"/>
    <w:rsid w:val="00B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92D3"/>
  <w15:chartTrackingRefBased/>
  <w15:docId w15:val="{005F0D30-5840-4B96-BA18-6D58A013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BD71C0"/>
    <w:pPr>
      <w:spacing w:before="240" w:after="120" w:line="240" w:lineRule="auto"/>
      <w:ind w:left="357" w:hanging="357"/>
      <w:outlineLvl w:val="0"/>
    </w:pPr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paragraph" w:styleId="Nadpis2">
    <w:name w:val="heading 2"/>
    <w:basedOn w:val="Normlny"/>
    <w:next w:val="Normlny"/>
    <w:link w:val="Nadpis2Char"/>
    <w:qFormat/>
    <w:rsid w:val="00BD71C0"/>
    <w:pPr>
      <w:keepNext/>
      <w:spacing w:before="240" w:after="60" w:line="240" w:lineRule="auto"/>
      <w:ind w:left="567" w:hanging="567"/>
      <w:outlineLvl w:val="1"/>
    </w:pPr>
    <w:rPr>
      <w:rFonts w:ascii="Helvetica" w:eastAsia="Times New Roman" w:hAnsi="Helvetica" w:cs="Times New Roman"/>
      <w:b/>
      <w:i/>
      <w:sz w:val="24"/>
      <w:szCs w:val="20"/>
    </w:rPr>
  </w:style>
  <w:style w:type="paragraph" w:styleId="Nadpis3">
    <w:name w:val="heading 3"/>
    <w:basedOn w:val="Normlny"/>
    <w:next w:val="Normlny"/>
    <w:link w:val="Nadpis3Char"/>
    <w:qFormat/>
    <w:rsid w:val="00BD71C0"/>
    <w:pPr>
      <w:keepNext/>
      <w:keepLines/>
      <w:spacing w:before="120" w:after="80" w:line="240" w:lineRule="auto"/>
      <w:ind w:left="567" w:hanging="567"/>
      <w:outlineLvl w:val="2"/>
    </w:pPr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paragraph" w:styleId="Nadpis4">
    <w:name w:val="heading 4"/>
    <w:basedOn w:val="Normlny"/>
    <w:next w:val="Normlny"/>
    <w:link w:val="Nadpis4Char"/>
    <w:qFormat/>
    <w:rsid w:val="00BD71C0"/>
    <w:pPr>
      <w:keepNext/>
      <w:spacing w:after="0" w:line="240" w:lineRule="auto"/>
      <w:ind w:left="567" w:hanging="567"/>
      <w:outlineLvl w:val="3"/>
    </w:pPr>
    <w:rPr>
      <w:rFonts w:ascii="Times New Roman" w:eastAsia="Times New Roman" w:hAnsi="Times New Roman" w:cs="Times New Roman"/>
      <w:b/>
      <w:noProof/>
      <w:szCs w:val="20"/>
    </w:rPr>
  </w:style>
  <w:style w:type="paragraph" w:styleId="Nadpis5">
    <w:name w:val="heading 5"/>
    <w:basedOn w:val="Normlny"/>
    <w:next w:val="Normlny"/>
    <w:link w:val="Nadpis5Char"/>
    <w:qFormat/>
    <w:rsid w:val="00BD71C0"/>
    <w:pPr>
      <w:keepNext/>
      <w:spacing w:after="0" w:line="240" w:lineRule="auto"/>
      <w:ind w:left="567" w:hanging="567"/>
      <w:jc w:val="center"/>
      <w:outlineLvl w:val="4"/>
    </w:pPr>
    <w:rPr>
      <w:rFonts w:ascii="Times New Roman" w:eastAsia="Times New Roman" w:hAnsi="Times New Roman" w:cs="Times New Roman"/>
      <w:b/>
      <w:noProof/>
      <w:szCs w:val="20"/>
    </w:rPr>
  </w:style>
  <w:style w:type="paragraph" w:styleId="Nadpis6">
    <w:name w:val="heading 6"/>
    <w:basedOn w:val="Normlny"/>
    <w:next w:val="Normlny"/>
    <w:link w:val="Nadpis6Char"/>
    <w:qFormat/>
    <w:rsid w:val="00BD71C0"/>
    <w:pPr>
      <w:keepNext/>
      <w:tabs>
        <w:tab w:val="left" w:pos="-720"/>
        <w:tab w:val="left" w:pos="4536"/>
      </w:tabs>
      <w:suppressAutoHyphens/>
      <w:spacing w:after="0" w:line="240" w:lineRule="auto"/>
      <w:ind w:left="567" w:hanging="567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y"/>
    <w:next w:val="Normlny"/>
    <w:link w:val="Nadpis7Char"/>
    <w:qFormat/>
    <w:rsid w:val="00BD71C0"/>
    <w:pPr>
      <w:keepNext/>
      <w:tabs>
        <w:tab w:val="left" w:pos="-720"/>
        <w:tab w:val="left" w:pos="4536"/>
      </w:tabs>
      <w:suppressAutoHyphens/>
      <w:spacing w:after="0" w:line="240" w:lineRule="auto"/>
      <w:ind w:left="567" w:hanging="567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paragraph" w:styleId="Nadpis8">
    <w:name w:val="heading 8"/>
    <w:basedOn w:val="Normlny"/>
    <w:next w:val="Normlny"/>
    <w:link w:val="Nadpis8Char"/>
    <w:qFormat/>
    <w:rsid w:val="00BD71C0"/>
    <w:pPr>
      <w:keepNext/>
      <w:spacing w:after="0" w:line="240" w:lineRule="auto"/>
      <w:ind w:left="567" w:right="-318" w:hanging="567"/>
      <w:outlineLvl w:val="7"/>
    </w:pPr>
    <w:rPr>
      <w:rFonts w:ascii="Times New Roman" w:eastAsia="Times New Roman" w:hAnsi="Times New Roman" w:cs="Times New Roman"/>
      <w:b/>
      <w:szCs w:val="20"/>
    </w:rPr>
  </w:style>
  <w:style w:type="paragraph" w:styleId="Nadpis9">
    <w:name w:val="heading 9"/>
    <w:basedOn w:val="Normlny"/>
    <w:next w:val="Normlny"/>
    <w:link w:val="Nadpis9Char"/>
    <w:qFormat/>
    <w:rsid w:val="00BD71C0"/>
    <w:pPr>
      <w:keepNext/>
      <w:spacing w:after="0" w:line="240" w:lineRule="auto"/>
      <w:ind w:left="2268" w:right="1711" w:hanging="567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D71C0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basedOn w:val="Predvolenpsmoodseku"/>
    <w:link w:val="Nadpis2"/>
    <w:rsid w:val="00BD71C0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BD71C0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basedOn w:val="Predvolenpsmoodseku"/>
    <w:link w:val="Nadpis4"/>
    <w:rsid w:val="00BD71C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BD71C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BD71C0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BD71C0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BD71C0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BD71C0"/>
    <w:rPr>
      <w:rFonts w:ascii="Times New Roman" w:eastAsia="Times New Roman" w:hAnsi="Times New Roman" w:cs="Times New Roman"/>
      <w:b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BD71C0"/>
  </w:style>
  <w:style w:type="paragraph" w:styleId="Hlavika">
    <w:name w:val="header"/>
    <w:basedOn w:val="Normlny"/>
    <w:link w:val="HlavikaChar"/>
    <w:uiPriority w:val="99"/>
    <w:rsid w:val="00BD71C0"/>
    <w:pPr>
      <w:tabs>
        <w:tab w:val="center" w:pos="4153"/>
        <w:tab w:val="right" w:pos="8306"/>
      </w:tabs>
      <w:spacing w:after="0" w:line="240" w:lineRule="auto"/>
      <w:ind w:left="567" w:hanging="567"/>
    </w:pPr>
    <w:rPr>
      <w:rFonts w:ascii="Helvetica" w:eastAsia="Times New Roman" w:hAnsi="Helvetica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BD71C0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BD71C0"/>
    <w:pPr>
      <w:tabs>
        <w:tab w:val="center" w:pos="4536"/>
        <w:tab w:val="center" w:pos="8930"/>
      </w:tabs>
      <w:spacing w:after="0" w:line="240" w:lineRule="auto"/>
      <w:ind w:left="567" w:hanging="567"/>
    </w:pPr>
    <w:rPr>
      <w:rFonts w:ascii="Helvetica" w:eastAsia="Times New Roman" w:hAnsi="Helvetica" w:cs="Times New Roman"/>
      <w:sz w:val="16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BD71C0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rsid w:val="00BD71C0"/>
    <w:pPr>
      <w:spacing w:after="0" w:line="240" w:lineRule="auto"/>
      <w:ind w:left="1760" w:hanging="567"/>
    </w:pPr>
    <w:rPr>
      <w:rFonts w:ascii="Times New Roman" w:eastAsia="Times New Roman" w:hAnsi="Times New Roman" w:cs="Times New Roman"/>
      <w:szCs w:val="20"/>
    </w:rPr>
  </w:style>
  <w:style w:type="character" w:styleId="Odkaznavysvetlivku">
    <w:name w:val="endnote reference"/>
    <w:rsid w:val="00BD71C0"/>
    <w:rPr>
      <w:vertAlign w:val="superscript"/>
    </w:rPr>
  </w:style>
  <w:style w:type="character" w:styleId="Odkaznapoznmkupodiarou">
    <w:name w:val="footnote reference"/>
    <w:rsid w:val="00BD71C0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BD71C0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BD71C0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BD71C0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D71C0"/>
    <w:rPr>
      <w:rFonts w:ascii="Times New Roman" w:eastAsia="Times New Roman" w:hAnsi="Times New Roman" w:cs="Times New Roman"/>
      <w:szCs w:val="20"/>
    </w:rPr>
  </w:style>
  <w:style w:type="paragraph" w:styleId="Oznaitext">
    <w:name w:val="Block Text"/>
    <w:basedOn w:val="Normlny"/>
    <w:rsid w:val="00BD71C0"/>
    <w:pPr>
      <w:spacing w:after="0" w:line="240" w:lineRule="auto"/>
      <w:ind w:left="2268" w:right="1711" w:hanging="567"/>
    </w:pPr>
    <w:rPr>
      <w:rFonts w:ascii="Times New Roman" w:eastAsia="Times New Roman" w:hAnsi="Times New Roman" w:cs="Times New Roman"/>
      <w:b/>
      <w:szCs w:val="20"/>
    </w:rPr>
  </w:style>
  <w:style w:type="paragraph" w:styleId="Zkladntext2">
    <w:name w:val="Body Text 2"/>
    <w:basedOn w:val="Normlny"/>
    <w:link w:val="Zkladntext2Char"/>
    <w:rsid w:val="00BD71C0"/>
    <w:pPr>
      <w:spacing w:after="0" w:line="240" w:lineRule="auto"/>
      <w:ind w:left="567" w:hanging="567"/>
    </w:pPr>
    <w:rPr>
      <w:rFonts w:ascii="Times New Roman" w:eastAsia="Times New Roman" w:hAnsi="Times New Roman" w:cs="Times New Roman"/>
      <w:b/>
      <w:szCs w:val="20"/>
    </w:rPr>
  </w:style>
  <w:style w:type="character" w:customStyle="1" w:styleId="Zkladntext2Char">
    <w:name w:val="Základný text 2 Char"/>
    <w:basedOn w:val="Predvolenpsmoodseku"/>
    <w:link w:val="Zkladntext2"/>
    <w:rsid w:val="00BD71C0"/>
    <w:rPr>
      <w:rFonts w:ascii="Times New Roman" w:eastAsia="Times New Roman" w:hAnsi="Times New Roman" w:cs="Times New Roman"/>
      <w:b/>
      <w:szCs w:val="20"/>
    </w:rPr>
  </w:style>
  <w:style w:type="paragraph" w:styleId="Zkladntext3">
    <w:name w:val="Body Text 3"/>
    <w:basedOn w:val="Normlny"/>
    <w:link w:val="Zkladntext3Char"/>
    <w:rsid w:val="00BD71C0"/>
    <w:pPr>
      <w:spacing w:after="0" w:line="240" w:lineRule="auto"/>
      <w:ind w:left="567" w:right="113" w:hanging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Zkladntext3Char">
    <w:name w:val="Základný text 3 Char"/>
    <w:basedOn w:val="Predvolenpsmoodseku"/>
    <w:link w:val="Zkladntext3"/>
    <w:rsid w:val="00BD71C0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rsid w:val="00BD71C0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BD71C0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rsid w:val="00BD71C0"/>
    <w:rPr>
      <w:sz w:val="16"/>
    </w:rPr>
  </w:style>
  <w:style w:type="paragraph" w:styleId="Zarkazkladnhotextu2">
    <w:name w:val="Body Text Indent 2"/>
    <w:basedOn w:val="Normlny"/>
    <w:link w:val="Zarkazkladnhotextu2Char"/>
    <w:rsid w:val="00BD71C0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D71C0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basedOn w:val="Normlny"/>
    <w:link w:val="TextkomentraChar"/>
    <w:rsid w:val="00BD71C0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D71C0"/>
    <w:rPr>
      <w:rFonts w:ascii="Times New Roman" w:eastAsia="Times New Roman" w:hAnsi="Times New Roman" w:cs="Times New Roman"/>
      <w:sz w:val="20"/>
      <w:szCs w:val="20"/>
    </w:rPr>
  </w:style>
  <w:style w:type="paragraph" w:styleId="Zarkazkladnhotextu3">
    <w:name w:val="Body Text Indent 3"/>
    <w:basedOn w:val="Normlny"/>
    <w:link w:val="Zarkazkladnhotextu3Char"/>
    <w:rsid w:val="00BD71C0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D71C0"/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basedOn w:val="Normlny"/>
    <w:rsid w:val="00BD71C0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rsid w:val="00BD71C0"/>
    <w:pPr>
      <w:spacing w:after="0" w:line="240" w:lineRule="auto"/>
      <w:ind w:left="567" w:hanging="567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D71C0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rsid w:val="00BD71C0"/>
    <w:rPr>
      <w:color w:val="0000FF"/>
      <w:u w:val="single"/>
    </w:rPr>
  </w:style>
  <w:style w:type="paragraph" w:customStyle="1" w:styleId="AHeader1">
    <w:name w:val="AHeader 1"/>
    <w:basedOn w:val="Normlny"/>
    <w:rsid w:val="00BD71C0"/>
    <w:pPr>
      <w:numPr>
        <w:numId w:val="32"/>
      </w:numPr>
      <w:spacing w:after="120" w:line="240" w:lineRule="auto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BD71C0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BD71C0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BD71C0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D71C0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BD71C0"/>
    <w:rPr>
      <w:color w:val="800080"/>
      <w:u w:val="single"/>
    </w:rPr>
  </w:style>
  <w:style w:type="paragraph" w:styleId="Odsekzoznamu">
    <w:name w:val="List Paragraph"/>
    <w:basedOn w:val="Normlny"/>
    <w:uiPriority w:val="34"/>
    <w:qFormat/>
    <w:rsid w:val="00BD71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Pa1">
    <w:name w:val="Pa1"/>
    <w:basedOn w:val="Normlny"/>
    <w:next w:val="Normlny"/>
    <w:uiPriority w:val="99"/>
    <w:rsid w:val="00BD71C0"/>
    <w:pPr>
      <w:autoSpaceDE w:val="0"/>
      <w:autoSpaceDN w:val="0"/>
      <w:adjustRightInd w:val="0"/>
      <w:spacing w:after="0" w:line="241" w:lineRule="atLeast"/>
    </w:pPr>
    <w:rPr>
      <w:rFonts w:ascii="Arial Narrow" w:eastAsia="Calibri" w:hAnsi="Arial Narrow" w:cs="Arial"/>
      <w:sz w:val="24"/>
      <w:szCs w:val="24"/>
    </w:rPr>
  </w:style>
  <w:style w:type="character" w:customStyle="1" w:styleId="A1">
    <w:name w:val="A1"/>
    <w:uiPriority w:val="99"/>
    <w:rsid w:val="00BD71C0"/>
    <w:rPr>
      <w:rFonts w:cs="Arial Narrow"/>
      <w:color w:val="221E1F"/>
      <w:sz w:val="15"/>
      <w:szCs w:val="15"/>
      <w:u w:val="single"/>
    </w:rPr>
  </w:style>
  <w:style w:type="character" w:customStyle="1" w:styleId="A0">
    <w:name w:val="A0"/>
    <w:uiPriority w:val="99"/>
    <w:rsid w:val="00BD71C0"/>
    <w:rPr>
      <w:rFonts w:cs="Arial Narrow"/>
      <w:color w:val="221E1F"/>
      <w:sz w:val="15"/>
      <w:szCs w:val="15"/>
    </w:rPr>
  </w:style>
  <w:style w:type="paragraph" w:customStyle="1" w:styleId="Default">
    <w:name w:val="Default"/>
    <w:rsid w:val="00BD71C0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4842</Words>
  <Characters>27606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4</cp:revision>
  <cp:lastPrinted>2019-01-22T09:14:00Z</cp:lastPrinted>
  <dcterms:created xsi:type="dcterms:W3CDTF">2019-01-21T12:12:00Z</dcterms:created>
  <dcterms:modified xsi:type="dcterms:W3CDTF">2022-01-28T10:17:00Z</dcterms:modified>
</cp:coreProperties>
</file>