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31" w:rsidRDefault="00F22C31" w:rsidP="00F22C31">
      <w:pPr>
        <w:spacing w:after="0" w:line="259" w:lineRule="auto"/>
        <w:ind w:left="0" w:right="1660" w:firstLine="0"/>
        <w:jc w:val="right"/>
        <w:rPr>
          <w:b/>
        </w:rPr>
      </w:pPr>
      <w:r>
        <w:rPr>
          <w:b/>
        </w:rPr>
        <w:t xml:space="preserve">SÚHRN CHARAKTERISTICKÝCH VLASTNOSTÍ LIEKU </w:t>
      </w:r>
    </w:p>
    <w:p w:rsidR="00F22C31" w:rsidRDefault="00F22C31" w:rsidP="00F22C31">
      <w:pPr>
        <w:spacing w:after="160" w:line="259" w:lineRule="auto"/>
        <w:ind w:left="0" w:firstLine="0"/>
        <w:rPr>
          <w:b/>
        </w:rPr>
      </w:pPr>
    </w:p>
    <w:p w:rsidR="00F22C31" w:rsidRPr="00775B1D" w:rsidRDefault="00F22C31" w:rsidP="00F22C31">
      <w:pPr>
        <w:spacing w:after="160" w:line="259" w:lineRule="auto"/>
        <w:ind w:left="0" w:firstLine="0"/>
        <w:rPr>
          <w:b/>
        </w:rPr>
      </w:pPr>
      <w:r>
        <w:rPr>
          <w:b/>
        </w:rPr>
        <w:t xml:space="preserve">1. </w:t>
      </w:r>
      <w:r>
        <w:rPr>
          <w:b/>
        </w:rPr>
        <w:tab/>
        <w:t xml:space="preserve">NÁZOV VETERINÁRNEHO LIEKU </w:t>
      </w:r>
    </w:p>
    <w:p w:rsidR="00F22C31" w:rsidRPr="00BF7C4B" w:rsidRDefault="00F22C31" w:rsidP="00F22C31">
      <w:pPr>
        <w:ind w:left="-4"/>
      </w:pPr>
      <w:r w:rsidRPr="00BF7C4B">
        <w:t>Tullavis 25 mg/ml injekčný roztok pre ošípané</w:t>
      </w:r>
    </w:p>
    <w:p w:rsidR="00F22C31" w:rsidRPr="00BF7C4B" w:rsidRDefault="00F22C31" w:rsidP="00F22C31">
      <w:pPr>
        <w:spacing w:after="0" w:line="259" w:lineRule="auto"/>
        <w:ind w:left="0" w:firstLine="0"/>
      </w:pPr>
    </w:p>
    <w:p w:rsidR="00F22C31" w:rsidRPr="00BF7C4B" w:rsidRDefault="00F22C31" w:rsidP="00F22C31">
      <w:pPr>
        <w:pStyle w:val="Nadpis1"/>
        <w:tabs>
          <w:tab w:val="center" w:pos="3107"/>
        </w:tabs>
        <w:spacing w:after="0" w:line="248" w:lineRule="auto"/>
        <w:ind w:left="-14" w:firstLine="0"/>
        <w:rPr>
          <w:lang w:val="en-US"/>
        </w:rPr>
      </w:pPr>
      <w:r w:rsidRPr="00BF7C4B">
        <w:rPr>
          <w:lang w:val="en-US"/>
        </w:rPr>
        <w:t xml:space="preserve">2. </w:t>
      </w:r>
      <w:r w:rsidRPr="00BF7C4B">
        <w:rPr>
          <w:lang w:val="en-US"/>
        </w:rPr>
        <w:tab/>
        <w:t xml:space="preserve">KVALITATÍVNE A KVANTITATÍVNE ZLOŽENIE </w:t>
      </w:r>
    </w:p>
    <w:p w:rsidR="00F22C31" w:rsidRPr="00BF7C4B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spacing w:after="0"/>
        <w:ind w:left="-4"/>
        <w:rPr>
          <w:lang w:val="en-US"/>
        </w:rPr>
      </w:pPr>
      <w:r w:rsidRPr="00BF7C4B">
        <w:rPr>
          <w:lang w:val="en-US"/>
        </w:rPr>
        <w:t xml:space="preserve">1 ml obsahuje: </w:t>
      </w:r>
    </w:p>
    <w:p w:rsidR="00F22C31" w:rsidRPr="00BF7C4B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spacing w:after="0" w:line="258" w:lineRule="auto"/>
        <w:ind w:left="-4"/>
        <w:rPr>
          <w:lang w:val="en-US"/>
        </w:rPr>
      </w:pPr>
      <w:bookmarkStart w:id="0" w:name="_Hlk46918776"/>
      <w:r w:rsidRPr="00BF7C4B">
        <w:rPr>
          <w:b/>
          <w:lang w:val="en-US"/>
        </w:rPr>
        <w:t>Účinná látka</w:t>
      </w:r>
      <w:bookmarkEnd w:id="0"/>
      <w:r w:rsidRPr="00BF7C4B">
        <w:rPr>
          <w:b/>
          <w:lang w:val="en-US"/>
        </w:rPr>
        <w:t xml:space="preserve">: </w:t>
      </w:r>
    </w:p>
    <w:p w:rsidR="00F22C31" w:rsidRPr="00BF7C4B" w:rsidRDefault="00F22C31" w:rsidP="00F22C31">
      <w:pPr>
        <w:tabs>
          <w:tab w:val="center" w:pos="2124"/>
          <w:tab w:val="center" w:pos="2833"/>
          <w:tab w:val="center" w:pos="3541"/>
          <w:tab w:val="center" w:pos="4500"/>
        </w:tabs>
        <w:spacing w:after="15"/>
        <w:ind w:left="-14" w:firstLine="0"/>
        <w:rPr>
          <w:lang w:val="en-US"/>
        </w:rPr>
      </w:pPr>
      <w:r w:rsidRPr="00BF7C4B">
        <w:rPr>
          <w:lang w:val="en-US"/>
        </w:rPr>
        <w:t xml:space="preserve">Tulathromycinum </w:t>
      </w:r>
      <w:r w:rsidRPr="00BF7C4B">
        <w:rPr>
          <w:lang w:val="en-US"/>
        </w:rPr>
        <w:tab/>
        <w:t xml:space="preserve"> </w:t>
      </w:r>
      <w:r w:rsidRPr="00BF7C4B">
        <w:rPr>
          <w:lang w:val="en-US"/>
        </w:rPr>
        <w:tab/>
        <w:t xml:space="preserve"> 25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mg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ind w:left="-4"/>
        <w:rPr>
          <w:lang w:val="en-US"/>
        </w:rPr>
      </w:pPr>
      <w:r w:rsidRPr="00BF7C4B">
        <w:rPr>
          <w:b/>
          <w:lang w:val="en-US"/>
        </w:rPr>
        <w:t xml:space="preserve">Pomocné látky: </w:t>
      </w:r>
    </w:p>
    <w:p w:rsidR="00F22C31" w:rsidRPr="00BF7C4B" w:rsidRDefault="00F22C31" w:rsidP="00F22C31">
      <w:pPr>
        <w:tabs>
          <w:tab w:val="center" w:pos="2125"/>
          <w:tab w:val="center" w:pos="2833"/>
          <w:tab w:val="center" w:pos="3541"/>
          <w:tab w:val="center" w:pos="4583"/>
        </w:tabs>
        <w:spacing w:after="15"/>
        <w:ind w:left="-14" w:firstLine="0"/>
        <w:rPr>
          <w:lang w:val="en-US"/>
        </w:rPr>
      </w:pPr>
      <w:r w:rsidRPr="00BF7C4B">
        <w:rPr>
          <w:lang w:val="en-US"/>
        </w:rPr>
        <w:t xml:space="preserve">Monothioglycerolum </w:t>
      </w:r>
      <w:r w:rsidRPr="00BF7C4B">
        <w:rPr>
          <w:lang w:val="en-US"/>
        </w:rPr>
        <w:tab/>
        <w:t xml:space="preserve"> </w:t>
      </w:r>
      <w:r w:rsidRPr="00BF7C4B">
        <w:rPr>
          <w:lang w:val="en-US"/>
        </w:rPr>
        <w:tab/>
        <w:t xml:space="preserve">    5 mg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15"/>
        <w:ind w:left="-4"/>
        <w:rPr>
          <w:lang w:val="en-US"/>
        </w:rPr>
      </w:pPr>
      <w:r w:rsidRPr="00BF7C4B">
        <w:rPr>
          <w:lang w:val="en-US"/>
        </w:rPr>
        <w:t xml:space="preserve">Úplný zoznam pomocných látok je uvedený v časti 6.1. </w:t>
      </w:r>
    </w:p>
    <w:p w:rsidR="00F22C31" w:rsidRPr="00BF7C4B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pStyle w:val="Nadpis1"/>
        <w:tabs>
          <w:tab w:val="center" w:pos="1532"/>
        </w:tabs>
        <w:spacing w:after="10" w:line="248" w:lineRule="auto"/>
        <w:ind w:left="-14" w:firstLine="0"/>
        <w:rPr>
          <w:lang w:val="en-US"/>
        </w:rPr>
      </w:pPr>
      <w:r w:rsidRPr="00BF7C4B">
        <w:rPr>
          <w:lang w:val="en-US"/>
        </w:rPr>
        <w:t xml:space="preserve">3. </w:t>
      </w:r>
      <w:r w:rsidRPr="00BF7C4B">
        <w:rPr>
          <w:lang w:val="en-US"/>
        </w:rPr>
        <w:tab/>
        <w:t xml:space="preserve">LIEKOVÁ FORMA </w:t>
      </w:r>
    </w:p>
    <w:p w:rsidR="00F22C31" w:rsidRPr="00BF7C4B" w:rsidRDefault="00F22C31" w:rsidP="00F22C31">
      <w:pPr>
        <w:spacing w:after="49" w:line="259" w:lineRule="auto"/>
        <w:ind w:left="1" w:firstLine="0"/>
        <w:rPr>
          <w:lang w:val="en-US"/>
        </w:rPr>
      </w:pPr>
    </w:p>
    <w:p w:rsidR="00F22C31" w:rsidRPr="00BF7C4B" w:rsidRDefault="00F22C31" w:rsidP="0079444C">
      <w:pPr>
        <w:spacing w:after="0"/>
        <w:ind w:left="-4"/>
        <w:rPr>
          <w:lang w:val="en-US"/>
        </w:rPr>
      </w:pPr>
      <w:r w:rsidRPr="00BF7C4B">
        <w:rPr>
          <w:lang w:val="en-US"/>
        </w:rPr>
        <w:t xml:space="preserve">Injekčný roztok. </w:t>
      </w:r>
    </w:p>
    <w:p w:rsidR="00F22C31" w:rsidRPr="00BF7C4B" w:rsidRDefault="00F22C31" w:rsidP="0079444C">
      <w:pPr>
        <w:spacing w:after="0"/>
        <w:ind w:left="-4"/>
        <w:rPr>
          <w:lang w:val="en-US"/>
        </w:rPr>
      </w:pPr>
      <w:r w:rsidRPr="00BF7C4B">
        <w:rPr>
          <w:lang w:val="en-US"/>
        </w:rPr>
        <w:t xml:space="preserve">Číry, bezfarebný až mierne žltý roztok.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pStyle w:val="Nadpis1"/>
        <w:tabs>
          <w:tab w:val="center" w:pos="1525"/>
        </w:tabs>
        <w:spacing w:after="10" w:line="248" w:lineRule="auto"/>
        <w:ind w:left="-14" w:firstLine="0"/>
        <w:rPr>
          <w:lang w:val="en-US"/>
        </w:rPr>
      </w:pPr>
      <w:r w:rsidRPr="00BF7C4B">
        <w:rPr>
          <w:lang w:val="en-US"/>
        </w:rPr>
        <w:t xml:space="preserve">4. </w:t>
      </w:r>
      <w:r w:rsidRPr="00BF7C4B">
        <w:rPr>
          <w:lang w:val="en-US"/>
        </w:rPr>
        <w:tab/>
        <w:t xml:space="preserve">KLINICKÉ ÚDAJE </w:t>
      </w:r>
    </w:p>
    <w:p w:rsidR="00F22C31" w:rsidRPr="00BF7C4B" w:rsidRDefault="00F22C31" w:rsidP="00F22C31">
      <w:pPr>
        <w:spacing w:after="41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tabs>
          <w:tab w:val="center" w:pos="1252"/>
        </w:tabs>
        <w:spacing w:after="1" w:line="258" w:lineRule="auto"/>
        <w:ind w:left="-14" w:firstLine="0"/>
        <w:rPr>
          <w:lang w:val="en-US"/>
        </w:rPr>
      </w:pPr>
      <w:r w:rsidRPr="00BF7C4B">
        <w:rPr>
          <w:b/>
          <w:lang w:val="en-US"/>
        </w:rPr>
        <w:t xml:space="preserve">4.1 </w:t>
      </w:r>
      <w:r w:rsidRPr="00BF7C4B">
        <w:rPr>
          <w:b/>
          <w:lang w:val="en-US"/>
        </w:rPr>
        <w:tab/>
        <w:t xml:space="preserve">Cieľové druhy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15"/>
        <w:ind w:left="-4"/>
        <w:rPr>
          <w:lang w:val="en-US"/>
        </w:rPr>
      </w:pPr>
      <w:r w:rsidRPr="00BF7C4B">
        <w:rPr>
          <w:lang w:val="en-US"/>
        </w:rPr>
        <w:t>Ošípané</w:t>
      </w:r>
    </w:p>
    <w:p w:rsidR="00F22C31" w:rsidRPr="00BF7C4B" w:rsidRDefault="00F22C31" w:rsidP="00F22C31">
      <w:pPr>
        <w:spacing w:after="59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pStyle w:val="Nadpis2"/>
        <w:tabs>
          <w:tab w:val="center" w:pos="3266"/>
        </w:tabs>
        <w:spacing w:after="1" w:line="258" w:lineRule="auto"/>
        <w:ind w:left="-14" w:right="0" w:firstLine="0"/>
        <w:rPr>
          <w:lang w:val="en-US"/>
        </w:rPr>
      </w:pPr>
      <w:r w:rsidRPr="00BF7C4B">
        <w:rPr>
          <w:lang w:val="en-US"/>
        </w:rPr>
        <w:t xml:space="preserve">4.2 </w:t>
      </w:r>
      <w:r w:rsidRPr="00BF7C4B">
        <w:rPr>
          <w:lang w:val="en-US"/>
        </w:rPr>
        <w:tab/>
        <w:t xml:space="preserve">Indikácie </w:t>
      </w:r>
      <w:proofErr w:type="gramStart"/>
      <w:r w:rsidRPr="00BF7C4B">
        <w:rPr>
          <w:lang w:val="en-US"/>
        </w:rPr>
        <w:t>na</w:t>
      </w:r>
      <w:proofErr w:type="gramEnd"/>
      <w:r w:rsidRPr="00BF7C4B">
        <w:rPr>
          <w:lang w:val="en-US"/>
        </w:rPr>
        <w:t xml:space="preserve"> použitie so špecifikovaním cieľových druhov</w:t>
      </w:r>
      <w:r w:rsidRPr="00BF7C4B">
        <w:rPr>
          <w:b w:val="0"/>
          <w:lang w:val="en-US"/>
        </w:rPr>
        <w:t xml:space="preserve">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>Liečba a metafylaxia respiračného ochorenia ošípaných (swine</w:t>
      </w:r>
      <w:r>
        <w:rPr>
          <w:lang w:val="en-US"/>
        </w:rPr>
        <w:t xml:space="preserve"> </w:t>
      </w:r>
      <w:r w:rsidRPr="00BF7C4B">
        <w:rPr>
          <w:lang w:val="en-US"/>
        </w:rPr>
        <w:t>respiratory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disease, SRD) spojeného s </w:t>
      </w:r>
      <w:r w:rsidRPr="00BF7C4B">
        <w:rPr>
          <w:i/>
          <w:lang w:val="en-US"/>
        </w:rPr>
        <w:t xml:space="preserve">Actinobacillus pleuropneumoniae, Pasteurella multocida, Mycoplasma hyopneumoniae, Haemophilus parasuis </w:t>
      </w:r>
      <w:r w:rsidRPr="00BF7C4B">
        <w:rPr>
          <w:lang w:val="en-US"/>
        </w:rPr>
        <w:t xml:space="preserve">a </w:t>
      </w:r>
      <w:r w:rsidRPr="00BF7C4B">
        <w:rPr>
          <w:i/>
          <w:lang w:val="en-US"/>
        </w:rPr>
        <w:t xml:space="preserve">Bordetella bronchiseptica </w:t>
      </w:r>
      <w:r>
        <w:rPr>
          <w:lang w:val="en-US"/>
        </w:rPr>
        <w:t>citlivými</w:t>
      </w:r>
      <w:r w:rsidRPr="00BF7C4B">
        <w:rPr>
          <w:lang w:val="en-US"/>
        </w:rPr>
        <w:t xml:space="preserve"> </w:t>
      </w:r>
      <w:proofErr w:type="gramStart"/>
      <w:r w:rsidRPr="00BF7C4B">
        <w:rPr>
          <w:lang w:val="en-US"/>
        </w:rPr>
        <w:t>na</w:t>
      </w:r>
      <w:proofErr w:type="gramEnd"/>
      <w:r w:rsidRPr="00BF7C4B">
        <w:rPr>
          <w:lang w:val="en-US"/>
        </w:rPr>
        <w:t xml:space="preserve"> tulatromycín. Prítomnosť ochorenia v </w:t>
      </w:r>
      <w:r w:rsidRPr="00961889">
        <w:rPr>
          <w:lang w:val="en-US"/>
        </w:rPr>
        <w:t>skupine musí byť</w:t>
      </w:r>
      <w:r>
        <w:rPr>
          <w:lang w:val="en-US"/>
        </w:rPr>
        <w:t xml:space="preserve"> </w:t>
      </w:r>
      <w:r w:rsidRPr="00961889">
        <w:rPr>
          <w:lang w:val="en-US"/>
        </w:rPr>
        <w:t>stanovená pred použitím lieku.</w:t>
      </w:r>
      <w:r w:rsidRPr="00BF7C4B">
        <w:rPr>
          <w:lang w:val="en-US"/>
        </w:rPr>
        <w:t xml:space="preserve">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Veterinárny liek </w:t>
      </w:r>
      <w:proofErr w:type="gramStart"/>
      <w:r w:rsidRPr="00BF7C4B">
        <w:rPr>
          <w:lang w:val="en-US"/>
        </w:rPr>
        <w:t>sa</w:t>
      </w:r>
      <w:proofErr w:type="gramEnd"/>
      <w:r w:rsidRPr="00BF7C4B">
        <w:rPr>
          <w:lang w:val="en-US"/>
        </w:rPr>
        <w:t xml:space="preserve"> má použiť </w:t>
      </w:r>
      <w:r>
        <w:rPr>
          <w:lang w:val="en-US"/>
        </w:rPr>
        <w:t xml:space="preserve">len </w:t>
      </w:r>
      <w:r w:rsidRPr="00BF7C4B">
        <w:rPr>
          <w:lang w:val="en-US"/>
        </w:rPr>
        <w:t xml:space="preserve">v prípade, keď sa u ošípaných očakáva prepuknutie ochorenia v priebehu 2 - 3 dní.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pStyle w:val="Nadpis2"/>
        <w:tabs>
          <w:tab w:val="center" w:pos="1339"/>
        </w:tabs>
        <w:spacing w:after="0"/>
        <w:ind w:left="-14" w:right="0" w:firstLine="0"/>
        <w:rPr>
          <w:lang w:val="en-US"/>
        </w:rPr>
      </w:pPr>
      <w:r w:rsidRPr="00BF7C4B">
        <w:rPr>
          <w:lang w:val="en-US"/>
        </w:rPr>
        <w:t xml:space="preserve">4.3 </w:t>
      </w:r>
      <w:r w:rsidRPr="00BF7C4B">
        <w:rPr>
          <w:lang w:val="en-US"/>
        </w:rPr>
        <w:tab/>
        <w:t xml:space="preserve">Kontraindikácie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Default="00F22C31" w:rsidP="00F22C31">
      <w:pPr>
        <w:spacing w:after="0" w:line="259" w:lineRule="auto"/>
        <w:ind w:left="1" w:firstLine="0"/>
        <w:rPr>
          <w:lang w:val="en-US"/>
        </w:rPr>
      </w:pPr>
      <w:r w:rsidRPr="00BF7C4B">
        <w:rPr>
          <w:lang w:val="en-US"/>
        </w:rPr>
        <w:t xml:space="preserve">Nepoužívať v prípadoch precitlivenosti </w:t>
      </w:r>
      <w:r w:rsidRPr="00531CB7">
        <w:rPr>
          <w:lang w:val="en-US"/>
        </w:rPr>
        <w:t xml:space="preserve">cieľových zvierat </w:t>
      </w:r>
      <w:proofErr w:type="gramStart"/>
      <w:r w:rsidRPr="00531CB7">
        <w:rPr>
          <w:lang w:val="en-US"/>
        </w:rPr>
        <w:t>na</w:t>
      </w:r>
      <w:proofErr w:type="gramEnd"/>
      <w:r w:rsidRPr="00531CB7">
        <w:rPr>
          <w:lang w:val="en-US"/>
        </w:rPr>
        <w:t xml:space="preserve"> makrolidové antibiotiká </w:t>
      </w:r>
      <w:r w:rsidRPr="00BF7C4B">
        <w:rPr>
          <w:lang w:val="en-US"/>
        </w:rPr>
        <w:t xml:space="preserve">alebo na niektorú z pomocných látok.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tabs>
          <w:tab w:val="center" w:pos="2732"/>
        </w:tabs>
        <w:spacing w:after="1" w:line="258" w:lineRule="auto"/>
        <w:ind w:left="-14" w:firstLine="0"/>
        <w:rPr>
          <w:lang w:val="en-US"/>
        </w:rPr>
      </w:pPr>
      <w:r w:rsidRPr="00BF7C4B">
        <w:rPr>
          <w:b/>
          <w:lang w:val="en-US"/>
        </w:rPr>
        <w:t xml:space="preserve">4.4 </w:t>
      </w:r>
      <w:r w:rsidRPr="00BF7C4B">
        <w:rPr>
          <w:b/>
          <w:lang w:val="en-US"/>
        </w:rPr>
        <w:tab/>
        <w:t xml:space="preserve">Osobitné upozornenia pre každý cieľový druh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961889" w:rsidRDefault="00F22C31" w:rsidP="00F22C31">
      <w:pPr>
        <w:spacing w:after="0" w:line="259" w:lineRule="auto"/>
        <w:ind w:left="1" w:firstLine="0"/>
        <w:rPr>
          <w:lang w:val="en-US"/>
        </w:rPr>
      </w:pPr>
      <w:r w:rsidRPr="00961889">
        <w:rPr>
          <w:lang w:val="en-US"/>
        </w:rPr>
        <w:t xml:space="preserve">Vyskytuje </w:t>
      </w:r>
      <w:proofErr w:type="gramStart"/>
      <w:r w:rsidRPr="00961889">
        <w:rPr>
          <w:lang w:val="en-US"/>
        </w:rPr>
        <w:t>sa</w:t>
      </w:r>
      <w:proofErr w:type="gramEnd"/>
      <w:r w:rsidRPr="00961889">
        <w:rPr>
          <w:lang w:val="en-US"/>
        </w:rPr>
        <w:t xml:space="preserve"> skrížená rezistencia s inými makrolidmi. Nepoužívať súčasne s antimikrobikami s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  <w:proofErr w:type="gramStart"/>
      <w:r w:rsidRPr="00961889">
        <w:rPr>
          <w:lang w:val="en-US"/>
        </w:rPr>
        <w:t>podobným</w:t>
      </w:r>
      <w:proofErr w:type="gramEnd"/>
      <w:r w:rsidRPr="00961889">
        <w:rPr>
          <w:lang w:val="en-US"/>
        </w:rPr>
        <w:t xml:space="preserve"> mechanizmom účinku, ako sú iné makrolidy alebo linkosamidy.</w:t>
      </w:r>
    </w:p>
    <w:p w:rsidR="00F22C31" w:rsidRPr="00BF7C4B" w:rsidRDefault="00F22C31" w:rsidP="00F22C31">
      <w:pPr>
        <w:spacing w:after="57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pStyle w:val="Nadpis2"/>
        <w:tabs>
          <w:tab w:val="center" w:pos="2799"/>
        </w:tabs>
        <w:spacing w:after="1" w:line="258" w:lineRule="auto"/>
        <w:ind w:left="-14" w:right="0" w:firstLine="0"/>
        <w:rPr>
          <w:lang w:val="en-US"/>
        </w:rPr>
      </w:pPr>
      <w:r w:rsidRPr="00BF7C4B">
        <w:rPr>
          <w:lang w:val="en-US"/>
        </w:rPr>
        <w:t xml:space="preserve">4.5 </w:t>
      </w:r>
      <w:r w:rsidRPr="00BF7C4B">
        <w:rPr>
          <w:lang w:val="en-US"/>
        </w:rPr>
        <w:tab/>
        <w:t xml:space="preserve">Osobitné bezpečnostné opatrenia </w:t>
      </w:r>
      <w:proofErr w:type="gramStart"/>
      <w:r w:rsidRPr="00BF7C4B">
        <w:rPr>
          <w:lang w:val="en-US"/>
        </w:rPr>
        <w:t>na</w:t>
      </w:r>
      <w:proofErr w:type="gramEnd"/>
      <w:r w:rsidRPr="00BF7C4B">
        <w:rPr>
          <w:lang w:val="en-US"/>
        </w:rPr>
        <w:t xml:space="preserve"> používanie </w:t>
      </w:r>
    </w:p>
    <w:p w:rsidR="00F22C31" w:rsidRPr="00BF7C4B" w:rsidRDefault="00F22C31" w:rsidP="00F22C31">
      <w:pPr>
        <w:spacing w:after="53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0" w:line="255" w:lineRule="auto"/>
        <w:ind w:left="-4" w:right="379"/>
        <w:rPr>
          <w:lang w:val="en-US"/>
        </w:rPr>
      </w:pPr>
      <w:r w:rsidRPr="00BF7C4B">
        <w:rPr>
          <w:u w:val="single" w:color="000000"/>
          <w:lang w:val="en-US"/>
        </w:rPr>
        <w:lastRenderedPageBreak/>
        <w:t xml:space="preserve">Osobitné bezpečnostné opatrenia </w:t>
      </w:r>
      <w:proofErr w:type="gramStart"/>
      <w:r w:rsidRPr="00BF7C4B">
        <w:rPr>
          <w:u w:val="single" w:color="000000"/>
          <w:lang w:val="en-US"/>
        </w:rPr>
        <w:t>na</w:t>
      </w:r>
      <w:proofErr w:type="gramEnd"/>
      <w:r w:rsidRPr="00BF7C4B">
        <w:rPr>
          <w:u w:val="single" w:color="000000"/>
          <w:lang w:val="en-US"/>
        </w:rPr>
        <w:t xml:space="preserve"> používanie u zvierat</w:t>
      </w:r>
      <w:r w:rsidRPr="00BF7C4B">
        <w:rPr>
          <w:lang w:val="en-US"/>
        </w:rPr>
        <w:t xml:space="preserve">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Liek </w:t>
      </w:r>
      <w:proofErr w:type="gramStart"/>
      <w:r w:rsidRPr="00BF7C4B">
        <w:rPr>
          <w:lang w:val="en-US"/>
        </w:rPr>
        <w:t>sa</w:t>
      </w:r>
      <w:proofErr w:type="gramEnd"/>
      <w:r w:rsidRPr="00BF7C4B">
        <w:rPr>
          <w:lang w:val="en-US"/>
        </w:rPr>
        <w:t xml:space="preserve"> má použiť na základe stanovenia </w:t>
      </w:r>
      <w:r>
        <w:rPr>
          <w:lang w:val="en-US"/>
        </w:rPr>
        <w:t xml:space="preserve">citlivosti </w:t>
      </w:r>
      <w:r w:rsidRPr="00BF7C4B">
        <w:rPr>
          <w:lang w:val="en-US"/>
        </w:rPr>
        <w:t xml:space="preserve">baktérií izolovaných </w:t>
      </w:r>
      <w:r>
        <w:rPr>
          <w:lang w:val="en-US"/>
        </w:rPr>
        <w:t>zo</w:t>
      </w:r>
      <w:r w:rsidRPr="00BF7C4B">
        <w:rPr>
          <w:lang w:val="en-US"/>
        </w:rPr>
        <w:t xml:space="preserve"> zvierat. Pokiaľ to nie je možné, liečba má byť stanovená podľa miestnych epidemiologických informácií (regionálnych, farmových) o </w:t>
      </w:r>
      <w:r>
        <w:rPr>
          <w:lang w:val="en-US"/>
        </w:rPr>
        <w:t>citlivosti</w:t>
      </w:r>
      <w:r w:rsidRPr="00BF7C4B">
        <w:rPr>
          <w:lang w:val="en-US"/>
        </w:rPr>
        <w:t xml:space="preserve"> cieľových baktérií. Pri použití tohto veterinárneho lieku </w:t>
      </w:r>
      <w:proofErr w:type="gramStart"/>
      <w:r w:rsidRPr="00BF7C4B">
        <w:rPr>
          <w:lang w:val="en-US"/>
        </w:rPr>
        <w:t>sa</w:t>
      </w:r>
      <w:proofErr w:type="gramEnd"/>
      <w:r w:rsidRPr="00BF7C4B">
        <w:rPr>
          <w:lang w:val="en-US"/>
        </w:rPr>
        <w:t xml:space="preserve"> má vziať do úvahy oficiálna, národná a regionálna antimikrobiálna politika.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>Použitie veterinárneho lieku, ktoré sa odlišuje od pokynov uvedených v súhrne charakteristických vlastností, môže zvýšiť prevalenciu baktérií rezistentných voči tulatromycínu a môže znížiť účinnosť liečby inými makrolidmi,</w:t>
      </w:r>
      <w:r>
        <w:rPr>
          <w:lang w:val="en-US"/>
        </w:rPr>
        <w:t xml:space="preserve"> </w:t>
      </w:r>
      <w:r w:rsidRPr="00961889">
        <w:rPr>
          <w:lang w:val="en-US"/>
        </w:rPr>
        <w:t>linkozamidmi a</w:t>
      </w:r>
      <w:r>
        <w:rPr>
          <w:lang w:val="en-US"/>
        </w:rPr>
        <w:t xml:space="preserve"> </w:t>
      </w:r>
      <w:r w:rsidRPr="00961889">
        <w:rPr>
          <w:lang w:val="en-US"/>
        </w:rPr>
        <w:t>streptogramínmi skupiny B,</w:t>
      </w:r>
      <w:r w:rsidRPr="00BF7C4B">
        <w:rPr>
          <w:lang w:val="en-US"/>
        </w:rPr>
        <w:t xml:space="preserve"> v dôsledku možnej skríženej rezistencie.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Ak </w:t>
      </w:r>
      <w:proofErr w:type="gramStart"/>
      <w:r w:rsidRPr="00BF7C4B">
        <w:rPr>
          <w:lang w:val="en-US"/>
        </w:rPr>
        <w:t>sa</w:t>
      </w:r>
      <w:proofErr w:type="gramEnd"/>
      <w:r w:rsidRPr="00BF7C4B">
        <w:rPr>
          <w:lang w:val="en-US"/>
        </w:rPr>
        <w:t xml:space="preserve"> vyskytne reakcia z precitlivenosti, musí byť okamžite podaná príslušná liečba. </w:t>
      </w:r>
    </w:p>
    <w:p w:rsidR="00F22C31" w:rsidRPr="00BF7C4B" w:rsidRDefault="00F22C31" w:rsidP="00F22C31">
      <w:pPr>
        <w:spacing w:after="41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0" w:line="255" w:lineRule="auto"/>
        <w:ind w:left="-4" w:right="379"/>
        <w:rPr>
          <w:lang w:val="en-US"/>
        </w:rPr>
      </w:pPr>
      <w:r w:rsidRPr="00BF7C4B">
        <w:rPr>
          <w:u w:val="single" w:color="000000"/>
          <w:lang w:val="en-US"/>
        </w:rPr>
        <w:t>Osobitné bezpečnostné opatrenia, ktoré má urobiť osoba podávajúca liek zvieratám</w:t>
      </w:r>
      <w:r w:rsidRPr="00BF7C4B">
        <w:rPr>
          <w:lang w:val="en-US"/>
        </w:rPr>
        <w:t xml:space="preserve">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Tulatromycín dráždi oči. </w:t>
      </w:r>
      <w:proofErr w:type="gramStart"/>
      <w:r w:rsidRPr="00BF7C4B">
        <w:rPr>
          <w:lang w:val="en-US"/>
        </w:rPr>
        <w:t>Ak</w:t>
      </w:r>
      <w:proofErr w:type="gramEnd"/>
      <w:r w:rsidRPr="00BF7C4B">
        <w:rPr>
          <w:lang w:val="en-US"/>
        </w:rPr>
        <w:t xml:space="preserve"> dôjde k náhodnému kontaktu s očami, ihneď vypláchnuť oči čistou vodou.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Tulatromycín môže spôsobiť podráždenie pri kontakte s pokožkou. </w:t>
      </w:r>
      <w:proofErr w:type="gramStart"/>
      <w:r w:rsidRPr="00BF7C4B">
        <w:rPr>
          <w:lang w:val="en-US"/>
        </w:rPr>
        <w:t>Ak</w:t>
      </w:r>
      <w:proofErr w:type="gramEnd"/>
      <w:r w:rsidRPr="00BF7C4B">
        <w:rPr>
          <w:lang w:val="en-US"/>
        </w:rPr>
        <w:t xml:space="preserve"> dôjde k náhodnému kontaktu s pokožkou, ihneď umyť pokožku mydlom a vodou.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Po použití umyť ruky.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V prípade náhodného samoinjikovania vyhľadať ihneď lekársku pomoc </w:t>
      </w:r>
      <w:proofErr w:type="gramStart"/>
      <w:r w:rsidRPr="00BF7C4B">
        <w:rPr>
          <w:lang w:val="en-US"/>
        </w:rPr>
        <w:t>a</w:t>
      </w:r>
      <w:proofErr w:type="gramEnd"/>
      <w:r w:rsidRPr="00BF7C4B">
        <w:rPr>
          <w:lang w:val="en-US"/>
        </w:rPr>
        <w:t xml:space="preserve"> ukázať písomnú informáciu pre používateľov alebo obal lekárovi. </w:t>
      </w:r>
    </w:p>
    <w:p w:rsidR="00F22C31" w:rsidRPr="00BF7C4B" w:rsidRDefault="00F22C31" w:rsidP="00F22C31">
      <w:pPr>
        <w:spacing w:after="53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tabs>
          <w:tab w:val="center" w:pos="2975"/>
        </w:tabs>
        <w:spacing w:after="0" w:line="258" w:lineRule="auto"/>
        <w:ind w:left="-14" w:right="0" w:firstLine="0"/>
        <w:rPr>
          <w:b w:val="0"/>
          <w:lang w:val="en-US"/>
        </w:rPr>
      </w:pPr>
      <w:r w:rsidRPr="00BF7C4B">
        <w:rPr>
          <w:lang w:val="en-US"/>
        </w:rPr>
        <w:t xml:space="preserve">4.6 </w:t>
      </w:r>
      <w:r w:rsidRPr="00BF7C4B">
        <w:rPr>
          <w:lang w:val="en-US"/>
        </w:rPr>
        <w:tab/>
        <w:t>Nežiaduce účinky (frekvencia výskytu a závažnosť)</w:t>
      </w:r>
      <w:r w:rsidRPr="00BF7C4B">
        <w:rPr>
          <w:b w:val="0"/>
          <w:lang w:val="en-US"/>
        </w:rPr>
        <w:t xml:space="preserve"> </w:t>
      </w:r>
    </w:p>
    <w:p w:rsidR="00F22C31" w:rsidRPr="00734EC8" w:rsidRDefault="00F22C31" w:rsidP="00F22C31">
      <w:pPr>
        <w:rPr>
          <w:lang w:val="en-US"/>
        </w:rPr>
      </w:pP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Patomorfologické reakcie v mieste vpichu (vrátane reverzibilných zmien </w:t>
      </w:r>
      <w:r>
        <w:rPr>
          <w:lang w:val="en-US"/>
        </w:rPr>
        <w:t>v prekrvení</w:t>
      </w:r>
      <w:r w:rsidRPr="00BF7C4B">
        <w:rPr>
          <w:lang w:val="en-US"/>
        </w:rPr>
        <w:t xml:space="preserve">, edému, fibrózy a hemorágie) sú </w:t>
      </w:r>
      <w:r>
        <w:rPr>
          <w:lang w:val="en-US"/>
        </w:rPr>
        <w:t>prítomné</w:t>
      </w:r>
      <w:r w:rsidRPr="00BF7C4B">
        <w:rPr>
          <w:lang w:val="en-US"/>
        </w:rPr>
        <w:t xml:space="preserve"> približne 30 dní po injekcii.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</w:p>
    <w:p w:rsidR="00F22C31" w:rsidRDefault="00F22C31" w:rsidP="00F22C31">
      <w:pPr>
        <w:pStyle w:val="Nadpis2"/>
        <w:tabs>
          <w:tab w:val="center" w:pos="2548"/>
        </w:tabs>
        <w:spacing w:after="0" w:line="258" w:lineRule="auto"/>
        <w:ind w:left="-14" w:right="0" w:firstLine="0"/>
        <w:rPr>
          <w:b w:val="0"/>
          <w:lang w:val="en-US"/>
        </w:rPr>
      </w:pPr>
      <w:r w:rsidRPr="009824CD">
        <w:rPr>
          <w:lang w:val="en-US"/>
        </w:rPr>
        <w:t xml:space="preserve">4.7 </w:t>
      </w:r>
      <w:r w:rsidRPr="009824CD">
        <w:rPr>
          <w:lang w:val="en-US"/>
        </w:rPr>
        <w:tab/>
        <w:t>Použitie počas gravidity, laktácie a znášky</w:t>
      </w:r>
      <w:r w:rsidRPr="009824CD">
        <w:rPr>
          <w:b w:val="0"/>
          <w:lang w:val="en-US"/>
        </w:rPr>
        <w:t xml:space="preserve"> </w:t>
      </w:r>
    </w:p>
    <w:p w:rsidR="00F22C31" w:rsidRPr="00734EC8" w:rsidRDefault="00F22C31" w:rsidP="00F22C31">
      <w:pPr>
        <w:rPr>
          <w:lang w:val="en-US"/>
        </w:rPr>
      </w:pPr>
    </w:p>
    <w:p w:rsidR="00F22C31" w:rsidRPr="009824CD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Laboratórne </w:t>
      </w:r>
      <w:r w:rsidRPr="000A7AED">
        <w:rPr>
          <w:lang w:val="en-US"/>
        </w:rPr>
        <w:t>štúdie</w:t>
      </w:r>
      <w:r w:rsidRPr="009824CD">
        <w:rPr>
          <w:lang w:val="en-US"/>
        </w:rPr>
        <w:t xml:space="preserve"> </w:t>
      </w:r>
      <w:proofErr w:type="gramStart"/>
      <w:r w:rsidRPr="009824CD">
        <w:rPr>
          <w:lang w:val="en-US"/>
        </w:rPr>
        <w:t>na</w:t>
      </w:r>
      <w:proofErr w:type="gramEnd"/>
      <w:r w:rsidRPr="009824CD">
        <w:rPr>
          <w:lang w:val="en-US"/>
        </w:rPr>
        <w:t xml:space="preserve"> potkanoch a králikoch nepotvrdili žiadne teratogénne, fetotoxické alebo maternotoxické účinky. Bezpečnosť veterinárneho lieku nebola stanovená počas gravidity a laktácie. Použiť len po zhodnotení prínosu/rizika zodpovedným veterinárnym lekárom. </w:t>
      </w: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tabs>
          <w:tab w:val="center" w:pos="3098"/>
        </w:tabs>
        <w:spacing w:after="0"/>
        <w:ind w:left="-14" w:right="0" w:firstLine="0"/>
        <w:rPr>
          <w:lang w:val="en-US"/>
        </w:rPr>
      </w:pPr>
      <w:r w:rsidRPr="009824CD">
        <w:rPr>
          <w:lang w:val="en-US"/>
        </w:rPr>
        <w:t xml:space="preserve">4.8 </w:t>
      </w:r>
      <w:r w:rsidRPr="009824CD">
        <w:rPr>
          <w:lang w:val="en-US"/>
        </w:rPr>
        <w:tab/>
        <w:t xml:space="preserve">Liekové interakcie a iné formy vzájomného pôsobenia </w:t>
      </w:r>
    </w:p>
    <w:p w:rsidR="00F22C31" w:rsidRPr="00775B1D" w:rsidRDefault="00F22C31" w:rsidP="00F22C31">
      <w:pPr>
        <w:spacing w:after="0"/>
        <w:rPr>
          <w:lang w:val="en-US"/>
        </w:rPr>
      </w:pPr>
    </w:p>
    <w:p w:rsidR="00F22C31" w:rsidRDefault="00F22C31" w:rsidP="00F22C31">
      <w:pPr>
        <w:spacing w:after="0" w:line="259" w:lineRule="auto"/>
        <w:ind w:left="1" w:firstLine="0"/>
        <w:rPr>
          <w:lang w:val="en-US"/>
        </w:rPr>
      </w:pPr>
      <w:r w:rsidRPr="00961889">
        <w:rPr>
          <w:lang w:val="en-US"/>
        </w:rPr>
        <w:t>Nie sú známe.</w:t>
      </w: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9824CD" w:rsidRDefault="00F22C31" w:rsidP="00F22C31">
      <w:pPr>
        <w:pStyle w:val="Nadpis2"/>
        <w:tabs>
          <w:tab w:val="center" w:pos="2219"/>
        </w:tabs>
        <w:ind w:left="-14" w:right="0" w:firstLine="0"/>
        <w:rPr>
          <w:lang w:val="en-US"/>
        </w:rPr>
      </w:pPr>
      <w:r w:rsidRPr="009824CD">
        <w:rPr>
          <w:lang w:val="en-US"/>
        </w:rPr>
        <w:t xml:space="preserve">4.9 </w:t>
      </w:r>
      <w:r w:rsidRPr="009824CD">
        <w:rPr>
          <w:lang w:val="en-US"/>
        </w:rPr>
        <w:tab/>
        <w:t xml:space="preserve">Dávkovanie a spôsob podania lieku </w:t>
      </w:r>
    </w:p>
    <w:p w:rsidR="00F22C31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  <w:r w:rsidRPr="00A94888">
        <w:rPr>
          <w:lang w:val="en-US"/>
        </w:rPr>
        <w:t>Intramuskulárne podanie.</w:t>
      </w: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6E1D9C">
        <w:rPr>
          <w:lang w:val="en-US"/>
        </w:rPr>
        <w:t>Jednorazová</w:t>
      </w:r>
      <w:r w:rsidRPr="009824CD">
        <w:rPr>
          <w:lang w:val="en-US"/>
        </w:rPr>
        <w:t xml:space="preserve"> intramuskulárna injekcia 2</w:t>
      </w:r>
      <w:proofErr w:type="gramStart"/>
      <w:r w:rsidRPr="009824CD">
        <w:rPr>
          <w:lang w:val="en-US"/>
        </w:rPr>
        <w:t>,5</w:t>
      </w:r>
      <w:proofErr w:type="gramEnd"/>
      <w:r w:rsidRPr="009824CD">
        <w:rPr>
          <w:lang w:val="en-US"/>
        </w:rPr>
        <w:t xml:space="preserve"> mg tulatromycínu/kg živej hmotnosti (ekvivalent 1 ml/10 kg živej </w:t>
      </w:r>
      <w:r w:rsidRPr="006E1D9C">
        <w:rPr>
          <w:lang w:val="en-US"/>
        </w:rPr>
        <w:t>hmotnosti</w:t>
      </w:r>
      <w:r w:rsidRPr="009824CD">
        <w:rPr>
          <w:lang w:val="en-US"/>
        </w:rPr>
        <w:t>) do krku.</w:t>
      </w:r>
    </w:p>
    <w:p w:rsidR="00F22C31" w:rsidRPr="009824CD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Pri liečbe ošípaných </w:t>
      </w:r>
      <w:proofErr w:type="gramStart"/>
      <w:r w:rsidRPr="009824CD">
        <w:rPr>
          <w:lang w:val="en-US"/>
        </w:rPr>
        <w:t>nad</w:t>
      </w:r>
      <w:proofErr w:type="gramEnd"/>
      <w:r w:rsidRPr="009824CD">
        <w:rPr>
          <w:lang w:val="en-US"/>
        </w:rPr>
        <w:t xml:space="preserve"> 40 kg živej hmotnosti, rozdeliť dávku tak, aby na jedno miesto nebolo injikované viac ako 4 ml. </w:t>
      </w:r>
    </w:p>
    <w:p w:rsidR="00F22C31" w:rsidRPr="00961889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961889">
        <w:rPr>
          <w:lang w:val="en-US"/>
        </w:rPr>
        <w:t xml:space="preserve">Pri akomkoľvek respiračnom ochorení </w:t>
      </w:r>
      <w:proofErr w:type="gramStart"/>
      <w:r w:rsidRPr="00961889">
        <w:rPr>
          <w:lang w:val="en-US"/>
        </w:rPr>
        <w:t>sa</w:t>
      </w:r>
      <w:proofErr w:type="gramEnd"/>
      <w:r w:rsidRPr="00961889">
        <w:rPr>
          <w:lang w:val="en-US"/>
        </w:rPr>
        <w:t xml:space="preserve"> odporúča liečiť zvieratá v počiatočných štádiach ochorenia a</w:t>
      </w:r>
    </w:p>
    <w:p w:rsidR="00F22C31" w:rsidRPr="009824CD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proofErr w:type="gramStart"/>
      <w:r w:rsidRPr="00961889">
        <w:rPr>
          <w:lang w:val="en-US"/>
        </w:rPr>
        <w:t>zhodnotiť</w:t>
      </w:r>
      <w:proofErr w:type="gramEnd"/>
      <w:r w:rsidRPr="00961889">
        <w:rPr>
          <w:lang w:val="en-US"/>
        </w:rPr>
        <w:t xml:space="preserve"> odpoveď na liečbu za</w:t>
      </w:r>
      <w:r w:rsidRPr="009824CD">
        <w:rPr>
          <w:lang w:val="en-US"/>
        </w:rPr>
        <w:t xml:space="preserve"> 48 hodín po injekcii. </w:t>
      </w:r>
      <w:proofErr w:type="gramStart"/>
      <w:r w:rsidRPr="009824CD">
        <w:rPr>
          <w:lang w:val="en-US"/>
        </w:rPr>
        <w:t>Ak</w:t>
      </w:r>
      <w:proofErr w:type="gramEnd"/>
      <w:r w:rsidRPr="009824CD">
        <w:rPr>
          <w:lang w:val="en-US"/>
        </w:rPr>
        <w:t xml:space="preserve"> klinické príznaky respiračného ochorenia pretrvávajú alebo sa zvyšujú, alebo ak dôjde k </w:t>
      </w:r>
      <w:r>
        <w:rPr>
          <w:lang w:val="en-US"/>
        </w:rPr>
        <w:t>opätovnému zhoršeniu stavu</w:t>
      </w:r>
      <w:r w:rsidRPr="009824CD">
        <w:rPr>
          <w:lang w:val="en-US"/>
        </w:rPr>
        <w:t>, liečba sa má zmeniť s použitím iného antibiotika a má pokračovať až do vy</w:t>
      </w:r>
      <w:r>
        <w:rPr>
          <w:lang w:val="en-US"/>
        </w:rPr>
        <w:t>miznutia</w:t>
      </w:r>
      <w:r w:rsidRPr="009824CD">
        <w:rPr>
          <w:lang w:val="en-US"/>
        </w:rPr>
        <w:t xml:space="preserve"> klinických príznakov. </w:t>
      </w: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9824CD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Aby </w:t>
      </w:r>
      <w:proofErr w:type="gramStart"/>
      <w:r w:rsidRPr="009824CD">
        <w:rPr>
          <w:lang w:val="en-US"/>
        </w:rPr>
        <w:t>sa</w:t>
      </w:r>
      <w:proofErr w:type="gramEnd"/>
      <w:r w:rsidRPr="009824CD">
        <w:rPr>
          <w:lang w:val="en-US"/>
        </w:rPr>
        <w:t xml:space="preserve"> zabezpečilo správne dávkovanie, má sa stanoviť živá hmotnosť čo najpresnejšie, aby sa zabránilo poddávkovaniu. </w:t>
      </w:r>
    </w:p>
    <w:p w:rsidR="00F22C31" w:rsidRPr="009824CD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9824CD">
        <w:rPr>
          <w:lang w:val="en-US"/>
        </w:rPr>
        <w:t xml:space="preserve">Uzáver môže byť bezpečne prepichnutý až </w:t>
      </w:r>
      <w:r>
        <w:rPr>
          <w:lang w:val="en-US"/>
        </w:rPr>
        <w:t>10</w:t>
      </w:r>
      <w:r w:rsidRPr="009824CD">
        <w:rPr>
          <w:lang w:val="en-US"/>
        </w:rPr>
        <w:t xml:space="preserve">0-krát. Pre viacnásobné použitie liekoviek </w:t>
      </w:r>
      <w:proofErr w:type="gramStart"/>
      <w:r w:rsidRPr="009824CD">
        <w:rPr>
          <w:lang w:val="en-US"/>
        </w:rPr>
        <w:t>sa</w:t>
      </w:r>
      <w:proofErr w:type="gramEnd"/>
      <w:r w:rsidRPr="009824CD">
        <w:rPr>
          <w:lang w:val="en-US"/>
        </w:rPr>
        <w:t xml:space="preserve"> odporúča nasávacia ihla </w:t>
      </w:r>
      <w:r w:rsidRPr="000A7AED">
        <w:rPr>
          <w:lang w:val="en-US"/>
        </w:rPr>
        <w:t>alebo</w:t>
      </w:r>
      <w:r w:rsidRPr="009824CD">
        <w:rPr>
          <w:lang w:val="en-US"/>
        </w:rPr>
        <w:t xml:space="preserve"> viacdávková injekčná striekačka, aby sa predišlo nadmernému prepichovaniu uzáveru.  </w:t>
      </w: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spacing w:after="0"/>
        <w:ind w:left="-4" w:right="0"/>
        <w:rPr>
          <w:lang w:val="en-US"/>
        </w:rPr>
      </w:pPr>
      <w:r w:rsidRPr="009824CD">
        <w:rPr>
          <w:lang w:val="en-US"/>
        </w:rPr>
        <w:lastRenderedPageBreak/>
        <w:t xml:space="preserve">4.10 Predávkovanie (príznaky, núdzové postupy, antidotá), </w:t>
      </w:r>
      <w:proofErr w:type="gramStart"/>
      <w:r w:rsidRPr="009824CD">
        <w:rPr>
          <w:lang w:val="en-US"/>
        </w:rPr>
        <w:t>ak</w:t>
      </w:r>
      <w:proofErr w:type="gramEnd"/>
      <w:r w:rsidRPr="009824CD">
        <w:rPr>
          <w:lang w:val="en-US"/>
        </w:rPr>
        <w:t xml:space="preserve"> sú potrebné </w:t>
      </w:r>
    </w:p>
    <w:p w:rsidR="00F22C31" w:rsidRPr="00775B1D" w:rsidRDefault="00F22C31" w:rsidP="00F22C31">
      <w:pPr>
        <w:spacing w:after="0"/>
        <w:rPr>
          <w:lang w:val="en-US"/>
        </w:rPr>
      </w:pPr>
    </w:p>
    <w:p w:rsidR="00F22C31" w:rsidRPr="009824CD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>
        <w:rPr>
          <w:lang w:val="en-US"/>
        </w:rPr>
        <w:t xml:space="preserve">U </w:t>
      </w:r>
      <w:r w:rsidRPr="009824CD">
        <w:rPr>
          <w:lang w:val="en-US"/>
        </w:rPr>
        <w:t xml:space="preserve">mladých ošípaných, s hmotnosťou približne 10 kg, po podaní troj- alebo päťnásobku liečebnej dávky boli </w:t>
      </w:r>
      <w:r w:rsidRPr="004B746F">
        <w:rPr>
          <w:lang w:val="en-US"/>
        </w:rPr>
        <w:t>pozorované</w:t>
      </w:r>
      <w:r w:rsidRPr="009824CD">
        <w:rPr>
          <w:lang w:val="en-US"/>
        </w:rPr>
        <w:t xml:space="preserve"> prechodné príznaky spojené s problémami v mieste vpichu a zahŕňali nadmernú vokalizáciu a nepokoj. Taktiež bolo pozorované krívanie, </w:t>
      </w:r>
      <w:proofErr w:type="gramStart"/>
      <w:r w:rsidRPr="009824CD">
        <w:rPr>
          <w:lang w:val="en-US"/>
        </w:rPr>
        <w:t>ak</w:t>
      </w:r>
      <w:proofErr w:type="gramEnd"/>
      <w:r w:rsidRPr="009824CD">
        <w:rPr>
          <w:lang w:val="en-US"/>
        </w:rPr>
        <w:t xml:space="preserve"> bola miestom aplikácie zadná noha. </w:t>
      </w:r>
    </w:p>
    <w:p w:rsidR="00F22C31" w:rsidRPr="009824CD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9824CD" w:rsidRDefault="00F22C31" w:rsidP="00F22C31">
      <w:pPr>
        <w:ind w:left="-4"/>
        <w:rPr>
          <w:lang w:val="en-US"/>
        </w:rPr>
      </w:pPr>
      <w:r w:rsidRPr="009824CD">
        <w:rPr>
          <w:b/>
          <w:lang w:val="en-US"/>
        </w:rPr>
        <w:t xml:space="preserve">4.11 Ochranná lehota </w:t>
      </w: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9824CD" w:rsidRDefault="00F22C31" w:rsidP="00F22C31">
      <w:pPr>
        <w:spacing w:after="15"/>
        <w:ind w:left="-4"/>
        <w:rPr>
          <w:lang w:val="en-US"/>
        </w:rPr>
      </w:pPr>
      <w:r w:rsidRPr="009824CD">
        <w:rPr>
          <w:lang w:val="en-US"/>
        </w:rPr>
        <w:t xml:space="preserve">Mäso a vnútornosti: </w:t>
      </w:r>
      <w:r>
        <w:rPr>
          <w:lang w:val="en-US"/>
        </w:rPr>
        <w:tab/>
      </w:r>
      <w:r w:rsidRPr="009824CD">
        <w:rPr>
          <w:lang w:val="en-US"/>
        </w:rPr>
        <w:t xml:space="preserve">13 dní. </w:t>
      </w:r>
    </w:p>
    <w:p w:rsidR="00F22C31" w:rsidRPr="009824CD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pStyle w:val="Nadpis1"/>
        <w:tabs>
          <w:tab w:val="center" w:pos="2410"/>
        </w:tabs>
        <w:spacing w:after="10" w:line="248" w:lineRule="auto"/>
        <w:ind w:left="-14" w:firstLine="0"/>
        <w:rPr>
          <w:lang w:val="en-US"/>
        </w:rPr>
      </w:pPr>
      <w:r w:rsidRPr="00BF7C4B">
        <w:rPr>
          <w:lang w:val="en-US"/>
        </w:rPr>
        <w:t xml:space="preserve">5. </w:t>
      </w:r>
      <w:r w:rsidRPr="00BF7C4B">
        <w:rPr>
          <w:lang w:val="en-US"/>
        </w:rPr>
        <w:tab/>
        <w:t>FARMAKOLOGICKÉ VLASTNOSTI</w:t>
      </w:r>
      <w:r w:rsidRPr="00BF7C4B">
        <w:rPr>
          <w:b w:val="0"/>
          <w:lang w:val="en-US"/>
        </w:rPr>
        <w:t xml:space="preserve">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Farmakoterapeutická skupina: antibakteriálne lieky </w:t>
      </w:r>
      <w:proofErr w:type="gramStart"/>
      <w:r w:rsidRPr="00BF7C4B">
        <w:rPr>
          <w:lang w:val="en-US"/>
        </w:rPr>
        <w:t>na</w:t>
      </w:r>
      <w:proofErr w:type="gramEnd"/>
      <w:r w:rsidRPr="00BF7C4B">
        <w:rPr>
          <w:lang w:val="en-US"/>
        </w:rPr>
        <w:t xml:space="preserve"> systémové použitie; makrolidy.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ATCvet kód: QJ01FA94.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tabs>
          <w:tab w:val="center" w:pos="1988"/>
        </w:tabs>
        <w:ind w:left="-14" w:right="0" w:firstLine="0"/>
        <w:rPr>
          <w:lang w:val="en-US"/>
        </w:rPr>
      </w:pPr>
      <w:r w:rsidRPr="00BF7C4B">
        <w:rPr>
          <w:lang w:val="en-US"/>
        </w:rPr>
        <w:t xml:space="preserve">5.1 </w:t>
      </w:r>
      <w:r w:rsidRPr="00BF7C4B">
        <w:rPr>
          <w:lang w:val="en-US"/>
        </w:rPr>
        <w:tab/>
        <w:t xml:space="preserve">Farmakodynamické vlastnosti </w:t>
      </w:r>
    </w:p>
    <w:p w:rsidR="00F22C31" w:rsidRPr="00C04D3C" w:rsidRDefault="00F22C31" w:rsidP="00F22C31">
      <w:pPr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>Tulatromycín je semi-syntetická makrolidová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antimikrobiálna látka, ktorá pochádza z fermentačného produktu. Odlišuje </w:t>
      </w:r>
      <w:proofErr w:type="gramStart"/>
      <w:r w:rsidRPr="00BF7C4B">
        <w:rPr>
          <w:lang w:val="en-US"/>
        </w:rPr>
        <w:t>sa</w:t>
      </w:r>
      <w:proofErr w:type="gramEnd"/>
      <w:r w:rsidRPr="00BF7C4B">
        <w:rPr>
          <w:lang w:val="en-US"/>
        </w:rPr>
        <w:t xml:space="preserve"> od mnohých iných makrolidov v tom, že má dlhotrvajúci účinok, ktorý je čiastočne spôsobený jeho tromi amínovými skupinami; preto dostal chemické podskupinové označenie triamilid. </w:t>
      </w:r>
    </w:p>
    <w:p w:rsidR="00F22C31" w:rsidRPr="00BF7C4B" w:rsidRDefault="00F22C31" w:rsidP="00F22C31">
      <w:pPr>
        <w:spacing w:after="52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>Makrolidy sú bakteriostaticky účinkujúce antibiotiká a inhibujú</w:t>
      </w:r>
      <w:r>
        <w:rPr>
          <w:lang w:val="en-US"/>
        </w:rPr>
        <w:t xml:space="preserve"> </w:t>
      </w:r>
      <w:r w:rsidRPr="00BF7C4B">
        <w:rPr>
          <w:lang w:val="en-US"/>
        </w:rPr>
        <w:t>ne</w:t>
      </w:r>
      <w:r>
        <w:rPr>
          <w:lang w:val="en-US"/>
        </w:rPr>
        <w:t xml:space="preserve">yhnutnú </w:t>
      </w:r>
      <w:r w:rsidRPr="00BF7C4B">
        <w:rPr>
          <w:lang w:val="en-US"/>
        </w:rPr>
        <w:t xml:space="preserve">biosyntézu bielkovín vďaka ich schopnosti selektívne </w:t>
      </w:r>
      <w:proofErr w:type="gramStart"/>
      <w:r w:rsidRPr="00BF7C4B">
        <w:rPr>
          <w:lang w:val="en-US"/>
        </w:rPr>
        <w:t>sa</w:t>
      </w:r>
      <w:proofErr w:type="gramEnd"/>
      <w:r w:rsidRPr="00BF7C4B">
        <w:rPr>
          <w:lang w:val="en-US"/>
        </w:rPr>
        <w:t xml:space="preserve"> viazať na bakteriálnu ribozomálnu RNA. Pôsobia prostredníctvom stimulácie disociácie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peptidyl-tRNA z ribozómu počas procesu translokácie. </w:t>
      </w:r>
    </w:p>
    <w:p w:rsidR="00F22C31" w:rsidRPr="00BF7C4B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Tulatromycín má </w:t>
      </w:r>
      <w:r w:rsidRPr="00BF7C4B">
        <w:rPr>
          <w:i/>
          <w:lang w:val="en-US"/>
        </w:rPr>
        <w:t xml:space="preserve">in vitro </w:t>
      </w:r>
      <w:r w:rsidRPr="00BF7C4B">
        <w:rPr>
          <w:lang w:val="en-US"/>
        </w:rPr>
        <w:t xml:space="preserve">účinnok proti </w:t>
      </w:r>
      <w:r w:rsidRPr="00BF7C4B">
        <w:rPr>
          <w:i/>
          <w:lang w:val="en-US"/>
        </w:rPr>
        <w:t>Actinobacillus pleuropneumoniae, Pasteurella multocida, Mycoplasma hyopneumoniae</w:t>
      </w:r>
      <w:r w:rsidRPr="00BF7C4B">
        <w:rPr>
          <w:lang w:val="en-US"/>
        </w:rPr>
        <w:t xml:space="preserve"> a </w:t>
      </w:r>
      <w:r w:rsidRPr="00BF7C4B">
        <w:rPr>
          <w:i/>
          <w:lang w:val="en-US"/>
        </w:rPr>
        <w:t>Haemophilus parasuis</w:t>
      </w:r>
      <w:r w:rsidRPr="00BF7C4B">
        <w:rPr>
          <w:lang w:val="en-US"/>
        </w:rPr>
        <w:t xml:space="preserve"> a </w:t>
      </w:r>
      <w:r w:rsidRPr="00BF7C4B">
        <w:rPr>
          <w:i/>
          <w:lang w:val="en-US"/>
        </w:rPr>
        <w:t>Bordetella bronchiseptica</w:t>
      </w:r>
      <w:r w:rsidRPr="00BF7C4B">
        <w:rPr>
          <w:lang w:val="en-US"/>
        </w:rPr>
        <w:t xml:space="preserve"> bakteriálnym patogénom najčastejšie spájaných s respiračným ochorením ošípaných. Zvýšené hodnoty minimálnej inhibičnej koncentrácie (MIC) boli zistené u niektorých izolátov</w:t>
      </w:r>
      <w:r>
        <w:rPr>
          <w:lang w:val="en-US"/>
        </w:rPr>
        <w:t xml:space="preserve"> </w:t>
      </w:r>
      <w:r w:rsidRPr="00BF7C4B">
        <w:rPr>
          <w:i/>
          <w:lang w:val="en-US"/>
        </w:rPr>
        <w:t>Actinobacillus pleuropneumoniae</w:t>
      </w:r>
      <w:r w:rsidRPr="00BF7C4B">
        <w:rPr>
          <w:lang w:val="en-US"/>
        </w:rPr>
        <w:t>.</w:t>
      </w:r>
    </w:p>
    <w:p w:rsidR="00F22C31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B1909">
        <w:rPr>
          <w:lang w:val="en-US"/>
        </w:rPr>
        <w:t>Inštitút pre klinické a laboratórne normy (Clinical and Laboratory Standards Institute, CLSI) stanovil</w:t>
      </w:r>
      <w:r>
        <w:rPr>
          <w:lang w:val="en-US"/>
        </w:rPr>
        <w:t xml:space="preserve"> </w:t>
      </w:r>
      <w:r w:rsidRPr="00AB1909">
        <w:rPr>
          <w:lang w:val="en-US"/>
        </w:rPr>
        <w:t xml:space="preserve">klinické limitné hodnoty tulatromycínu proti </w:t>
      </w:r>
      <w:r w:rsidRPr="00AB1909">
        <w:rPr>
          <w:i/>
          <w:iCs/>
          <w:lang w:val="en-US"/>
        </w:rPr>
        <w:t>P. multocida</w:t>
      </w:r>
      <w:r w:rsidRPr="00AB1909">
        <w:rPr>
          <w:lang w:val="en-US"/>
        </w:rPr>
        <w:t xml:space="preserve"> a </w:t>
      </w:r>
      <w:r w:rsidRPr="00AB1909">
        <w:rPr>
          <w:i/>
          <w:iCs/>
          <w:lang w:val="en-US"/>
        </w:rPr>
        <w:t>B. bronchiseptica</w:t>
      </w:r>
      <w:r w:rsidRPr="00AB1909">
        <w:rPr>
          <w:lang w:val="en-US"/>
        </w:rPr>
        <w:t xml:space="preserve"> prasačieho respiratórneho</w:t>
      </w:r>
      <w:r>
        <w:rPr>
          <w:lang w:val="en-US"/>
        </w:rPr>
        <w:t xml:space="preserve"> </w:t>
      </w:r>
      <w:r w:rsidRPr="00AB1909">
        <w:rPr>
          <w:lang w:val="en-US"/>
        </w:rPr>
        <w:t xml:space="preserve">pôvodu takto: ≤ 16 μg/ml citlivé a ≥ 64 μg/ml rezistentné. Pre </w:t>
      </w:r>
      <w:r w:rsidRPr="00AB1909">
        <w:rPr>
          <w:i/>
          <w:iCs/>
          <w:lang w:val="en-US"/>
        </w:rPr>
        <w:t>A. pleuropneumoniae</w:t>
      </w:r>
      <w:r w:rsidRPr="00AB1909">
        <w:rPr>
          <w:lang w:val="en-US"/>
        </w:rPr>
        <w:t xml:space="preserve"> prasačieho</w:t>
      </w:r>
      <w:r>
        <w:rPr>
          <w:lang w:val="en-US"/>
        </w:rPr>
        <w:t xml:space="preserve"> </w:t>
      </w:r>
      <w:r w:rsidRPr="00AB1909">
        <w:rPr>
          <w:lang w:val="en-US"/>
        </w:rPr>
        <w:t>respiratórného pôvodu bola stanovená limitná hodnota citlivosti ≤ 64 μg/ml. CLSI tiež zverejnil limity</w:t>
      </w:r>
      <w:r>
        <w:rPr>
          <w:lang w:val="en-US"/>
        </w:rPr>
        <w:t xml:space="preserve"> </w:t>
      </w:r>
      <w:r w:rsidRPr="00AB1909">
        <w:rPr>
          <w:lang w:val="en-US"/>
        </w:rPr>
        <w:t xml:space="preserve">pre tulatromycín založené </w:t>
      </w:r>
      <w:proofErr w:type="gramStart"/>
      <w:r w:rsidRPr="00AB1909">
        <w:rPr>
          <w:lang w:val="en-US"/>
        </w:rPr>
        <w:t>na</w:t>
      </w:r>
      <w:proofErr w:type="gramEnd"/>
      <w:r w:rsidRPr="00AB1909">
        <w:rPr>
          <w:lang w:val="en-US"/>
        </w:rPr>
        <w:t xml:space="preserve"> diskovej difúznej metóde (CLSI dokument VET08, 4th ed, 2018). Pre </w:t>
      </w:r>
      <w:r w:rsidRPr="00AB1909">
        <w:rPr>
          <w:i/>
          <w:iCs/>
          <w:lang w:val="en-US"/>
        </w:rPr>
        <w:t>H.</w:t>
      </w:r>
      <w:r>
        <w:rPr>
          <w:i/>
          <w:iCs/>
          <w:lang w:val="en-US"/>
        </w:rPr>
        <w:t xml:space="preserve"> </w:t>
      </w:r>
      <w:r w:rsidRPr="00AB1909">
        <w:rPr>
          <w:i/>
          <w:iCs/>
          <w:lang w:val="en-US"/>
        </w:rPr>
        <w:t>parasuis</w:t>
      </w:r>
      <w:r w:rsidRPr="00AB1909">
        <w:rPr>
          <w:lang w:val="en-US"/>
        </w:rPr>
        <w:t xml:space="preserve"> nie sú klinické limitné hodnoty k dispozícii. EUCAST ani CLSI nevyvinula štandardné metódy</w:t>
      </w:r>
      <w:r>
        <w:rPr>
          <w:lang w:val="en-US"/>
        </w:rPr>
        <w:t xml:space="preserve"> </w:t>
      </w:r>
      <w:r w:rsidRPr="00AB1909">
        <w:rPr>
          <w:lang w:val="en-US"/>
        </w:rPr>
        <w:t xml:space="preserve">testovania antibakteriálnych látok proti veterinárnym druhom </w:t>
      </w:r>
      <w:r w:rsidRPr="00AB1909">
        <w:rPr>
          <w:i/>
          <w:iCs/>
          <w:lang w:val="en-US"/>
        </w:rPr>
        <w:t>Mycoplasma</w:t>
      </w:r>
      <w:r w:rsidRPr="00AB1909">
        <w:rPr>
          <w:lang w:val="en-US"/>
        </w:rPr>
        <w:t>, a preto neboli stanovené</w:t>
      </w:r>
      <w:r>
        <w:rPr>
          <w:lang w:val="en-US"/>
        </w:rPr>
        <w:t xml:space="preserve"> </w:t>
      </w:r>
      <w:r w:rsidRPr="00AB1909">
        <w:rPr>
          <w:lang w:val="en-US"/>
        </w:rPr>
        <w:t>žiadne interpretačné kritériá.</w:t>
      </w:r>
    </w:p>
    <w:p w:rsidR="00F22C31" w:rsidRPr="00BF7C4B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 xml:space="preserve">Rezistencia </w:t>
      </w:r>
      <w:proofErr w:type="gramStart"/>
      <w:r w:rsidRPr="00BF7C4B">
        <w:rPr>
          <w:lang w:val="en-US"/>
        </w:rPr>
        <w:t>na</w:t>
      </w:r>
      <w:proofErr w:type="gramEnd"/>
      <w:r w:rsidRPr="00BF7C4B">
        <w:rPr>
          <w:lang w:val="en-US"/>
        </w:rPr>
        <w:t xml:space="preserve"> makrolidy sa môže vyvinúť mutáciami génov, ktoré kódujú ribozomálnu RNA (rRNA) alebo niektorý z ribozomálnych proteínov enzymatickou modifikáciou (metyláciou) cieľového miesta 23S rRNA</w:t>
      </w:r>
      <w:r>
        <w:rPr>
          <w:lang w:val="en-US"/>
        </w:rPr>
        <w:t>, čím sa</w:t>
      </w:r>
      <w:r w:rsidRPr="00BF7C4B">
        <w:rPr>
          <w:lang w:val="en-US"/>
        </w:rPr>
        <w:t xml:space="preserve"> </w:t>
      </w:r>
      <w:r>
        <w:rPr>
          <w:lang w:val="en-US"/>
        </w:rPr>
        <w:t>v</w:t>
      </w:r>
      <w:r w:rsidRPr="00BF7C4B">
        <w:rPr>
          <w:lang w:val="en-US"/>
        </w:rPr>
        <w:t>o všeobecnosti zvyšuje skrížená rezistencia s linkosamidmi a skupinou B streptogramínov (MLS</w:t>
      </w:r>
      <w:r w:rsidRPr="00BF7C4B">
        <w:rPr>
          <w:vertAlign w:val="subscript"/>
          <w:lang w:val="en-US"/>
        </w:rPr>
        <w:t>B</w:t>
      </w:r>
      <w:r w:rsidRPr="00BF7C4B">
        <w:rPr>
          <w:lang w:val="en-US"/>
        </w:rPr>
        <w:t xml:space="preserve"> rezistencia); buď enzymatickou inaktiváciou alebo makrolidovým</w:t>
      </w:r>
      <w:r>
        <w:rPr>
          <w:lang w:val="en-US"/>
        </w:rPr>
        <w:t xml:space="preserve"> </w:t>
      </w:r>
      <w:r w:rsidRPr="00BF7C4B">
        <w:rPr>
          <w:lang w:val="en-US"/>
        </w:rPr>
        <w:t>efluxom. MLS</w:t>
      </w:r>
      <w:r w:rsidRPr="00BF7C4B">
        <w:rPr>
          <w:vertAlign w:val="subscript"/>
          <w:lang w:val="en-US"/>
        </w:rPr>
        <w:t>B</w:t>
      </w:r>
      <w:r w:rsidRPr="00BF7C4B">
        <w:rPr>
          <w:lang w:val="en-US"/>
        </w:rPr>
        <w:t xml:space="preserve"> rezistencia môže byť vrodená alebo získaná. Rezistencia môže byť chromozomálna alebo kódovaná plazmidom a môže byť prenosná, </w:t>
      </w:r>
      <w:proofErr w:type="gramStart"/>
      <w:r w:rsidRPr="00BF7C4B">
        <w:rPr>
          <w:lang w:val="en-US"/>
        </w:rPr>
        <w:t>ak</w:t>
      </w:r>
      <w:proofErr w:type="gramEnd"/>
      <w:r w:rsidRPr="00BF7C4B">
        <w:rPr>
          <w:lang w:val="en-US"/>
        </w:rPr>
        <w:t xml:space="preserve"> je spojená s transpozónami</w:t>
      </w:r>
      <w:r>
        <w:rPr>
          <w:lang w:val="en-US"/>
        </w:rPr>
        <w:t xml:space="preserve">, </w:t>
      </w:r>
      <w:r w:rsidRPr="00BF7C4B">
        <w:rPr>
          <w:lang w:val="en-US"/>
        </w:rPr>
        <w:t>plazmidami</w:t>
      </w:r>
      <w:r>
        <w:rPr>
          <w:lang w:val="en-US"/>
        </w:rPr>
        <w:t>, i</w:t>
      </w:r>
      <w:r w:rsidRPr="00AB1909">
        <w:rPr>
          <w:lang w:val="en-US"/>
        </w:rPr>
        <w:t>ntegračnými</w:t>
      </w:r>
      <w:r>
        <w:rPr>
          <w:lang w:val="en-US"/>
        </w:rPr>
        <w:t xml:space="preserve"> </w:t>
      </w:r>
      <w:r w:rsidRPr="00AB1909">
        <w:rPr>
          <w:lang w:val="en-US"/>
        </w:rPr>
        <w:t>a konjugačnými prvkami. Navyše plasticitu genómu mykoplazmy zvyšuje horizontálny transfer</w:t>
      </w:r>
      <w:r>
        <w:rPr>
          <w:lang w:val="en-US"/>
        </w:rPr>
        <w:t xml:space="preserve"> </w:t>
      </w:r>
      <w:r w:rsidRPr="00AB1909">
        <w:rPr>
          <w:lang w:val="en-US"/>
        </w:rPr>
        <w:t>veľkých chromozomálnych fragmentov.</w:t>
      </w:r>
      <w:r w:rsidRPr="00BF7C4B">
        <w:rPr>
          <w:lang w:val="en-US"/>
        </w:rPr>
        <w:t xml:space="preserve">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>Okrem svojich antimikrobiálnych vlastností vykazuje tulatromycín v experimentálnych štúdiách imunomodulačné a protizápalové účinky. V prasacích polymorfných nukleárnych bunkách (PMNs, neutrofiloch) spúšťa</w:t>
      </w:r>
      <w:r>
        <w:rPr>
          <w:lang w:val="en-US"/>
        </w:rPr>
        <w:t xml:space="preserve"> </w:t>
      </w:r>
      <w:r w:rsidRPr="00BF7C4B">
        <w:rPr>
          <w:lang w:val="en-US"/>
        </w:rPr>
        <w:t>tulatromycín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apoptózu (programovanú bunkovú smrť) </w:t>
      </w:r>
      <w:proofErr w:type="gramStart"/>
      <w:r w:rsidRPr="00BF7C4B">
        <w:rPr>
          <w:lang w:val="en-US"/>
        </w:rPr>
        <w:t>a</w:t>
      </w:r>
      <w:proofErr w:type="gramEnd"/>
      <w:r w:rsidRPr="00BF7C4B">
        <w:rPr>
          <w:lang w:val="en-US"/>
        </w:rPr>
        <w:t xml:space="preserve"> odstránenie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apoptotických </w:t>
      </w:r>
      <w:r w:rsidRPr="00BF7C4B">
        <w:rPr>
          <w:lang w:val="en-US"/>
        </w:rPr>
        <w:lastRenderedPageBreak/>
        <w:t>buniek makrofágmi. Znižuje produkciu prozápalových</w:t>
      </w:r>
      <w:r>
        <w:rPr>
          <w:lang w:val="en-US"/>
        </w:rPr>
        <w:t xml:space="preserve"> </w:t>
      </w:r>
      <w:r w:rsidRPr="00BF7C4B">
        <w:rPr>
          <w:lang w:val="en-US"/>
        </w:rPr>
        <w:t>mediátorov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leukotriénu B4 a CXCL-8 </w:t>
      </w:r>
      <w:proofErr w:type="gramStart"/>
      <w:r w:rsidRPr="00BF7C4B">
        <w:rPr>
          <w:lang w:val="en-US"/>
        </w:rPr>
        <w:t>a</w:t>
      </w:r>
      <w:proofErr w:type="gramEnd"/>
      <w:r w:rsidRPr="00BF7C4B">
        <w:rPr>
          <w:lang w:val="en-US"/>
        </w:rPr>
        <w:t xml:space="preserve"> indukuje produkciu protizápalového lipidu lipoxínu A4, podporujúceho hojenie zápalov. </w:t>
      </w:r>
    </w:p>
    <w:p w:rsidR="00F22C31" w:rsidRPr="00BF7C4B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F22C31" w:rsidRDefault="00F22C31" w:rsidP="00F22C31">
      <w:pPr>
        <w:spacing w:after="160" w:line="259" w:lineRule="auto"/>
        <w:ind w:left="0" w:firstLine="0"/>
        <w:rPr>
          <w:b/>
          <w:lang w:val="en-US"/>
        </w:rPr>
      </w:pPr>
      <w:r w:rsidRPr="00734EC8">
        <w:rPr>
          <w:b/>
          <w:lang w:val="en-US"/>
        </w:rPr>
        <w:t xml:space="preserve">5.2 </w:t>
      </w:r>
      <w:r w:rsidRPr="00734EC8">
        <w:rPr>
          <w:b/>
          <w:lang w:val="en-US"/>
        </w:rPr>
        <w:tab/>
        <w:t xml:space="preserve">Farmakokinetické údaje </w:t>
      </w:r>
    </w:p>
    <w:p w:rsidR="00F22C31" w:rsidRPr="00BF7C4B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BF7C4B">
        <w:rPr>
          <w:lang w:val="en-US"/>
        </w:rPr>
        <w:t>Farmakokinetický profil tulatromycínu u ošípaných po podaní jednorazovej intramuskulárnej dávky 2</w:t>
      </w:r>
      <w:proofErr w:type="gramStart"/>
      <w:r w:rsidRPr="00BF7C4B">
        <w:rPr>
          <w:lang w:val="en-US"/>
        </w:rPr>
        <w:t>,5</w:t>
      </w:r>
      <w:proofErr w:type="gramEnd"/>
      <w:r w:rsidRPr="00BF7C4B">
        <w:rPr>
          <w:lang w:val="en-US"/>
        </w:rPr>
        <w:t xml:space="preserve"> mg/kg živej hmotnosti bol charakterizovaný rýchlou a výraznou absorbciou a následne rozsiahlou distribúciou a pomalou elimináciou. Maximálna koncentrácia (C</w:t>
      </w:r>
      <w:r w:rsidRPr="00BF7C4B">
        <w:rPr>
          <w:vertAlign w:val="subscript"/>
          <w:lang w:val="en-US"/>
        </w:rPr>
        <w:t>max</w:t>
      </w:r>
      <w:r w:rsidRPr="00BF7C4B">
        <w:rPr>
          <w:lang w:val="en-US"/>
        </w:rPr>
        <w:t>) v plazme bola približne 0</w:t>
      </w:r>
      <w:proofErr w:type="gramStart"/>
      <w:r w:rsidRPr="00BF7C4B">
        <w:rPr>
          <w:lang w:val="en-US"/>
        </w:rPr>
        <w:t>,6</w:t>
      </w:r>
      <w:proofErr w:type="gramEnd"/>
      <w:r w:rsidRPr="00BF7C4B">
        <w:rPr>
          <w:lang w:val="en-US"/>
        </w:rPr>
        <w:t xml:space="preserve"> </w:t>
      </w:r>
      <w:r>
        <w:t>μ</w:t>
      </w:r>
      <w:r w:rsidRPr="00BF7C4B">
        <w:rPr>
          <w:lang w:val="en-US"/>
        </w:rPr>
        <w:t>g/ml; dosiahnutá približne 30 minút po aplikácii dávky (T</w:t>
      </w:r>
      <w:r w:rsidRPr="00BF7C4B">
        <w:rPr>
          <w:sz w:val="14"/>
          <w:lang w:val="en-US"/>
        </w:rPr>
        <w:t>max</w:t>
      </w:r>
      <w:r w:rsidRPr="00BF7C4B">
        <w:rPr>
          <w:lang w:val="en-US"/>
        </w:rPr>
        <w:t xml:space="preserve">). Koncentrácie tulatromycínu v pľúcnom homogenáte boli podstatne vyššie než v plazme. Existujú jasné dôkazy o významnej akumulácii tulatromycínu v neutrofiloch </w:t>
      </w:r>
      <w:proofErr w:type="gramStart"/>
      <w:r w:rsidRPr="00BF7C4B">
        <w:rPr>
          <w:lang w:val="en-US"/>
        </w:rPr>
        <w:t>a</w:t>
      </w:r>
      <w:proofErr w:type="gramEnd"/>
      <w:r w:rsidRPr="00BF7C4B">
        <w:rPr>
          <w:lang w:val="en-US"/>
        </w:rPr>
        <w:t xml:space="preserve"> alveolárnych makrofágoch. Avšak </w:t>
      </w:r>
      <w:r w:rsidRPr="00BF7C4B">
        <w:rPr>
          <w:i/>
          <w:lang w:val="en-US"/>
        </w:rPr>
        <w:t>in vivo</w:t>
      </w:r>
      <w:r w:rsidRPr="00BF7C4B">
        <w:rPr>
          <w:lang w:val="en-US"/>
        </w:rPr>
        <w:t xml:space="preserve"> koncentrácia tulatromycínu v mieste infekcie pľúc nie je známa. </w:t>
      </w:r>
      <w:r>
        <w:rPr>
          <w:lang w:val="en-US"/>
        </w:rPr>
        <w:t>Po maximálnych koncentráciách nasledoval pomalý pokles</w:t>
      </w:r>
      <w:r w:rsidRPr="00BF7C4B">
        <w:rPr>
          <w:lang w:val="en-US"/>
        </w:rPr>
        <w:t xml:space="preserve"> systémovej expozície, s</w:t>
      </w:r>
      <w:r>
        <w:rPr>
          <w:lang w:val="en-US"/>
        </w:rPr>
        <w:t xml:space="preserve">o zreteľným </w:t>
      </w:r>
      <w:r w:rsidRPr="00BF7C4B">
        <w:rPr>
          <w:lang w:val="en-US"/>
        </w:rPr>
        <w:t>polčasom eliminácie (t</w:t>
      </w:r>
      <w:r w:rsidRPr="00BF7C4B">
        <w:rPr>
          <w:vertAlign w:val="subscript"/>
          <w:lang w:val="en-US"/>
        </w:rPr>
        <w:t>1/2</w:t>
      </w:r>
      <w:r w:rsidRPr="00BF7C4B">
        <w:rPr>
          <w:lang w:val="en-US"/>
        </w:rPr>
        <w:t xml:space="preserve">) 91 hodín, v plazme. Väzba </w:t>
      </w:r>
      <w:proofErr w:type="gramStart"/>
      <w:r w:rsidRPr="00BF7C4B">
        <w:rPr>
          <w:lang w:val="en-US"/>
        </w:rPr>
        <w:t>na</w:t>
      </w:r>
      <w:proofErr w:type="gramEnd"/>
      <w:r w:rsidRPr="00BF7C4B">
        <w:rPr>
          <w:lang w:val="en-US"/>
        </w:rPr>
        <w:t xml:space="preserve"> proteíny plazmy bola nízka, približne 40 %. Objem distribúcie v ustálenom stave (V</w:t>
      </w:r>
      <w:r w:rsidRPr="00BF7C4B">
        <w:rPr>
          <w:vertAlign w:val="subscript"/>
          <w:lang w:val="en-US"/>
        </w:rPr>
        <w:t>ss</w:t>
      </w:r>
      <w:r w:rsidRPr="00BF7C4B">
        <w:rPr>
          <w:lang w:val="en-US"/>
        </w:rPr>
        <w:t>) stanovený po intravenóznej aplikácii bol 13</w:t>
      </w:r>
      <w:proofErr w:type="gramStart"/>
      <w:r w:rsidRPr="00BF7C4B">
        <w:rPr>
          <w:lang w:val="en-US"/>
        </w:rPr>
        <w:t>,2</w:t>
      </w:r>
      <w:proofErr w:type="gramEnd"/>
      <w:r w:rsidRPr="00BF7C4B">
        <w:rPr>
          <w:lang w:val="en-US"/>
        </w:rPr>
        <w:t xml:space="preserve"> l/kg. Biologická dostupnosť tulatromycínu</w:t>
      </w:r>
      <w:r>
        <w:rPr>
          <w:lang w:val="en-US"/>
        </w:rPr>
        <w:t xml:space="preserve"> </w:t>
      </w:r>
      <w:r w:rsidRPr="00BF7C4B">
        <w:rPr>
          <w:lang w:val="en-US"/>
        </w:rPr>
        <w:t xml:space="preserve">po intramuskulárnej aplikácii u ošípaných bola približne 88 %.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BF7C4B" w:rsidRDefault="00F22C31" w:rsidP="00F22C31">
      <w:pPr>
        <w:pStyle w:val="Nadpis1"/>
        <w:tabs>
          <w:tab w:val="center" w:pos="1957"/>
        </w:tabs>
        <w:spacing w:after="10" w:line="248" w:lineRule="auto"/>
        <w:ind w:left="-14" w:firstLine="0"/>
        <w:rPr>
          <w:lang w:val="en-US"/>
        </w:rPr>
      </w:pPr>
      <w:r w:rsidRPr="00BF7C4B">
        <w:rPr>
          <w:lang w:val="en-US"/>
        </w:rPr>
        <w:t xml:space="preserve">6. </w:t>
      </w:r>
      <w:r w:rsidRPr="00BF7C4B">
        <w:rPr>
          <w:lang w:val="en-US"/>
        </w:rPr>
        <w:tab/>
        <w:t xml:space="preserve">FARMACEUTICKÉ ÚDAJE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A94888" w:rsidRDefault="00F22C31" w:rsidP="00F22C31">
      <w:pPr>
        <w:pStyle w:val="Nadpis2"/>
        <w:tabs>
          <w:tab w:val="center" w:pos="1785"/>
        </w:tabs>
        <w:ind w:left="-14" w:right="0" w:firstLine="0"/>
        <w:rPr>
          <w:lang w:val="en-US"/>
        </w:rPr>
      </w:pPr>
      <w:r w:rsidRPr="00A94888">
        <w:rPr>
          <w:lang w:val="en-US"/>
        </w:rPr>
        <w:t xml:space="preserve">6.1 </w:t>
      </w:r>
      <w:r w:rsidRPr="00A94888">
        <w:rPr>
          <w:lang w:val="en-US"/>
        </w:rPr>
        <w:tab/>
        <w:t xml:space="preserve">Zoznam pomocných látok </w:t>
      </w:r>
    </w:p>
    <w:p w:rsidR="00F22C31" w:rsidRPr="00A94888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Monotioglycerol </w:t>
      </w: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Propylénglykol </w:t>
      </w: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Kyselina citrónová </w:t>
      </w: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>Kyselina chlorovodíková (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úpravu pH) </w:t>
      </w: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>Hydroxid sodný (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úpravu pH) </w:t>
      </w: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Voda 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injekciu </w:t>
      </w:r>
    </w:p>
    <w:p w:rsidR="00F22C31" w:rsidRPr="00A94888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tabs>
          <w:tab w:val="center" w:pos="1720"/>
        </w:tabs>
        <w:spacing w:after="0"/>
        <w:ind w:left="-14" w:right="0" w:firstLine="0"/>
        <w:rPr>
          <w:lang w:val="en-US"/>
        </w:rPr>
      </w:pPr>
      <w:r w:rsidRPr="00A94888">
        <w:rPr>
          <w:lang w:val="en-US"/>
        </w:rPr>
        <w:t xml:space="preserve">6.2 </w:t>
      </w:r>
      <w:r w:rsidRPr="00A94888">
        <w:rPr>
          <w:lang w:val="en-US"/>
        </w:rPr>
        <w:tab/>
        <w:t xml:space="preserve">Závažné inkompatibility </w:t>
      </w:r>
    </w:p>
    <w:p w:rsidR="00F22C31" w:rsidRPr="00775B1D" w:rsidRDefault="00F22C31" w:rsidP="00F22C31">
      <w:pPr>
        <w:rPr>
          <w:lang w:val="en-US"/>
        </w:rPr>
      </w:pPr>
    </w:p>
    <w:p w:rsidR="00F22C31" w:rsidRPr="00A94888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Z dôvodu </w:t>
      </w:r>
      <w:r w:rsidRPr="004B746F">
        <w:rPr>
          <w:lang w:val="en-US"/>
        </w:rPr>
        <w:t>chýbania</w:t>
      </w:r>
      <w:r w:rsidRPr="00A94888">
        <w:rPr>
          <w:lang w:val="en-US"/>
        </w:rPr>
        <w:t xml:space="preserve"> </w:t>
      </w:r>
      <w:r w:rsidRPr="000A7AED">
        <w:rPr>
          <w:lang w:val="en-US"/>
        </w:rPr>
        <w:t>štúdií</w:t>
      </w:r>
      <w:r w:rsidRPr="00A94888">
        <w:rPr>
          <w:lang w:val="en-US"/>
        </w:rPr>
        <w:t xml:space="preserve"> </w:t>
      </w:r>
      <w:r w:rsidRPr="000A7AED">
        <w:rPr>
          <w:lang w:val="en-US"/>
        </w:rPr>
        <w:t>kompatibility</w:t>
      </w:r>
      <w:r w:rsidRPr="00A94888">
        <w:rPr>
          <w:lang w:val="en-US"/>
        </w:rPr>
        <w:t xml:space="preserve">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tento veterinárny liek nesmie miešať s inými veterinárnymi liekmi. </w:t>
      </w:r>
    </w:p>
    <w:p w:rsidR="00F22C31" w:rsidRPr="00A94888" w:rsidRDefault="00F22C31" w:rsidP="00F22C31">
      <w:pPr>
        <w:spacing w:after="48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tabs>
          <w:tab w:val="center" w:pos="1392"/>
        </w:tabs>
        <w:spacing w:after="1" w:line="258" w:lineRule="auto"/>
        <w:ind w:left="-14" w:right="0" w:firstLine="0"/>
        <w:rPr>
          <w:lang w:val="en-US"/>
        </w:rPr>
      </w:pPr>
      <w:r w:rsidRPr="00A94888">
        <w:rPr>
          <w:lang w:val="en-US"/>
        </w:rPr>
        <w:t xml:space="preserve">6.3 </w:t>
      </w:r>
      <w:r w:rsidRPr="00A94888">
        <w:rPr>
          <w:lang w:val="en-US"/>
        </w:rPr>
        <w:tab/>
      </w:r>
      <w:proofErr w:type="gramStart"/>
      <w:r w:rsidRPr="00A94888">
        <w:rPr>
          <w:lang w:val="en-US"/>
        </w:rPr>
        <w:t>Čas</w:t>
      </w:r>
      <w:proofErr w:type="gramEnd"/>
      <w:r w:rsidRPr="00A94888">
        <w:rPr>
          <w:lang w:val="en-US"/>
        </w:rPr>
        <w:t xml:space="preserve"> použiteľnosti </w:t>
      </w:r>
    </w:p>
    <w:p w:rsidR="00F22C31" w:rsidRPr="00775B1D" w:rsidRDefault="00F22C31" w:rsidP="00F22C31">
      <w:pPr>
        <w:rPr>
          <w:lang w:val="en-US"/>
        </w:rPr>
      </w:pPr>
    </w:p>
    <w:p w:rsidR="00F22C31" w:rsidRPr="00491E95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proofErr w:type="gramStart"/>
      <w:r w:rsidRPr="00A94888">
        <w:rPr>
          <w:lang w:val="en-US"/>
        </w:rPr>
        <w:t>Čas</w:t>
      </w:r>
      <w:proofErr w:type="gramEnd"/>
      <w:r w:rsidRPr="00A94888">
        <w:rPr>
          <w:lang w:val="en-US"/>
        </w:rPr>
        <w:t xml:space="preserve"> </w:t>
      </w:r>
      <w:r w:rsidRPr="00491E95">
        <w:rPr>
          <w:lang w:val="en-US"/>
        </w:rPr>
        <w:t>použiteľnosti</w:t>
      </w:r>
      <w:r w:rsidRPr="00A94888">
        <w:rPr>
          <w:lang w:val="en-US"/>
        </w:rPr>
        <w:t xml:space="preserve"> </w:t>
      </w:r>
      <w:r w:rsidRPr="004B746F">
        <w:rPr>
          <w:lang w:val="en-US"/>
        </w:rPr>
        <w:t>veterinárneho</w:t>
      </w:r>
      <w:r w:rsidRPr="00A94888">
        <w:rPr>
          <w:lang w:val="en-US"/>
        </w:rPr>
        <w:t xml:space="preserve"> lieku zabaleného v neporušenom obale: </w:t>
      </w:r>
      <w:r>
        <w:rPr>
          <w:lang w:val="en-US"/>
        </w:rPr>
        <w:t>2 roky</w:t>
      </w:r>
      <w:r w:rsidRPr="00491E95">
        <w:rPr>
          <w:lang w:val="en-US"/>
        </w:rPr>
        <w:t>.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proofErr w:type="gramStart"/>
      <w:r w:rsidRPr="00A94888">
        <w:rPr>
          <w:lang w:val="en-US"/>
        </w:rPr>
        <w:t>Čas</w:t>
      </w:r>
      <w:proofErr w:type="gramEnd"/>
      <w:r w:rsidRPr="00A94888">
        <w:rPr>
          <w:lang w:val="en-US"/>
        </w:rPr>
        <w:t xml:space="preserve"> použiteľnosti po prvom otvorení vnútorného obalu: 28 dní.</w:t>
      </w:r>
    </w:p>
    <w:p w:rsidR="00F22C31" w:rsidRPr="00A94888" w:rsidRDefault="00F22C31" w:rsidP="00F22C31">
      <w:pPr>
        <w:spacing w:after="57" w:line="259" w:lineRule="auto"/>
        <w:ind w:left="1" w:firstLine="0"/>
        <w:rPr>
          <w:lang w:val="en-US"/>
        </w:rPr>
      </w:pPr>
    </w:p>
    <w:p w:rsidR="00F22C31" w:rsidRDefault="00F22C31" w:rsidP="00F22C31">
      <w:pPr>
        <w:tabs>
          <w:tab w:val="center" w:pos="2879"/>
        </w:tabs>
        <w:spacing w:after="1" w:line="258" w:lineRule="auto"/>
        <w:ind w:left="-14" w:firstLine="0"/>
        <w:rPr>
          <w:b/>
          <w:lang w:val="en-US"/>
        </w:rPr>
      </w:pPr>
      <w:r w:rsidRPr="00A94888">
        <w:rPr>
          <w:b/>
          <w:lang w:val="en-US"/>
        </w:rPr>
        <w:t xml:space="preserve">6.4. </w:t>
      </w:r>
      <w:r w:rsidRPr="00A94888">
        <w:rPr>
          <w:b/>
          <w:lang w:val="en-US"/>
        </w:rPr>
        <w:tab/>
        <w:t xml:space="preserve">Osobitné bezpečnostné opatrenia </w:t>
      </w:r>
      <w:proofErr w:type="gramStart"/>
      <w:r w:rsidRPr="00A94888">
        <w:rPr>
          <w:b/>
          <w:lang w:val="en-US"/>
        </w:rPr>
        <w:t>na</w:t>
      </w:r>
      <w:proofErr w:type="gramEnd"/>
      <w:r w:rsidRPr="00A94888">
        <w:rPr>
          <w:b/>
          <w:lang w:val="en-US"/>
        </w:rPr>
        <w:t xml:space="preserve"> uchovávanie</w:t>
      </w:r>
    </w:p>
    <w:p w:rsidR="00F22C31" w:rsidRPr="00A94888" w:rsidRDefault="00F22C31" w:rsidP="00F22C31">
      <w:pPr>
        <w:tabs>
          <w:tab w:val="center" w:pos="2879"/>
        </w:tabs>
        <w:spacing w:after="1" w:line="258" w:lineRule="auto"/>
        <w:ind w:left="-14" w:firstLine="0"/>
        <w:rPr>
          <w:lang w:val="en-US"/>
        </w:rPr>
      </w:pPr>
      <w:r w:rsidRPr="00A94888">
        <w:rPr>
          <w:b/>
          <w:lang w:val="en-US"/>
        </w:rPr>
        <w:t xml:space="preserve"> </w:t>
      </w:r>
    </w:p>
    <w:p w:rsidR="00F22C31" w:rsidRPr="00491E95" w:rsidRDefault="00F22C31" w:rsidP="00F22C31">
      <w:pPr>
        <w:spacing w:after="0" w:line="250" w:lineRule="auto"/>
        <w:ind w:left="0" w:firstLine="0"/>
        <w:jc w:val="both"/>
        <w:rPr>
          <w:i/>
          <w:lang w:val="en-US"/>
        </w:rPr>
      </w:pPr>
      <w:r w:rsidRPr="00491E95">
        <w:rPr>
          <w:lang w:val="en-US"/>
        </w:rPr>
        <w:t xml:space="preserve">Uchovávať pri teplote neprevyšujúcej </w:t>
      </w:r>
      <w:r>
        <w:rPr>
          <w:lang w:val="en-US"/>
        </w:rPr>
        <w:t>30</w:t>
      </w:r>
      <w:r w:rsidRPr="00491E95">
        <w:rPr>
          <w:lang w:val="en-US"/>
        </w:rPr>
        <w:t> </w:t>
      </w:r>
      <w:r>
        <w:sym w:font="Symbol" w:char="F0B0"/>
      </w:r>
      <w:r w:rsidRPr="00491E95">
        <w:rPr>
          <w:lang w:val="en-US"/>
        </w:rPr>
        <w:t>C.</w:t>
      </w:r>
    </w:p>
    <w:p w:rsidR="00F22C31" w:rsidRPr="00A94888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tabs>
          <w:tab w:val="center" w:pos="2408"/>
        </w:tabs>
        <w:ind w:left="-14" w:right="0" w:firstLine="0"/>
        <w:rPr>
          <w:lang w:val="en-US"/>
        </w:rPr>
      </w:pPr>
      <w:r w:rsidRPr="00A94888">
        <w:rPr>
          <w:lang w:val="en-US"/>
        </w:rPr>
        <w:t xml:space="preserve">6.5 </w:t>
      </w:r>
      <w:r w:rsidRPr="00A94888">
        <w:rPr>
          <w:lang w:val="en-US"/>
        </w:rPr>
        <w:tab/>
        <w:t xml:space="preserve">Charakter a zloženie vnútorného obalu </w:t>
      </w:r>
    </w:p>
    <w:p w:rsidR="00F22C31" w:rsidRPr="00734EC8" w:rsidRDefault="00F22C31" w:rsidP="00F22C31">
      <w:pPr>
        <w:rPr>
          <w:lang w:val="en-US"/>
        </w:rPr>
      </w:pP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2841F2">
        <w:rPr>
          <w:lang w:val="en-US"/>
        </w:rPr>
        <w:t>Fľaša zo skla typu II s brómbutylovou gumovou zátkou a hliníkovým uzáverom</w:t>
      </w:r>
      <w:r>
        <w:rPr>
          <w:lang w:val="en-US"/>
        </w:rPr>
        <w:t>.</w:t>
      </w:r>
    </w:p>
    <w:p w:rsidR="00F22C31" w:rsidRPr="00F62E92" w:rsidRDefault="00F22C31" w:rsidP="00F22C31">
      <w:pPr>
        <w:spacing w:before="120" w:after="0" w:line="250" w:lineRule="auto"/>
        <w:ind w:left="0" w:firstLine="0"/>
        <w:jc w:val="both"/>
        <w:rPr>
          <w:highlight w:val="yellow"/>
          <w:lang w:val="en-US"/>
        </w:rPr>
      </w:pPr>
    </w:p>
    <w:p w:rsidR="00F22C31" w:rsidRPr="002841F2" w:rsidRDefault="00F22C31" w:rsidP="00F22C31">
      <w:pPr>
        <w:spacing w:after="33" w:line="259" w:lineRule="auto"/>
        <w:ind w:left="-4"/>
        <w:rPr>
          <w:lang w:val="en-US"/>
        </w:rPr>
      </w:pPr>
      <w:r w:rsidRPr="002841F2">
        <w:rPr>
          <w:u w:val="single" w:color="000000"/>
          <w:lang w:val="en-US"/>
        </w:rPr>
        <w:t>Veľkosti balenia:</w:t>
      </w:r>
      <w:r w:rsidRPr="002841F2">
        <w:rPr>
          <w:lang w:val="en-US"/>
        </w:rPr>
        <w:t xml:space="preserve"> </w:t>
      </w:r>
    </w:p>
    <w:p w:rsidR="00F22C31" w:rsidRPr="002841F2" w:rsidRDefault="00F22C31" w:rsidP="00F22C31">
      <w:pPr>
        <w:spacing w:after="0" w:line="247" w:lineRule="auto"/>
        <w:ind w:left="0" w:hanging="11"/>
        <w:rPr>
          <w:lang w:val="en-US"/>
        </w:rPr>
      </w:pPr>
      <w:r w:rsidRPr="00C2773A">
        <w:rPr>
          <w:lang w:val="en-US"/>
        </w:rPr>
        <w:t>Kartónová krabica obsahujúca</w:t>
      </w:r>
      <w:r w:rsidRPr="002841F2">
        <w:rPr>
          <w:lang w:val="en-US"/>
        </w:rPr>
        <w:t xml:space="preserve"> 1 liekovku s objemom 100 ml</w:t>
      </w:r>
      <w:r>
        <w:rPr>
          <w:lang w:val="en-US"/>
        </w:rPr>
        <w:t>.</w:t>
      </w:r>
    </w:p>
    <w:p w:rsidR="00F22C31" w:rsidRPr="00A94888" w:rsidRDefault="00F22C31" w:rsidP="00F22C31">
      <w:pPr>
        <w:ind w:left="-4"/>
        <w:rPr>
          <w:lang w:val="en-US"/>
        </w:rPr>
      </w:pPr>
      <w:r w:rsidRPr="00C2773A">
        <w:rPr>
          <w:lang w:val="en-US"/>
        </w:rPr>
        <w:t>Kartónová krabica obsahujúca</w:t>
      </w:r>
      <w:r w:rsidRPr="002841F2">
        <w:rPr>
          <w:lang w:val="en-US"/>
        </w:rPr>
        <w:t xml:space="preserve"> 1 liekovku s objemom 250 ml</w:t>
      </w:r>
      <w:r>
        <w:rPr>
          <w:lang w:val="en-US"/>
        </w:rPr>
        <w:t>.</w:t>
      </w:r>
    </w:p>
    <w:p w:rsidR="00F22C31" w:rsidRPr="00A94888" w:rsidRDefault="00F22C31" w:rsidP="00F22C31">
      <w:pPr>
        <w:spacing w:after="45" w:line="259" w:lineRule="auto"/>
        <w:ind w:left="1" w:firstLine="0"/>
        <w:rPr>
          <w:lang w:val="en-US"/>
        </w:rPr>
      </w:pPr>
    </w:p>
    <w:p w:rsidR="00F22C31" w:rsidRPr="00A94888" w:rsidRDefault="00F22C31" w:rsidP="00F22C31">
      <w:pPr>
        <w:ind w:left="-4"/>
        <w:rPr>
          <w:lang w:val="en-US"/>
        </w:rPr>
      </w:pPr>
      <w:r w:rsidRPr="00A94888">
        <w:rPr>
          <w:lang w:val="en-US"/>
        </w:rPr>
        <w:lastRenderedPageBreak/>
        <w:t xml:space="preserve">Nie všetky veľkosti balenia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musia uvádzať na trh.</w:t>
      </w:r>
    </w:p>
    <w:p w:rsidR="00F22C31" w:rsidRPr="00A94888" w:rsidRDefault="00F22C31" w:rsidP="00F22C31">
      <w:pPr>
        <w:spacing w:after="61" w:line="259" w:lineRule="auto"/>
        <w:ind w:left="1" w:firstLine="0"/>
        <w:rPr>
          <w:lang w:val="en-US"/>
        </w:rPr>
      </w:pPr>
    </w:p>
    <w:p w:rsidR="00F22C31" w:rsidRDefault="00F22C31" w:rsidP="00F22C31">
      <w:pPr>
        <w:pStyle w:val="Nadpis2"/>
        <w:spacing w:after="0" w:line="258" w:lineRule="auto"/>
        <w:ind w:left="-4" w:right="0"/>
        <w:rPr>
          <w:lang w:val="en-US"/>
        </w:rPr>
      </w:pPr>
      <w:r w:rsidRPr="00A94888">
        <w:rPr>
          <w:lang w:val="en-US"/>
        </w:rPr>
        <w:t>6.6</w:t>
      </w:r>
      <w:r w:rsidRPr="00A94888">
        <w:rPr>
          <w:b w:val="0"/>
          <w:lang w:val="en-US"/>
        </w:rPr>
        <w:t xml:space="preserve"> </w:t>
      </w:r>
      <w:r w:rsidRPr="00A94888">
        <w:rPr>
          <w:b w:val="0"/>
          <w:lang w:val="en-US"/>
        </w:rPr>
        <w:tab/>
      </w:r>
      <w:r w:rsidRPr="00A94888">
        <w:rPr>
          <w:lang w:val="en-US"/>
        </w:rPr>
        <w:t xml:space="preserve">Osobitné bezpečnostné opatrenia 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zneškodňovanie nepoužitých veterinárnych liekov, prípadne odpadových materiálov vytvorených pri používaní týchto liekov </w:t>
      </w:r>
    </w:p>
    <w:p w:rsidR="00F22C31" w:rsidRPr="001B57C1" w:rsidRDefault="00F22C31" w:rsidP="00F22C31">
      <w:pPr>
        <w:spacing w:after="0"/>
        <w:rPr>
          <w:lang w:val="en-US"/>
        </w:rPr>
      </w:pPr>
    </w:p>
    <w:p w:rsidR="00F22C31" w:rsidRPr="00A94888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Každý nepoužitý veterinárny liek alebo odpadové materiály z tohto veterinárneho lieku musia byť zlikvidované v súlade s miestnymi požiadavkami. </w:t>
      </w:r>
    </w:p>
    <w:p w:rsidR="00F22C31" w:rsidRPr="00A94888" w:rsidRDefault="00F22C31" w:rsidP="00F22C31">
      <w:pPr>
        <w:spacing w:after="59" w:line="259" w:lineRule="auto"/>
        <w:ind w:left="1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2813"/>
        </w:tabs>
        <w:ind w:left="-14" w:firstLine="0"/>
        <w:rPr>
          <w:lang w:val="en-US"/>
        </w:rPr>
      </w:pPr>
      <w:r w:rsidRPr="00A94888">
        <w:rPr>
          <w:lang w:val="en-US"/>
        </w:rPr>
        <w:t xml:space="preserve">7. </w:t>
      </w:r>
      <w:r w:rsidRPr="00A94888">
        <w:rPr>
          <w:lang w:val="en-US"/>
        </w:rPr>
        <w:tab/>
        <w:t xml:space="preserve">DRŽITEĽ ROZHODNUTIA O REGISTRÁCII </w:t>
      </w:r>
    </w:p>
    <w:p w:rsidR="00F22C31" w:rsidRPr="00BF7C4B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F22C31" w:rsidRPr="00BF7C4B" w:rsidRDefault="00F22C31" w:rsidP="00F22C31">
      <w:pPr>
        <w:spacing w:line="240" w:lineRule="auto"/>
        <w:rPr>
          <w:lang w:val="en-US"/>
        </w:rPr>
      </w:pPr>
      <w:r w:rsidRPr="00BF7C4B">
        <w:rPr>
          <w:lang w:val="en-US"/>
        </w:rPr>
        <w:t xml:space="preserve">08290 Cerdanyola </w:t>
      </w:r>
      <w:proofErr w:type="gramStart"/>
      <w:r w:rsidRPr="00BF7C4B">
        <w:rPr>
          <w:lang w:val="en-US"/>
        </w:rPr>
        <w:t>del</w:t>
      </w:r>
      <w:proofErr w:type="gramEnd"/>
      <w:r w:rsidRPr="00BF7C4B">
        <w:rPr>
          <w:lang w:val="en-US"/>
        </w:rPr>
        <w:t xml:space="preserve"> Vallès (Barcelona)</w:t>
      </w:r>
    </w:p>
    <w:p w:rsidR="00F22C31" w:rsidRDefault="00F22C31" w:rsidP="00F22C31">
      <w:pPr>
        <w:spacing w:line="240" w:lineRule="auto"/>
      </w:pPr>
      <w:r>
        <w:t>Španielsko</w:t>
      </w:r>
    </w:p>
    <w:p w:rsidR="00F22C31" w:rsidRDefault="00F22C31" w:rsidP="00F22C31">
      <w:pPr>
        <w:spacing w:after="0" w:line="259" w:lineRule="auto"/>
        <w:ind w:left="1" w:firstLine="0"/>
      </w:pPr>
    </w:p>
    <w:p w:rsidR="00F22C31" w:rsidRDefault="00F22C31" w:rsidP="00F22C31">
      <w:pPr>
        <w:numPr>
          <w:ilvl w:val="0"/>
          <w:numId w:val="1"/>
        </w:numPr>
        <w:spacing w:after="1" w:line="258" w:lineRule="auto"/>
        <w:ind w:hanging="566"/>
      </w:pPr>
      <w:r>
        <w:rPr>
          <w:b/>
        </w:rPr>
        <w:t xml:space="preserve">REGISTRAČNÉ ČÍSLO </w:t>
      </w:r>
    </w:p>
    <w:p w:rsidR="00F22C31" w:rsidRDefault="00F22C31" w:rsidP="00F22C31">
      <w:pPr>
        <w:spacing w:after="0" w:line="259" w:lineRule="auto"/>
        <w:ind w:left="1" w:firstLine="0"/>
      </w:pPr>
    </w:p>
    <w:p w:rsidR="00F22C31" w:rsidRDefault="00F22C31" w:rsidP="00F22C31">
      <w:pPr>
        <w:spacing w:after="58" w:line="259" w:lineRule="auto"/>
        <w:ind w:left="1" w:firstLine="0"/>
      </w:pPr>
      <w:r>
        <w:t>96/034/DC/20-S</w:t>
      </w:r>
    </w:p>
    <w:p w:rsidR="00F22C31" w:rsidRDefault="00F22C31" w:rsidP="00F22C31">
      <w:pPr>
        <w:spacing w:after="58" w:line="259" w:lineRule="auto"/>
        <w:ind w:left="1" w:firstLine="0"/>
      </w:pPr>
    </w:p>
    <w:p w:rsidR="00F22C31" w:rsidRDefault="00F22C31" w:rsidP="00F22C31">
      <w:pPr>
        <w:numPr>
          <w:ilvl w:val="0"/>
          <w:numId w:val="1"/>
        </w:numPr>
        <w:spacing w:after="1" w:line="258" w:lineRule="auto"/>
        <w:ind w:hanging="566"/>
      </w:pPr>
      <w:r>
        <w:rPr>
          <w:b/>
        </w:rPr>
        <w:t xml:space="preserve">DÁTUM PRVEJ REGISTRÁCIE/ PREDĹŽENIA REGISTRÁCIE </w:t>
      </w:r>
    </w:p>
    <w:p w:rsidR="00F22C31" w:rsidRDefault="00F22C31" w:rsidP="00F22C31">
      <w:pPr>
        <w:spacing w:after="0" w:line="259" w:lineRule="auto"/>
        <w:ind w:left="1" w:firstLine="0"/>
      </w:pPr>
    </w:p>
    <w:p w:rsidR="00F22C31" w:rsidRPr="00743BF5" w:rsidRDefault="00743BF5" w:rsidP="00743BF5">
      <w:pPr>
        <w:spacing w:after="0" w:line="240" w:lineRule="auto"/>
        <w:rPr>
          <w:lang w:val="sk-SK"/>
        </w:rPr>
      </w:pPr>
      <w:bookmarkStart w:id="1" w:name="_GoBack"/>
      <w:r w:rsidRPr="0075198A">
        <w:rPr>
          <w:lang w:val="sk-SK"/>
        </w:rPr>
        <w:t xml:space="preserve">Dátum prvej registrácie: </w:t>
      </w:r>
      <w:r>
        <w:t>30</w:t>
      </w:r>
      <w:r w:rsidRPr="0075198A">
        <w:rPr>
          <w:lang w:val="sk-SK"/>
        </w:rPr>
        <w:t>/</w:t>
      </w:r>
      <w:r>
        <w:t>11</w:t>
      </w:r>
      <w:r w:rsidRPr="0075198A">
        <w:rPr>
          <w:lang w:val="sk-SK"/>
        </w:rPr>
        <w:t>/</w:t>
      </w:r>
      <w:r>
        <w:t>2020</w:t>
      </w:r>
    </w:p>
    <w:bookmarkEnd w:id="1"/>
    <w:p w:rsidR="00F22C31" w:rsidRDefault="00F22C31" w:rsidP="00F22C31">
      <w:pPr>
        <w:spacing w:after="0" w:line="259" w:lineRule="auto"/>
        <w:ind w:left="1" w:firstLine="0"/>
      </w:pPr>
    </w:p>
    <w:p w:rsidR="00F22C31" w:rsidRDefault="00F22C31" w:rsidP="00F22C31">
      <w:pPr>
        <w:numPr>
          <w:ilvl w:val="0"/>
          <w:numId w:val="1"/>
        </w:numPr>
        <w:ind w:hanging="566"/>
      </w:pPr>
      <w:r>
        <w:rPr>
          <w:b/>
        </w:rPr>
        <w:t xml:space="preserve">DÁTUM REVÍZIE TEXTU </w:t>
      </w:r>
    </w:p>
    <w:p w:rsidR="00F22C31" w:rsidRDefault="00F22C31" w:rsidP="00F22C31">
      <w:pPr>
        <w:spacing w:after="0" w:line="259" w:lineRule="auto"/>
        <w:ind w:left="1" w:firstLine="0"/>
      </w:pPr>
    </w:p>
    <w:p w:rsidR="00F22C31" w:rsidRDefault="00F22C31" w:rsidP="00F22C31">
      <w:pPr>
        <w:spacing w:after="0" w:line="259" w:lineRule="auto"/>
        <w:ind w:left="1" w:firstLine="0"/>
        <w:rPr>
          <w:b/>
        </w:rPr>
      </w:pP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b/>
          <w:lang w:val="en-US"/>
        </w:rPr>
        <w:t>ZÁKAZ PREDAJA, DODÁVOK A/ALEBO POUŽÍVANIA</w:t>
      </w:r>
    </w:p>
    <w:p w:rsidR="00F22C31" w:rsidRPr="000A7AED" w:rsidRDefault="00F22C31" w:rsidP="00F22C31">
      <w:pPr>
        <w:spacing w:before="120" w:after="0" w:line="240" w:lineRule="auto"/>
        <w:ind w:left="11" w:hanging="11"/>
        <w:rPr>
          <w:lang w:val="en-US"/>
        </w:rPr>
      </w:pPr>
      <w:r w:rsidRPr="000A7AED">
        <w:rPr>
          <w:lang w:val="en-US"/>
        </w:rPr>
        <w:t xml:space="preserve">Neuplatňujú </w:t>
      </w:r>
      <w:proofErr w:type="gramStart"/>
      <w:r w:rsidRPr="000A7AED">
        <w:rPr>
          <w:lang w:val="en-US"/>
        </w:rPr>
        <w:t>sa</w:t>
      </w:r>
      <w:proofErr w:type="gramEnd"/>
      <w:r w:rsidRPr="000A7AED">
        <w:rPr>
          <w:lang w:val="en-US"/>
        </w:rPr>
        <w:t>.</w:t>
      </w:r>
    </w:p>
    <w:p w:rsidR="00F22C31" w:rsidRPr="000A7AED" w:rsidRDefault="00F22C31" w:rsidP="00F22C31">
      <w:pPr>
        <w:spacing w:after="0" w:line="259" w:lineRule="auto"/>
        <w:ind w:left="1" w:firstLine="0"/>
        <w:rPr>
          <w:b/>
          <w:lang w:val="en-US"/>
        </w:rPr>
      </w:pPr>
    </w:p>
    <w:p w:rsidR="00F22C31" w:rsidRPr="00775B1D" w:rsidRDefault="00F22C31" w:rsidP="00F22C31">
      <w:pPr>
        <w:spacing w:after="0" w:line="259" w:lineRule="auto"/>
        <w:ind w:left="0" w:firstLine="0"/>
        <w:rPr>
          <w:lang w:val="en-US"/>
        </w:rPr>
      </w:pPr>
      <w:r w:rsidRPr="000A7AED">
        <w:rPr>
          <w:lang w:val="en-US"/>
        </w:rPr>
        <w:br w:type="page"/>
      </w:r>
    </w:p>
    <w:p w:rsidR="00F22C31" w:rsidRPr="00374CB8" w:rsidRDefault="00F22C31" w:rsidP="00F22C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  <w:rPr>
          <w:lang w:val="en-US"/>
        </w:rPr>
      </w:pPr>
      <w:r w:rsidRPr="00374CB8">
        <w:rPr>
          <w:b/>
          <w:lang w:val="en-US"/>
        </w:rPr>
        <w:lastRenderedPageBreak/>
        <w:t xml:space="preserve">ÚDAJE, KTORÉ MAJÚ BYŤ UVEDENÉ NA VONKAJŠOM OBALE </w:t>
      </w:r>
    </w:p>
    <w:p w:rsidR="00F22C31" w:rsidRPr="00374CB8" w:rsidRDefault="00F22C31" w:rsidP="00F22C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0" w:line="259" w:lineRule="auto"/>
        <w:ind w:left="-14" w:firstLine="0"/>
        <w:rPr>
          <w:lang w:val="en-US"/>
        </w:rPr>
      </w:pPr>
    </w:p>
    <w:p w:rsidR="00F22C31" w:rsidRPr="00C2773A" w:rsidRDefault="00F22C31" w:rsidP="00F22C31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9" w:line="270" w:lineRule="auto"/>
        <w:ind w:left="-4"/>
        <w:rPr>
          <w:lang w:val="en-US"/>
        </w:rPr>
      </w:pPr>
      <w:r w:rsidRPr="00C2773A">
        <w:rPr>
          <w:lang w:val="en-US"/>
        </w:rPr>
        <w:t>Kartónová škatuľa (100</w:t>
      </w:r>
      <w:r>
        <w:rPr>
          <w:lang w:val="en-US"/>
        </w:rPr>
        <w:t xml:space="preserve"> </w:t>
      </w:r>
      <w:r w:rsidRPr="00C2773A">
        <w:rPr>
          <w:lang w:val="en-US"/>
        </w:rPr>
        <w:t>ml a 250 ml)</w:t>
      </w:r>
      <w:r w:rsidRPr="00C2773A">
        <w:rPr>
          <w:b w:val="0"/>
          <w:lang w:val="en-US"/>
        </w:rPr>
        <w:t xml:space="preserve"> </w:t>
      </w:r>
    </w:p>
    <w:p w:rsidR="00F22C31" w:rsidRPr="00C2773A" w:rsidRDefault="00F22C31" w:rsidP="00F22C31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NÁZOV VETERINÁRNEHO LIEKU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54" w:line="259" w:lineRule="auto"/>
        <w:ind w:left="0" w:firstLine="0"/>
      </w:pPr>
    </w:p>
    <w:p w:rsidR="00F22C31" w:rsidRPr="00A94888" w:rsidRDefault="00F22C31" w:rsidP="00F22C31">
      <w:pPr>
        <w:ind w:left="-4"/>
        <w:rPr>
          <w:lang w:val="en-US"/>
        </w:rPr>
      </w:pPr>
      <w:r>
        <w:rPr>
          <w:lang w:val="en-US"/>
        </w:rPr>
        <w:t>Tullavis</w:t>
      </w:r>
      <w:r w:rsidRPr="00A94888">
        <w:rPr>
          <w:lang w:val="en-US"/>
        </w:rPr>
        <w:t xml:space="preserve"> 25 mg/ml injekčný roztok pre ošípané</w:t>
      </w:r>
    </w:p>
    <w:p w:rsidR="00F22C31" w:rsidRDefault="00F22C31" w:rsidP="00F22C31">
      <w:pPr>
        <w:spacing w:after="15"/>
        <w:ind w:left="-4"/>
      </w:pPr>
      <w:r>
        <w:t xml:space="preserve">Tulathromycinum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ÚČINNÉ LÁTKY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  <w:r>
        <w:t xml:space="preserve"> </w:t>
      </w:r>
    </w:p>
    <w:p w:rsidR="00F22C31" w:rsidRDefault="00F22C31" w:rsidP="00F22C31">
      <w:pPr>
        <w:spacing w:after="1" w:line="258" w:lineRule="auto"/>
        <w:ind w:left="-4"/>
      </w:pPr>
      <w:r>
        <w:rPr>
          <w:b/>
        </w:rPr>
        <w:t xml:space="preserve">Účinná látka: </w:t>
      </w:r>
    </w:p>
    <w:p w:rsidR="00F22C31" w:rsidRDefault="00F22C31" w:rsidP="00F22C31">
      <w:pPr>
        <w:tabs>
          <w:tab w:val="center" w:pos="2124"/>
          <w:tab w:val="center" w:pos="2833"/>
          <w:tab w:val="center" w:pos="3541"/>
          <w:tab w:val="center" w:pos="4500"/>
        </w:tabs>
        <w:spacing w:after="15"/>
        <w:ind w:left="-14" w:firstLine="0"/>
      </w:pPr>
      <w:r>
        <w:t xml:space="preserve">Tulathromycinum </w:t>
      </w:r>
      <w:r>
        <w:tab/>
        <w:t xml:space="preserve"> </w:t>
      </w:r>
      <w:r>
        <w:tab/>
        <w:t>25 mg /ml</w:t>
      </w:r>
    </w:p>
    <w:p w:rsidR="00F22C31" w:rsidRPr="00F62E92" w:rsidRDefault="00F22C31" w:rsidP="00F22C31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LIEKOVÁ FORMA </w:t>
            </w:r>
          </w:p>
        </w:tc>
      </w:tr>
    </w:tbl>
    <w:p w:rsidR="00F22C31" w:rsidRDefault="00F22C31" w:rsidP="00F22C31">
      <w:pPr>
        <w:spacing w:after="49" w:line="259" w:lineRule="auto"/>
        <w:ind w:left="0" w:firstLine="0"/>
      </w:pPr>
    </w:p>
    <w:p w:rsidR="00F22C31" w:rsidRDefault="00F22C31" w:rsidP="00F22C31">
      <w:pPr>
        <w:spacing w:after="3" w:line="259" w:lineRule="auto"/>
        <w:ind w:left="-4"/>
      </w:pPr>
      <w:r>
        <w:rPr>
          <w:shd w:val="clear" w:color="auto" w:fill="C1C2C2"/>
        </w:rPr>
        <w:t>Injekčný roztok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VEĽKOSŤ BALENIA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-5"/>
      </w:pPr>
      <w:r>
        <w:t xml:space="preserve">100 ml </w:t>
      </w:r>
    </w:p>
    <w:p w:rsidR="00F22C31" w:rsidRDefault="00F22C31" w:rsidP="00F22C31">
      <w:pPr>
        <w:spacing w:after="0" w:line="259" w:lineRule="auto"/>
        <w:ind w:left="-5"/>
      </w:pPr>
      <w:r w:rsidRPr="007E2456">
        <w:rPr>
          <w:highlight w:val="lightGray"/>
        </w:rPr>
        <w:t>250 ml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CIEĽOVÉ DRUHY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-4"/>
      </w:pPr>
      <w:r>
        <w:rPr>
          <w:shd w:val="clear" w:color="auto" w:fill="C1C2C2"/>
        </w:rPr>
        <w:t>Ošípané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INDIKÁCIA (-IE)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RPr="00C16158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Pr="00A94888" w:rsidRDefault="00F22C31" w:rsidP="0098073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A94888">
              <w:rPr>
                <w:b/>
                <w:lang w:val="en-US"/>
              </w:rPr>
              <w:t>SPÔSOB A CESTA PODANIA LIEKU</w:t>
            </w:r>
            <w:r w:rsidRPr="00A94888">
              <w:rPr>
                <w:lang w:val="en-US"/>
              </w:rPr>
              <w:t xml:space="preserve"> </w:t>
            </w:r>
          </w:p>
        </w:tc>
      </w:tr>
    </w:tbl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62"/>
        <w:ind w:left="-4"/>
        <w:rPr>
          <w:lang w:val="en-US"/>
        </w:rPr>
      </w:pPr>
      <w:r w:rsidRPr="00A94888">
        <w:rPr>
          <w:lang w:val="en-US"/>
        </w:rPr>
        <w:t>Intramuskulárne podanie</w:t>
      </w:r>
      <w:r>
        <w:rPr>
          <w:lang w:val="en-US"/>
        </w:rPr>
        <w:t>.</w:t>
      </w:r>
      <w:r w:rsidRPr="00A94888">
        <w:rPr>
          <w:lang w:val="en-US"/>
        </w:rPr>
        <w:t xml:space="preserve"> </w:t>
      </w:r>
    </w:p>
    <w:p w:rsidR="00F22C31" w:rsidRPr="00A94888" w:rsidRDefault="00F22C31" w:rsidP="00F22C31">
      <w:pPr>
        <w:ind w:left="-4"/>
        <w:rPr>
          <w:lang w:val="en-US"/>
        </w:rPr>
      </w:pPr>
      <w:r w:rsidRPr="00A94888">
        <w:rPr>
          <w:lang w:val="en-US"/>
        </w:rPr>
        <w:t xml:space="preserve">Pred použitím si prečítajte písomnú informáciu pre používateľov.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8.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OCHRANNÁ LEHOTA (-Y)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 xml:space="preserve">Ochranná lehota: </w:t>
      </w:r>
    </w:p>
    <w:p w:rsidR="00F22C31" w:rsidRDefault="00F22C31" w:rsidP="00F22C31">
      <w:pPr>
        <w:spacing w:after="15"/>
        <w:ind w:left="-4"/>
      </w:pPr>
      <w:r>
        <w:t xml:space="preserve">Mäso a vnútornosti: </w:t>
      </w:r>
      <w:r>
        <w:tab/>
        <w:t xml:space="preserve">13 dní.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9.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OSOBITNÉ UPOZORNENIE (-A), AK JE POTREBNÉ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54" w:line="259" w:lineRule="auto"/>
        <w:ind w:left="0" w:firstLine="0"/>
      </w:pPr>
    </w:p>
    <w:p w:rsidR="00F22C31" w:rsidRDefault="00F22C31" w:rsidP="00F22C31">
      <w:pPr>
        <w:spacing w:after="3" w:line="259" w:lineRule="auto"/>
        <w:ind w:left="-4"/>
      </w:pPr>
      <w:r>
        <w:rPr>
          <w:shd w:val="clear" w:color="auto" w:fill="C1C2C2"/>
        </w:rPr>
        <w:t>Pred použitím si prečítajte písomnú informáciu pre používateľov.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10.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DÁTUM EXSPIRÁCIE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64"/>
        <w:ind w:left="-4"/>
      </w:pPr>
      <w:r>
        <w:lastRenderedPageBreak/>
        <w:t xml:space="preserve">EXP: </w:t>
      </w:r>
    </w:p>
    <w:p w:rsidR="00F22C31" w:rsidRDefault="00F22C31" w:rsidP="00F22C31">
      <w:pPr>
        <w:ind w:left="-4"/>
      </w:pPr>
      <w:r w:rsidRPr="00BF7C4B">
        <w:t>Čas použiteľnosti po prvom otvorení obalu: 28 dní.</w:t>
      </w:r>
      <w:r>
        <w:t xml:space="preserve"> </w:t>
      </w:r>
    </w:p>
    <w:p w:rsidR="00F22C31" w:rsidRPr="00AE0176" w:rsidRDefault="00F22C31" w:rsidP="00F22C31">
      <w:pPr>
        <w:spacing w:after="0" w:line="259" w:lineRule="auto"/>
        <w:ind w:left="0" w:firstLine="0"/>
        <w:rPr>
          <w:lang w:val="sk-SK"/>
        </w:rPr>
      </w:pPr>
      <w:r w:rsidRPr="00AE0176">
        <w:rPr>
          <w:lang w:val="sk-SK"/>
        </w:rPr>
        <w:t xml:space="preserve">Po otvorení použiť </w:t>
      </w:r>
      <w:r>
        <w:rPr>
          <w:lang w:val="sk-SK"/>
        </w:rPr>
        <w:t>do________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OSOBITNÉ PODMIENKY NA UCHOVÁVANIE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Pr="00F62E92" w:rsidRDefault="00F22C31" w:rsidP="00F22C31">
      <w:pPr>
        <w:spacing w:after="0" w:line="250" w:lineRule="auto"/>
        <w:ind w:left="0" w:firstLine="0"/>
        <w:jc w:val="both"/>
        <w:rPr>
          <w:i/>
        </w:rPr>
      </w:pPr>
      <w:r w:rsidRPr="00F62E92">
        <w:t>Uchovávať pri teplote neprevyšujúcej 30 </w:t>
      </w:r>
      <w:r>
        <w:sym w:font="Symbol" w:char="F0B0"/>
      </w:r>
      <w:r w:rsidRPr="00F62E92">
        <w:t>C.</w:t>
      </w:r>
    </w:p>
    <w:p w:rsidR="00F22C31" w:rsidRDefault="00F22C31" w:rsidP="00F22C31">
      <w:pPr>
        <w:spacing w:after="92" w:line="259" w:lineRule="auto"/>
        <w:ind w:left="0" w:firstLine="0"/>
      </w:pPr>
    </w:p>
    <w:p w:rsidR="00F22C31" w:rsidRDefault="00F22C31" w:rsidP="00F22C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</w:pPr>
      <w:r>
        <w:rPr>
          <w:b/>
        </w:rPr>
        <w:t xml:space="preserve">12. </w:t>
      </w:r>
      <w:r>
        <w:rPr>
          <w:b/>
        </w:rPr>
        <w:tab/>
        <w:t>OSOBITNÉ BEZPEČNOSTNÉ OPATRENIA NA ZNEŠKODNENIE NEPOUŽITÉHO LIEKU(-OV) ALEBO ODPADOVÉHO MATERIÁLU, V PRÍPADE POTREBY</w:t>
      </w:r>
      <w:r>
        <w:t xml:space="preserve"> </w:t>
      </w:r>
    </w:p>
    <w:p w:rsidR="00F22C31" w:rsidRDefault="00F22C31" w:rsidP="00F22C31">
      <w:pPr>
        <w:spacing w:after="51" w:line="259" w:lineRule="auto"/>
        <w:ind w:left="0" w:firstLine="0"/>
      </w:pPr>
    </w:p>
    <w:p w:rsidR="00F22C31" w:rsidRDefault="00F22C31" w:rsidP="00F22C31">
      <w:pPr>
        <w:ind w:left="-4"/>
      </w:pPr>
      <w:r>
        <w:t xml:space="preserve">Likvidácia: prečítajte si písomnú informáciu pre používateľov. </w:t>
      </w:r>
    </w:p>
    <w:p w:rsidR="00F22C31" w:rsidRDefault="00F22C31" w:rsidP="00F22C31">
      <w:pPr>
        <w:spacing w:after="42" w:line="259" w:lineRule="auto"/>
        <w:ind w:left="0" w:firstLine="0"/>
      </w:pPr>
    </w:p>
    <w:p w:rsidR="00F22C31" w:rsidRDefault="00F22C31" w:rsidP="00F22C31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25" w:lineRule="auto"/>
        <w:ind w:left="-4"/>
      </w:pPr>
      <w:r>
        <w:t xml:space="preserve">13. </w:t>
      </w:r>
      <w:r>
        <w:tab/>
        <w:t xml:space="preserve">OZNAČENIE „LEN PRE ZVIERATÁ“ A PODMIENKY ALEBO OBMEDZENIA TÝKAJÚCE SA DODÁVKY A POUŽITIA, AK SA UPLATŇUJÚ </w:t>
      </w: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 xml:space="preserve">Len pre zvieratá. Výdaj lieku je viazaný na veterinárny predpis.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OZNAČENIE „UCHOVÁVAŤ MIMO DOHĽADU A DOSAHU DETÍ“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51" w:line="259" w:lineRule="auto"/>
        <w:ind w:left="0" w:firstLine="0"/>
      </w:pPr>
    </w:p>
    <w:p w:rsidR="00F22C31" w:rsidRDefault="00F22C31" w:rsidP="00F22C31">
      <w:pPr>
        <w:ind w:left="-4"/>
      </w:pPr>
      <w:r>
        <w:t xml:space="preserve">Uchovávať mimo dohľadu a dosahu detí.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A ADRESA DRŽITEĽA ROZHODNUTIA O REGISTRÁCII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F22C31" w:rsidRPr="004A66E5" w:rsidRDefault="00F22C31" w:rsidP="00F22C31">
      <w:pPr>
        <w:spacing w:line="240" w:lineRule="auto"/>
      </w:pPr>
      <w:r>
        <w:t>08290 Cerdanyola del Vallès (Barcelona)</w:t>
      </w:r>
    </w:p>
    <w:p w:rsidR="00F22C31" w:rsidRDefault="00F22C31" w:rsidP="00F22C31">
      <w:pPr>
        <w:spacing w:line="240" w:lineRule="auto"/>
      </w:pPr>
      <w:r>
        <w:t>Španielsko</w:t>
      </w:r>
    </w:p>
    <w:p w:rsidR="0043240F" w:rsidRDefault="0043240F" w:rsidP="00F22C31">
      <w:pPr>
        <w:spacing w:line="240" w:lineRule="auto"/>
      </w:pPr>
    </w:p>
    <w:p w:rsidR="0043240F" w:rsidRPr="003F354B" w:rsidRDefault="0043240F" w:rsidP="0043240F">
      <w:pPr>
        <w:spacing w:line="240" w:lineRule="auto"/>
        <w:rPr>
          <w:u w:val="single"/>
        </w:rPr>
      </w:pPr>
      <w:r w:rsidRPr="003F354B">
        <w:rPr>
          <w:u w:val="single"/>
        </w:rPr>
        <w:t>Distribútor</w:t>
      </w:r>
      <w:r>
        <w:rPr>
          <w:u w:val="single"/>
        </w:rPr>
        <w:t>:</w:t>
      </w:r>
    </w:p>
    <w:p w:rsidR="0043240F" w:rsidRDefault="0043240F" w:rsidP="0043240F">
      <w:pPr>
        <w:spacing w:line="240" w:lineRule="auto"/>
      </w:pPr>
      <w:r>
        <w:t xml:space="preserve">Vetwell </w:t>
      </w:r>
    </w:p>
    <w:p w:rsidR="0043240F" w:rsidRDefault="0043240F" w:rsidP="0043240F">
      <w:pPr>
        <w:spacing w:line="240" w:lineRule="auto"/>
      </w:pPr>
      <w:r>
        <w:t xml:space="preserve">Hlohovecká 5, </w:t>
      </w:r>
    </w:p>
    <w:p w:rsidR="0043240F" w:rsidRDefault="0043240F" w:rsidP="0043240F">
      <w:pPr>
        <w:spacing w:line="240" w:lineRule="auto"/>
      </w:pPr>
      <w:r>
        <w:t xml:space="preserve">95141 Lužianky, </w:t>
      </w:r>
    </w:p>
    <w:p w:rsidR="0043240F" w:rsidRDefault="0043240F" w:rsidP="003F354B">
      <w:pPr>
        <w:spacing w:line="240" w:lineRule="auto"/>
      </w:pPr>
      <w:r>
        <w:t>Slovenská republika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REGISTRAČNÉ ČÍSLO 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  <w:r>
        <w:t>96/034/DC/20-S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ČÍSLO VÝROBNEJ ŠARŽE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>Lot: {číslo}</w:t>
      </w:r>
      <w:r>
        <w:rPr>
          <w:b/>
        </w:rPr>
        <w:br w:type="page"/>
      </w:r>
    </w:p>
    <w:p w:rsidR="00F22C31" w:rsidRDefault="00F22C31" w:rsidP="00F22C31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-4"/>
      </w:pPr>
      <w:r>
        <w:lastRenderedPageBreak/>
        <w:t>ÚDAJE, KTORÉ MAJÚ BYŤ UVEDENÉ NA VNÚTORNOM OBALE</w:t>
      </w:r>
    </w:p>
    <w:p w:rsidR="00F22C31" w:rsidRPr="00F62E92" w:rsidRDefault="00F22C31" w:rsidP="00F22C31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9" w:line="259" w:lineRule="auto"/>
        <w:ind w:left="-4"/>
        <w:rPr>
          <w:lang w:val="en-US"/>
        </w:rPr>
      </w:pPr>
      <w:r>
        <w:rPr>
          <w:lang w:val="en-US"/>
        </w:rPr>
        <w:t>L</w:t>
      </w:r>
      <w:r w:rsidRPr="00F62E92">
        <w:rPr>
          <w:lang w:val="en-US"/>
        </w:rPr>
        <w:t xml:space="preserve">iekovka s objemom 100 ml a 250 ml </w:t>
      </w:r>
    </w:p>
    <w:p w:rsidR="00F22C31" w:rsidRPr="00F62E92" w:rsidRDefault="00F22C31" w:rsidP="00F22C31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NÁZOV VETERINÁRNEHO LIEKU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54" w:line="259" w:lineRule="auto"/>
        <w:ind w:left="0" w:firstLine="0"/>
      </w:pPr>
    </w:p>
    <w:p w:rsidR="00F22C31" w:rsidRPr="00A94888" w:rsidRDefault="00F22C31" w:rsidP="00F22C31">
      <w:pPr>
        <w:ind w:left="-4"/>
        <w:rPr>
          <w:lang w:val="en-US"/>
        </w:rPr>
      </w:pPr>
      <w:r>
        <w:rPr>
          <w:lang w:val="en-US"/>
        </w:rPr>
        <w:t>Tullavis</w:t>
      </w:r>
      <w:r w:rsidRPr="00A94888">
        <w:rPr>
          <w:lang w:val="en-US"/>
        </w:rPr>
        <w:t xml:space="preserve"> 25 mg/ml injekčný roztok pre ošípané</w:t>
      </w:r>
    </w:p>
    <w:p w:rsidR="00F22C31" w:rsidRDefault="00F22C31" w:rsidP="00F22C31">
      <w:pPr>
        <w:spacing w:after="15"/>
        <w:ind w:left="-4"/>
      </w:pPr>
      <w:r>
        <w:t xml:space="preserve">Tulathromycinum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2.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ÚČINNÉ LÁTKY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" w:line="258" w:lineRule="auto"/>
        <w:ind w:left="-4"/>
      </w:pPr>
      <w:r>
        <w:rPr>
          <w:b/>
        </w:rPr>
        <w:t xml:space="preserve">Účinná látka: </w:t>
      </w:r>
    </w:p>
    <w:p w:rsidR="00F22C31" w:rsidRDefault="00F22C31" w:rsidP="00F22C31">
      <w:pPr>
        <w:tabs>
          <w:tab w:val="center" w:pos="2124"/>
          <w:tab w:val="center" w:pos="2833"/>
          <w:tab w:val="center" w:pos="3541"/>
          <w:tab w:val="center" w:pos="4500"/>
        </w:tabs>
        <w:spacing w:after="15"/>
        <w:ind w:left="-14" w:firstLine="0"/>
      </w:pPr>
      <w:r>
        <w:t xml:space="preserve">Tulathromycinum </w:t>
      </w:r>
      <w:r>
        <w:tab/>
        <w:t xml:space="preserve"> </w:t>
      </w:r>
      <w:r>
        <w:tab/>
        <w:t>25 mg /ml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LIEKOVÁ FORMA </w:t>
            </w:r>
          </w:p>
        </w:tc>
      </w:tr>
    </w:tbl>
    <w:p w:rsidR="00F22C31" w:rsidRDefault="00F22C31" w:rsidP="00F22C31">
      <w:pPr>
        <w:spacing w:after="49" w:line="259" w:lineRule="auto"/>
        <w:ind w:left="0" w:firstLine="0"/>
      </w:pPr>
    </w:p>
    <w:p w:rsidR="00F22C31" w:rsidRDefault="00F22C31" w:rsidP="00F22C31">
      <w:pPr>
        <w:spacing w:after="3" w:line="259" w:lineRule="auto"/>
        <w:ind w:left="-4"/>
      </w:pPr>
      <w:r>
        <w:rPr>
          <w:shd w:val="clear" w:color="auto" w:fill="C1C2C2"/>
        </w:rPr>
        <w:t>Injekčný roztok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VEĽKOSŤ BALENIA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 xml:space="preserve">100 ml </w:t>
      </w:r>
    </w:p>
    <w:p w:rsidR="00F22C31" w:rsidRDefault="00F22C31" w:rsidP="00F22C31">
      <w:pPr>
        <w:spacing w:after="0" w:line="259" w:lineRule="auto"/>
        <w:ind w:left="-4"/>
      </w:pPr>
      <w:r>
        <w:rPr>
          <w:shd w:val="clear" w:color="auto" w:fill="C1C2C2"/>
        </w:rPr>
        <w:t>250 ml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CIEĽOVÉ DRUHY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-4"/>
      </w:pPr>
      <w:r>
        <w:rPr>
          <w:shd w:val="clear" w:color="auto" w:fill="C1C2C2"/>
        </w:rPr>
        <w:t>Ošípané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INDIKÁCIA (-IE)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RPr="00C16158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Pr="00A94888" w:rsidRDefault="00F22C31" w:rsidP="0098073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A94888">
              <w:rPr>
                <w:b/>
                <w:lang w:val="en-US"/>
              </w:rPr>
              <w:t>SPÔSOB A CESTA PODANIA LIEKU</w:t>
            </w:r>
            <w:r w:rsidRPr="00A94888">
              <w:rPr>
                <w:lang w:val="en-US"/>
              </w:rPr>
              <w:t xml:space="preserve"> </w:t>
            </w:r>
          </w:p>
        </w:tc>
      </w:tr>
    </w:tbl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62"/>
        <w:ind w:left="-4"/>
        <w:rPr>
          <w:lang w:val="en-US"/>
        </w:rPr>
      </w:pPr>
      <w:r w:rsidRPr="00A94888">
        <w:rPr>
          <w:lang w:val="en-US"/>
        </w:rPr>
        <w:t xml:space="preserve">Intramuskulárne podanie. </w:t>
      </w:r>
    </w:p>
    <w:p w:rsidR="00F22C31" w:rsidRPr="00A94888" w:rsidRDefault="00F22C31" w:rsidP="00F22C31">
      <w:pPr>
        <w:ind w:left="-4"/>
        <w:rPr>
          <w:lang w:val="en-US"/>
        </w:rPr>
      </w:pPr>
      <w:r w:rsidRPr="00A94888">
        <w:rPr>
          <w:lang w:val="en-US"/>
        </w:rPr>
        <w:t xml:space="preserve">Pred použitím si prečítajte písomnú informáciu pre používateľov.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8.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OCHRANNÁ LEHOTA (-Y)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 xml:space="preserve">Ochranná lehota: </w:t>
      </w:r>
    </w:p>
    <w:p w:rsidR="00F22C31" w:rsidRDefault="00F22C31" w:rsidP="00F22C31">
      <w:pPr>
        <w:spacing w:after="15"/>
        <w:ind w:left="-4"/>
      </w:pPr>
      <w:r>
        <w:t xml:space="preserve">Mäso a vnútornosti: </w:t>
      </w:r>
      <w:r>
        <w:tab/>
        <w:t xml:space="preserve">13 dní.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9.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OSOBITNÉ UPOZORNENIE (-A), AK JE POTREBNÉ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52" w:line="259" w:lineRule="auto"/>
        <w:ind w:left="0" w:firstLine="0"/>
      </w:pPr>
    </w:p>
    <w:p w:rsidR="00F22C31" w:rsidRDefault="00F22C31" w:rsidP="00F22C31">
      <w:pPr>
        <w:spacing w:after="3" w:line="259" w:lineRule="auto"/>
        <w:ind w:left="-4"/>
      </w:pPr>
      <w:r>
        <w:rPr>
          <w:shd w:val="clear" w:color="auto" w:fill="C1C2C2"/>
        </w:rPr>
        <w:t>Pred použitím si prečítajte písomnú informáciu pre používateľov.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10.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DÁTUM EXSPIRÁCIE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62"/>
        <w:ind w:left="-4"/>
      </w:pPr>
      <w:r>
        <w:t xml:space="preserve">EXP:  </w:t>
      </w:r>
    </w:p>
    <w:p w:rsidR="00F22C31" w:rsidRDefault="00F22C31" w:rsidP="00F22C31">
      <w:pPr>
        <w:tabs>
          <w:tab w:val="left" w:pos="708"/>
        </w:tabs>
        <w:spacing w:after="0" w:line="240" w:lineRule="auto"/>
      </w:pPr>
      <w:r w:rsidRPr="00313E51">
        <w:lastRenderedPageBreak/>
        <w:t xml:space="preserve">Po prvom </w:t>
      </w:r>
      <w:r>
        <w:t xml:space="preserve">otvorení </w:t>
      </w:r>
      <w:r w:rsidRPr="00313E51">
        <w:t>použiť do 28 </w:t>
      </w:r>
      <w:proofErr w:type="gramStart"/>
      <w:r w:rsidRPr="00313E51">
        <w:t>dní</w:t>
      </w:r>
      <w:r>
        <w:t>._</w:t>
      </w:r>
      <w:proofErr w:type="gramEnd"/>
      <w:r>
        <w:t>_____________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11.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OSOBITNÉ PODMIENKY NA UCHOVÁVANIE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Pr="00F62E92" w:rsidRDefault="00F22C31" w:rsidP="00F22C31">
      <w:pPr>
        <w:spacing w:after="0" w:line="250" w:lineRule="auto"/>
        <w:ind w:left="0" w:firstLine="0"/>
        <w:jc w:val="both"/>
        <w:rPr>
          <w:i/>
        </w:rPr>
      </w:pPr>
      <w:r w:rsidRPr="00F62E92">
        <w:t>Uchovávať pri teplote neprevyšujúcej 30 </w:t>
      </w:r>
      <w:r>
        <w:sym w:font="Symbol" w:char="F0B0"/>
      </w:r>
      <w:r w:rsidRPr="00F62E92">
        <w:t>C.</w:t>
      </w: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</w:pPr>
      <w:r>
        <w:rPr>
          <w:b/>
        </w:rPr>
        <w:t xml:space="preserve">12. </w:t>
      </w:r>
      <w:r>
        <w:rPr>
          <w:b/>
        </w:rPr>
        <w:tab/>
        <w:t>OSOBITNÉ BEZPEČNOSTNÉ OPATRENIA NA ZNEŠKODNENIE NEPOUŽITÉHO LIEKU(-OV) ALEBO ODPADOVÉHO MATERIÁLU, V PRÍPADE POTREBY</w:t>
      </w:r>
      <w:r>
        <w:t xml:space="preserve"> </w:t>
      </w: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90" w:line="259" w:lineRule="auto"/>
        <w:ind w:left="0" w:firstLine="0"/>
      </w:pPr>
    </w:p>
    <w:p w:rsidR="00F22C31" w:rsidRDefault="00F22C31" w:rsidP="00F22C31">
      <w:pPr>
        <w:pStyle w:val="Nadpis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70" w:lineRule="auto"/>
        <w:ind w:left="-4"/>
      </w:pPr>
      <w:r>
        <w:t xml:space="preserve">13. </w:t>
      </w:r>
      <w:r>
        <w:tab/>
        <w:t xml:space="preserve">OZNAČENIE „LEN PRE ZVIERATÁ“ A PODMIENKY ALEBO OBMEDZENIA TÝKAJÚCE SA DODÁVKY A POUŽITIA, AK SA UPLATŇUJÚ </w:t>
      </w:r>
    </w:p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 xml:space="preserve">Len pre zvieratá. Výdaj lieku je viazaný na veterinárny predpis.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14.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OZNAČENIE „UCHOVÁVAŤ MIMO DOHĽADU A DOSAHU DETÍ“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53" w:line="259" w:lineRule="auto"/>
        <w:ind w:left="0" w:firstLine="0"/>
      </w:pPr>
    </w:p>
    <w:p w:rsidR="00F22C31" w:rsidRDefault="00F22C31" w:rsidP="00F22C31">
      <w:pPr>
        <w:ind w:left="-4"/>
      </w:pPr>
      <w:r>
        <w:t xml:space="preserve">Uchovávať mimo dohľadu a dosahu detí. 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15.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NÁZOV A ADRESA DRŽITEĽA ROZHODNUTIA O REGISTRÁCII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F22C31" w:rsidRPr="004A66E5" w:rsidRDefault="00F22C31" w:rsidP="00F22C31">
      <w:pPr>
        <w:spacing w:line="240" w:lineRule="auto"/>
      </w:pPr>
      <w:r>
        <w:t>08290 Cerdanyola del Vallès (Barcelona)</w:t>
      </w:r>
    </w:p>
    <w:p w:rsidR="00F22C31" w:rsidRDefault="00F22C31" w:rsidP="00F22C31">
      <w:pPr>
        <w:spacing w:line="240" w:lineRule="auto"/>
      </w:pPr>
      <w:r>
        <w:t>Španielsko</w:t>
      </w:r>
    </w:p>
    <w:p w:rsidR="0043240F" w:rsidRDefault="0043240F" w:rsidP="00F22C31">
      <w:pPr>
        <w:spacing w:line="240" w:lineRule="auto"/>
      </w:pPr>
    </w:p>
    <w:p w:rsidR="0043240F" w:rsidRPr="008407AB" w:rsidRDefault="0043240F" w:rsidP="0043240F">
      <w:pPr>
        <w:spacing w:line="240" w:lineRule="auto"/>
        <w:rPr>
          <w:u w:val="single"/>
        </w:rPr>
      </w:pPr>
      <w:r w:rsidRPr="008407AB">
        <w:rPr>
          <w:u w:val="single"/>
        </w:rPr>
        <w:t>Distribútor</w:t>
      </w:r>
      <w:r>
        <w:rPr>
          <w:u w:val="single"/>
        </w:rPr>
        <w:t>:</w:t>
      </w:r>
    </w:p>
    <w:p w:rsidR="0043240F" w:rsidRDefault="0043240F" w:rsidP="0043240F">
      <w:pPr>
        <w:spacing w:line="240" w:lineRule="auto"/>
      </w:pPr>
      <w:r>
        <w:t xml:space="preserve">Vetwell </w:t>
      </w:r>
    </w:p>
    <w:p w:rsidR="0043240F" w:rsidRDefault="0043240F" w:rsidP="0043240F">
      <w:pPr>
        <w:spacing w:line="240" w:lineRule="auto"/>
      </w:pPr>
      <w:r>
        <w:t xml:space="preserve">Hlohovecká 5, </w:t>
      </w:r>
    </w:p>
    <w:p w:rsidR="0043240F" w:rsidRDefault="0043240F" w:rsidP="0043240F">
      <w:pPr>
        <w:spacing w:line="240" w:lineRule="auto"/>
      </w:pPr>
      <w:r>
        <w:t xml:space="preserve">95141 Lužianky, </w:t>
      </w:r>
    </w:p>
    <w:p w:rsidR="0043240F" w:rsidRDefault="0043240F" w:rsidP="003F354B">
      <w:pPr>
        <w:spacing w:line="240" w:lineRule="auto"/>
      </w:pPr>
      <w:r>
        <w:t>Slovenská republika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16.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REGISTRAČNÉ ČÍSLO 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0" w:line="259" w:lineRule="auto"/>
        <w:ind w:left="0" w:firstLine="0"/>
      </w:pPr>
      <w:r>
        <w:t>96/034/DC/20-S</w:t>
      </w:r>
    </w:p>
    <w:p w:rsidR="00F22C31" w:rsidRDefault="00F22C31" w:rsidP="00F22C31">
      <w:pPr>
        <w:spacing w:after="0" w:line="259" w:lineRule="auto"/>
        <w:ind w:left="0" w:firstLine="0"/>
      </w:pPr>
    </w:p>
    <w:tbl>
      <w:tblPr>
        <w:tblStyle w:val="TableGrid"/>
        <w:tblW w:w="9295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8616"/>
      </w:tblGrid>
      <w:tr w:rsidR="00F22C31" w:rsidTr="00980733">
        <w:trPr>
          <w:trHeight w:val="30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C31" w:rsidRDefault="00F22C31" w:rsidP="00980733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17. </w:t>
            </w:r>
          </w:p>
        </w:tc>
        <w:tc>
          <w:tcPr>
            <w:tcW w:w="8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2C31" w:rsidRDefault="00F22C31" w:rsidP="00980733">
            <w:pPr>
              <w:spacing w:after="0" w:line="259" w:lineRule="auto"/>
              <w:ind w:left="0" w:firstLine="0"/>
            </w:pPr>
            <w:r>
              <w:rPr>
                <w:b/>
              </w:rPr>
              <w:t>ČÍSLO VÝROBNEJ ŠARŽE</w:t>
            </w:r>
            <w:r>
              <w:t xml:space="preserve"> </w:t>
            </w:r>
          </w:p>
        </w:tc>
      </w:tr>
    </w:tbl>
    <w:p w:rsidR="00F22C31" w:rsidRDefault="00F22C31" w:rsidP="00F22C31">
      <w:pPr>
        <w:spacing w:after="0" w:line="259" w:lineRule="auto"/>
        <w:ind w:left="0" w:firstLine="0"/>
      </w:pPr>
    </w:p>
    <w:p w:rsidR="00F22C31" w:rsidRDefault="00F22C31" w:rsidP="00F22C31">
      <w:pPr>
        <w:spacing w:after="15"/>
        <w:ind w:left="-4"/>
      </w:pPr>
      <w:r>
        <w:t>Lot: {číslo}</w:t>
      </w:r>
    </w:p>
    <w:p w:rsidR="00F22C31" w:rsidRDefault="00F22C31" w:rsidP="00F22C31">
      <w:pPr>
        <w:spacing w:after="160" w:line="259" w:lineRule="auto"/>
        <w:ind w:left="0" w:firstLine="0"/>
      </w:pPr>
    </w:p>
    <w:p w:rsidR="00F22C31" w:rsidRDefault="00F22C31" w:rsidP="00F22C31">
      <w:pPr>
        <w:spacing w:after="160" w:line="259" w:lineRule="auto"/>
        <w:ind w:left="0" w:firstLine="0"/>
      </w:pPr>
    </w:p>
    <w:p w:rsidR="00F22C31" w:rsidRDefault="00F22C31" w:rsidP="00F22C31">
      <w:pPr>
        <w:spacing w:after="160" w:line="259" w:lineRule="auto"/>
        <w:ind w:left="0" w:firstLine="0"/>
      </w:pPr>
    </w:p>
    <w:p w:rsidR="00F22C31" w:rsidRDefault="00F22C31" w:rsidP="00F22C31">
      <w:pPr>
        <w:spacing w:after="160" w:line="259" w:lineRule="auto"/>
        <w:ind w:left="0" w:firstLine="0"/>
      </w:pPr>
    </w:p>
    <w:p w:rsidR="00F22C31" w:rsidRDefault="00F22C31" w:rsidP="00F22C31">
      <w:pPr>
        <w:spacing w:after="160" w:line="259" w:lineRule="auto"/>
        <w:ind w:left="0" w:firstLine="0"/>
      </w:pPr>
    </w:p>
    <w:p w:rsidR="00F22C31" w:rsidRDefault="00F22C31" w:rsidP="00F22C31">
      <w:pPr>
        <w:spacing w:after="160" w:line="259" w:lineRule="auto"/>
        <w:ind w:left="0" w:firstLine="0"/>
      </w:pPr>
    </w:p>
    <w:p w:rsidR="00F22C31" w:rsidRPr="00BC07E2" w:rsidRDefault="00F22C31" w:rsidP="00F22C31">
      <w:pPr>
        <w:spacing w:after="0" w:line="259" w:lineRule="auto"/>
        <w:ind w:left="0" w:firstLine="0"/>
        <w:jc w:val="center"/>
      </w:pPr>
      <w:r w:rsidRPr="00BC07E2">
        <w:rPr>
          <w:b/>
        </w:rPr>
        <w:lastRenderedPageBreak/>
        <w:t>PÍSOMNÁ INFORMÁCIA PRE POUŽÍVATEĽOV</w:t>
      </w:r>
    </w:p>
    <w:p w:rsidR="00F22C31" w:rsidRPr="00A94888" w:rsidRDefault="00F22C31" w:rsidP="00F22C31">
      <w:pPr>
        <w:spacing w:after="3" w:line="259" w:lineRule="auto"/>
        <w:ind w:left="11" w:right="1"/>
        <w:jc w:val="center"/>
        <w:rPr>
          <w:lang w:val="en-US"/>
        </w:rPr>
      </w:pPr>
      <w:r>
        <w:rPr>
          <w:b/>
          <w:lang w:val="en-US"/>
        </w:rPr>
        <w:t>Tullavis</w:t>
      </w:r>
      <w:r w:rsidRPr="00A94888">
        <w:rPr>
          <w:b/>
          <w:lang w:val="en-US"/>
        </w:rPr>
        <w:t xml:space="preserve"> 25 mg/ml injekčný roztok pre ošípané</w:t>
      </w:r>
    </w:p>
    <w:p w:rsidR="00F22C31" w:rsidRPr="00A94888" w:rsidRDefault="00F22C31" w:rsidP="00F22C31">
      <w:pPr>
        <w:spacing w:after="57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ind w:left="-4"/>
        <w:rPr>
          <w:lang w:val="en-US"/>
        </w:rPr>
      </w:pPr>
      <w:r w:rsidRPr="00A94888">
        <w:rPr>
          <w:shd w:val="clear" w:color="auto" w:fill="C1C2C2"/>
          <w:lang w:val="en-US"/>
        </w:rPr>
        <w:t>1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NÁZOV A ADRESA DRŽITEĽA ROZHODNUTIA O REGISTRÁCII A DRŽITEĽA POVOLENIA NA VÝROBU ZODPOVEDNÉHO ZA UVOĽNENIE ŠARŽE, AK NIE SÚ IDENTICKÍ </w:t>
      </w:r>
    </w:p>
    <w:p w:rsidR="00F22C31" w:rsidRPr="00A94888" w:rsidRDefault="00F22C31" w:rsidP="00F22C31">
      <w:pPr>
        <w:spacing w:after="52" w:line="259" w:lineRule="auto"/>
        <w:ind w:left="0" w:firstLine="0"/>
        <w:rPr>
          <w:lang w:val="en-US"/>
        </w:rPr>
      </w:pPr>
    </w:p>
    <w:p w:rsidR="00F22C31" w:rsidRPr="00491E95" w:rsidRDefault="00F22C31" w:rsidP="00F22C31">
      <w:pPr>
        <w:spacing w:line="240" w:lineRule="auto"/>
        <w:rPr>
          <w:iCs/>
          <w:lang w:val="en-US"/>
        </w:rPr>
      </w:pPr>
      <w:r w:rsidRPr="00491E95">
        <w:rPr>
          <w:iCs/>
          <w:u w:val="single"/>
          <w:lang w:val="en-US"/>
        </w:rPr>
        <w:t>Držiteľ rozhodnutia o registrácii</w:t>
      </w:r>
      <w:r w:rsidRPr="00491E95">
        <w:rPr>
          <w:lang w:val="en-US"/>
        </w:rPr>
        <w:t>: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LIVISTO Int’l, S.L.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Av. Universitat Autònoma, 29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 xml:space="preserve">08290 Cerdanyola </w:t>
      </w:r>
      <w:proofErr w:type="gramStart"/>
      <w:r w:rsidRPr="00491E95">
        <w:rPr>
          <w:lang w:val="en-US"/>
        </w:rPr>
        <w:t>del</w:t>
      </w:r>
      <w:proofErr w:type="gramEnd"/>
      <w:r w:rsidRPr="00491E95">
        <w:rPr>
          <w:lang w:val="en-US"/>
        </w:rPr>
        <w:t xml:space="preserve"> Vallès (Barcelona)</w:t>
      </w:r>
    </w:p>
    <w:p w:rsidR="00F22C31" w:rsidRPr="00491E95" w:rsidRDefault="00F22C31" w:rsidP="00F22C31">
      <w:pPr>
        <w:spacing w:line="240" w:lineRule="auto"/>
        <w:rPr>
          <w:lang w:val="en-US"/>
        </w:rPr>
      </w:pPr>
      <w:r w:rsidRPr="00491E95">
        <w:rPr>
          <w:lang w:val="en-US"/>
        </w:rPr>
        <w:t>Španielsko</w:t>
      </w:r>
    </w:p>
    <w:p w:rsidR="00F22C31" w:rsidRPr="00491E95" w:rsidRDefault="00F22C31" w:rsidP="00F22C31">
      <w:pPr>
        <w:spacing w:line="240" w:lineRule="auto"/>
        <w:rPr>
          <w:lang w:val="en-US"/>
        </w:rPr>
      </w:pPr>
    </w:p>
    <w:p w:rsidR="00F22C31" w:rsidRPr="00491E95" w:rsidRDefault="00F22C31" w:rsidP="00F22C31">
      <w:pPr>
        <w:spacing w:line="240" w:lineRule="auto"/>
        <w:rPr>
          <w:bCs/>
          <w:u w:val="single"/>
          <w:lang w:val="en-US"/>
        </w:rPr>
      </w:pPr>
      <w:r w:rsidRPr="00491E95">
        <w:rPr>
          <w:bCs/>
          <w:u w:val="single"/>
          <w:lang w:val="en-US"/>
        </w:rPr>
        <w:t>Výrobca zodpovedný za uvoľnenie šarže</w:t>
      </w:r>
      <w:r w:rsidRPr="00491E95">
        <w:rPr>
          <w:lang w:val="en-US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F22C31" w:rsidRPr="00425A38" w:rsidTr="00980733">
        <w:tc>
          <w:tcPr>
            <w:tcW w:w="4673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aniMedica GmbH</w:t>
            </w:r>
          </w:p>
        </w:tc>
        <w:tc>
          <w:tcPr>
            <w:tcW w:w="4388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aniMedica Herstellungs GmbH</w:t>
            </w:r>
          </w:p>
        </w:tc>
      </w:tr>
      <w:tr w:rsidR="00F22C31" w:rsidRPr="00425A38" w:rsidTr="00980733">
        <w:tc>
          <w:tcPr>
            <w:tcW w:w="4673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Im Südfeld 9</w:t>
            </w:r>
          </w:p>
        </w:tc>
        <w:tc>
          <w:tcPr>
            <w:tcW w:w="4388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Im Südfeld 9</w:t>
            </w:r>
          </w:p>
        </w:tc>
      </w:tr>
      <w:tr w:rsidR="00F22C31" w:rsidRPr="00425A38" w:rsidTr="00980733">
        <w:tc>
          <w:tcPr>
            <w:tcW w:w="4673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48308 Senden-Bösensell</w:t>
            </w:r>
          </w:p>
        </w:tc>
        <w:tc>
          <w:tcPr>
            <w:tcW w:w="4388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48308 Senden-Bösensell</w:t>
            </w:r>
          </w:p>
        </w:tc>
      </w:tr>
      <w:tr w:rsidR="00F22C31" w:rsidRPr="00425A38" w:rsidTr="00980733">
        <w:tc>
          <w:tcPr>
            <w:tcW w:w="4673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Nemecko</w:t>
            </w:r>
          </w:p>
        </w:tc>
        <w:tc>
          <w:tcPr>
            <w:tcW w:w="4388" w:type="dxa"/>
          </w:tcPr>
          <w:p w:rsidR="00F22C31" w:rsidRPr="00425A38" w:rsidRDefault="00F22C31" w:rsidP="00980733">
            <w:pPr>
              <w:spacing w:after="0" w:line="240" w:lineRule="auto"/>
              <w:ind w:left="-113" w:firstLine="0"/>
              <w:rPr>
                <w:sz w:val="22"/>
                <w:szCs w:val="22"/>
              </w:rPr>
            </w:pPr>
            <w:r w:rsidRPr="00425A38">
              <w:rPr>
                <w:sz w:val="22"/>
                <w:szCs w:val="22"/>
              </w:rPr>
              <w:t>Nemecko</w:t>
            </w:r>
          </w:p>
        </w:tc>
      </w:tr>
    </w:tbl>
    <w:p w:rsidR="00F22C31" w:rsidRPr="00425A38" w:rsidRDefault="00F22C31" w:rsidP="00F22C31">
      <w:pPr>
        <w:spacing w:line="240" w:lineRule="auto"/>
      </w:pPr>
    </w:p>
    <w:p w:rsidR="00F22C31" w:rsidRPr="00320756" w:rsidRDefault="00F22C31" w:rsidP="00F22C31">
      <w:pPr>
        <w:spacing w:line="240" w:lineRule="auto"/>
      </w:pPr>
      <w:r>
        <w:t xml:space="preserve">Industrial Veterinaria S.A. </w:t>
      </w:r>
    </w:p>
    <w:p w:rsidR="00F22C31" w:rsidRPr="00320756" w:rsidRDefault="00F22C31" w:rsidP="00F22C31">
      <w:pPr>
        <w:spacing w:line="240" w:lineRule="auto"/>
      </w:pPr>
      <w:r>
        <w:t>Esmeralda 19</w:t>
      </w:r>
    </w:p>
    <w:p w:rsidR="00F22C31" w:rsidRPr="00320756" w:rsidRDefault="00F22C31" w:rsidP="00F22C31">
      <w:pPr>
        <w:spacing w:line="240" w:lineRule="auto"/>
      </w:pPr>
      <w:r>
        <w:t>08950 Esplugues de Llobregat (Barcelona)</w:t>
      </w:r>
    </w:p>
    <w:p w:rsidR="00F22C31" w:rsidRPr="00320756" w:rsidRDefault="00F22C31" w:rsidP="00F22C31">
      <w:pPr>
        <w:spacing w:line="240" w:lineRule="auto"/>
      </w:pPr>
      <w:r>
        <w:t>Španielsko</w:t>
      </w:r>
    </w:p>
    <w:p w:rsidR="00F22C31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43240F" w:rsidRPr="008407AB" w:rsidRDefault="0043240F" w:rsidP="0043240F">
      <w:pPr>
        <w:spacing w:line="240" w:lineRule="auto"/>
        <w:rPr>
          <w:u w:val="single"/>
        </w:rPr>
      </w:pPr>
      <w:r w:rsidRPr="008407AB">
        <w:rPr>
          <w:u w:val="single"/>
        </w:rPr>
        <w:t>Distribútor</w:t>
      </w:r>
      <w:r>
        <w:rPr>
          <w:u w:val="single"/>
        </w:rPr>
        <w:t>:</w:t>
      </w:r>
    </w:p>
    <w:p w:rsidR="0043240F" w:rsidRDefault="0043240F" w:rsidP="0043240F">
      <w:pPr>
        <w:spacing w:line="240" w:lineRule="auto"/>
      </w:pPr>
      <w:r>
        <w:t xml:space="preserve">Vetwell </w:t>
      </w:r>
    </w:p>
    <w:p w:rsidR="0043240F" w:rsidRDefault="0043240F" w:rsidP="0043240F">
      <w:pPr>
        <w:spacing w:line="240" w:lineRule="auto"/>
      </w:pPr>
      <w:r>
        <w:t xml:space="preserve">Hlohovecká 5, </w:t>
      </w:r>
    </w:p>
    <w:p w:rsidR="0043240F" w:rsidRDefault="0043240F" w:rsidP="0043240F">
      <w:pPr>
        <w:spacing w:line="240" w:lineRule="auto"/>
      </w:pPr>
      <w:r>
        <w:t xml:space="preserve">95141 Lužianky, </w:t>
      </w:r>
    </w:p>
    <w:p w:rsidR="0043240F" w:rsidRDefault="0043240F" w:rsidP="0043240F">
      <w:pPr>
        <w:spacing w:line="240" w:lineRule="auto"/>
      </w:pPr>
      <w:r>
        <w:t>Slovenská republika</w:t>
      </w:r>
    </w:p>
    <w:p w:rsidR="0043240F" w:rsidRPr="00A94888" w:rsidRDefault="0043240F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2358"/>
        </w:tabs>
        <w:spacing w:after="1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2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>NÁZOV VETERINÁRNEHO LIEKU</w:t>
      </w:r>
      <w:r w:rsidRPr="00A94888">
        <w:rPr>
          <w:b w:val="0"/>
          <w:lang w:val="en-US"/>
        </w:rPr>
        <w:t xml:space="preserve"> </w:t>
      </w:r>
    </w:p>
    <w:p w:rsidR="00F22C31" w:rsidRPr="00A94888" w:rsidRDefault="00F22C31" w:rsidP="00F22C31">
      <w:pPr>
        <w:spacing w:after="35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ind w:left="-4"/>
        <w:rPr>
          <w:lang w:val="en-US"/>
        </w:rPr>
      </w:pPr>
      <w:r>
        <w:rPr>
          <w:lang w:val="en-US"/>
        </w:rPr>
        <w:t>Tullavis</w:t>
      </w:r>
      <w:r w:rsidRPr="00A94888">
        <w:rPr>
          <w:lang w:val="en-US"/>
        </w:rPr>
        <w:t xml:space="preserve"> 25 mg/ml injekčný roztok pre ošípané</w:t>
      </w: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Tulathromycinum </w:t>
      </w:r>
    </w:p>
    <w:p w:rsidR="00F22C31" w:rsidRPr="00A94888" w:rsidRDefault="00F22C31" w:rsidP="00F22C31">
      <w:pPr>
        <w:spacing w:after="3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3962"/>
        </w:tabs>
        <w:spacing w:after="1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3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OBSAH </w:t>
      </w:r>
      <w:proofErr w:type="gramStart"/>
      <w:r w:rsidRPr="00A94888">
        <w:rPr>
          <w:lang w:val="en-US"/>
        </w:rPr>
        <w:t>ÚČINNEJ(</w:t>
      </w:r>
      <w:proofErr w:type="gramEnd"/>
      <w:r w:rsidRPr="00A94888">
        <w:rPr>
          <w:lang w:val="en-US"/>
        </w:rPr>
        <w:t xml:space="preserve">-ÝCH) LÁTKY(-OK) A INEJ(-ÝCH) LÁTKY(-OK)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1 ml obsahuje: </w:t>
      </w:r>
    </w:p>
    <w:p w:rsidR="00F22C31" w:rsidRPr="00A94888" w:rsidRDefault="00F22C31" w:rsidP="00F22C31">
      <w:pPr>
        <w:spacing w:after="1" w:line="258" w:lineRule="auto"/>
        <w:ind w:left="-4"/>
        <w:rPr>
          <w:lang w:val="en-US"/>
        </w:rPr>
      </w:pPr>
      <w:r w:rsidRPr="00A94888">
        <w:rPr>
          <w:b/>
          <w:lang w:val="en-US"/>
        </w:rPr>
        <w:t xml:space="preserve">Účinná látka: </w:t>
      </w:r>
    </w:p>
    <w:p w:rsidR="00F22C31" w:rsidRPr="00A94888" w:rsidRDefault="00F22C31" w:rsidP="00F22C31">
      <w:pPr>
        <w:tabs>
          <w:tab w:val="center" w:pos="2124"/>
          <w:tab w:val="center" w:pos="2832"/>
          <w:tab w:val="center" w:pos="3540"/>
          <w:tab w:val="center" w:pos="4527"/>
        </w:tabs>
        <w:spacing w:after="15"/>
        <w:ind w:left="-14" w:firstLine="0"/>
        <w:rPr>
          <w:lang w:val="en-US"/>
        </w:rPr>
      </w:pPr>
      <w:r w:rsidRPr="00A94888">
        <w:rPr>
          <w:lang w:val="en-US"/>
        </w:rPr>
        <w:t xml:space="preserve">Tulathromycinum </w:t>
      </w:r>
      <w:r w:rsidRPr="00A94888">
        <w:rPr>
          <w:lang w:val="en-US"/>
        </w:rPr>
        <w:tab/>
        <w:t xml:space="preserve"> </w:t>
      </w:r>
      <w:r w:rsidRPr="00A94888">
        <w:rPr>
          <w:lang w:val="en-US"/>
        </w:rPr>
        <w:tab/>
        <w:t xml:space="preserve"> </w:t>
      </w:r>
      <w:r w:rsidRPr="00A94888">
        <w:rPr>
          <w:lang w:val="en-US"/>
        </w:rPr>
        <w:tab/>
        <w:t>25 mg</w:t>
      </w:r>
    </w:p>
    <w:p w:rsidR="00F22C31" w:rsidRPr="00A94888" w:rsidRDefault="00F22C31" w:rsidP="00F22C31">
      <w:pPr>
        <w:spacing w:after="0" w:line="259" w:lineRule="auto"/>
        <w:ind w:left="1" w:firstLine="0"/>
        <w:rPr>
          <w:lang w:val="en-US"/>
        </w:rPr>
      </w:pPr>
    </w:p>
    <w:p w:rsidR="00F22C31" w:rsidRPr="00A94888" w:rsidRDefault="00F22C31" w:rsidP="00F22C31">
      <w:pPr>
        <w:ind w:left="-4"/>
        <w:rPr>
          <w:lang w:val="en-US"/>
        </w:rPr>
      </w:pPr>
      <w:r w:rsidRPr="00A94888">
        <w:rPr>
          <w:b/>
          <w:lang w:val="en-US"/>
        </w:rPr>
        <w:t xml:space="preserve">Pomocné látky: </w:t>
      </w:r>
    </w:p>
    <w:p w:rsidR="00F22C31" w:rsidRPr="00A94888" w:rsidRDefault="00F22C31" w:rsidP="00F22C31">
      <w:pPr>
        <w:tabs>
          <w:tab w:val="center" w:pos="2124"/>
          <w:tab w:val="center" w:pos="2833"/>
          <w:tab w:val="center" w:pos="3541"/>
          <w:tab w:val="center" w:pos="4582"/>
        </w:tabs>
        <w:spacing w:after="15"/>
        <w:ind w:left="-14" w:firstLine="0"/>
        <w:rPr>
          <w:lang w:val="en-US"/>
        </w:rPr>
      </w:pPr>
      <w:r w:rsidRPr="00A94888">
        <w:rPr>
          <w:lang w:val="en-US"/>
        </w:rPr>
        <w:t xml:space="preserve">Monothioglycerolum </w:t>
      </w:r>
      <w:r w:rsidRPr="00A94888">
        <w:rPr>
          <w:lang w:val="en-US"/>
        </w:rPr>
        <w:tab/>
        <w:t xml:space="preserve"> </w:t>
      </w:r>
      <w:r w:rsidRPr="00A94888">
        <w:rPr>
          <w:lang w:val="en-US"/>
        </w:rPr>
        <w:tab/>
        <w:t xml:space="preserve"> </w:t>
      </w:r>
      <w:r w:rsidRPr="00A94888">
        <w:rPr>
          <w:lang w:val="en-US"/>
        </w:rPr>
        <w:tab/>
        <w:t>5 mg</w:t>
      </w:r>
    </w:p>
    <w:p w:rsidR="00F22C31" w:rsidRPr="00A94888" w:rsidRDefault="00F22C31" w:rsidP="00F22C31">
      <w:pPr>
        <w:spacing w:after="32" w:line="259" w:lineRule="auto"/>
        <w:ind w:left="1" w:firstLine="0"/>
        <w:rPr>
          <w:lang w:val="en-US"/>
        </w:rPr>
      </w:pPr>
    </w:p>
    <w:p w:rsidR="00F22C31" w:rsidRPr="002841F2" w:rsidRDefault="00F22C31" w:rsidP="00F22C31">
      <w:pPr>
        <w:ind w:left="-4"/>
        <w:rPr>
          <w:lang w:val="en-US"/>
        </w:rPr>
      </w:pPr>
      <w:r w:rsidRPr="002841F2">
        <w:rPr>
          <w:lang w:val="en-US"/>
        </w:rPr>
        <w:t xml:space="preserve">Číry, bezfarebný až mierne žltý roztok.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Default="00F22C31" w:rsidP="00F22C31">
      <w:pPr>
        <w:pStyle w:val="Nadpis1"/>
        <w:tabs>
          <w:tab w:val="center" w:pos="1389"/>
        </w:tabs>
        <w:spacing w:after="1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4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INDIKÁCIA (-E) </w:t>
      </w:r>
    </w:p>
    <w:p w:rsidR="003F354B" w:rsidRPr="003F354B" w:rsidRDefault="003F354B" w:rsidP="003F354B">
      <w:pPr>
        <w:rPr>
          <w:lang w:val="en-US"/>
        </w:rPr>
      </w:pP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Liečba a metafylaxia respiračného ochorenia ošípaných spojeného s </w:t>
      </w:r>
      <w:r w:rsidRPr="00A94888">
        <w:rPr>
          <w:i/>
          <w:lang w:val="en-US"/>
        </w:rPr>
        <w:t>Actinobacillus</w:t>
      </w:r>
      <w:r>
        <w:rPr>
          <w:i/>
          <w:lang w:val="en-US"/>
        </w:rPr>
        <w:t xml:space="preserve"> </w:t>
      </w:r>
      <w:r w:rsidRPr="00A94888">
        <w:rPr>
          <w:i/>
          <w:lang w:val="en-US"/>
        </w:rPr>
        <w:t>pleuropneumoniae, Pasteurella</w:t>
      </w:r>
      <w:r>
        <w:rPr>
          <w:i/>
          <w:lang w:val="en-US"/>
        </w:rPr>
        <w:t xml:space="preserve"> </w:t>
      </w:r>
      <w:r w:rsidRPr="00A94888">
        <w:rPr>
          <w:i/>
          <w:lang w:val="en-US"/>
        </w:rPr>
        <w:t>multocida, Mycoplasma</w:t>
      </w:r>
      <w:r>
        <w:rPr>
          <w:i/>
          <w:lang w:val="en-US"/>
        </w:rPr>
        <w:t xml:space="preserve"> </w:t>
      </w:r>
      <w:r w:rsidRPr="00A94888">
        <w:rPr>
          <w:i/>
          <w:lang w:val="en-US"/>
        </w:rPr>
        <w:t>hyopneumoniae, Haemophilus</w:t>
      </w:r>
      <w:r>
        <w:rPr>
          <w:i/>
          <w:lang w:val="en-US"/>
        </w:rPr>
        <w:t xml:space="preserve"> </w:t>
      </w:r>
      <w:r w:rsidRPr="00A94888">
        <w:rPr>
          <w:i/>
          <w:lang w:val="en-US"/>
        </w:rPr>
        <w:t>parasuis</w:t>
      </w:r>
      <w:r>
        <w:rPr>
          <w:i/>
          <w:lang w:val="en-US"/>
        </w:rPr>
        <w:t xml:space="preserve"> </w:t>
      </w:r>
      <w:r w:rsidRPr="00A94888">
        <w:rPr>
          <w:lang w:val="en-US"/>
        </w:rPr>
        <w:t xml:space="preserve">a </w:t>
      </w:r>
      <w:r w:rsidRPr="00A94888">
        <w:rPr>
          <w:i/>
          <w:lang w:val="en-US"/>
        </w:rPr>
        <w:t>Bordetella</w:t>
      </w:r>
      <w:r>
        <w:rPr>
          <w:i/>
          <w:lang w:val="en-US"/>
        </w:rPr>
        <w:t xml:space="preserve"> </w:t>
      </w:r>
      <w:r w:rsidRPr="00A94888">
        <w:rPr>
          <w:i/>
          <w:lang w:val="en-US"/>
        </w:rPr>
        <w:lastRenderedPageBreak/>
        <w:t>bronchiseptica</w:t>
      </w:r>
      <w:r w:rsidRPr="00A94888">
        <w:rPr>
          <w:lang w:val="en-US"/>
        </w:rPr>
        <w:t xml:space="preserve"> </w:t>
      </w:r>
      <w:r>
        <w:rPr>
          <w:lang w:val="en-US"/>
        </w:rPr>
        <w:t>citlivými</w:t>
      </w:r>
      <w:r w:rsidRPr="00A94888">
        <w:rPr>
          <w:lang w:val="en-US"/>
        </w:rPr>
        <w:t xml:space="preserve"> 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tulatromycín. Prítomnosť ochorenia v </w:t>
      </w:r>
      <w:r w:rsidRPr="00961889">
        <w:rPr>
          <w:lang w:val="en-US"/>
        </w:rPr>
        <w:t>skupine musí byť</w:t>
      </w:r>
      <w:r>
        <w:rPr>
          <w:lang w:val="en-US"/>
        </w:rPr>
        <w:t xml:space="preserve"> </w:t>
      </w:r>
      <w:r w:rsidRPr="00961889">
        <w:rPr>
          <w:lang w:val="en-US"/>
        </w:rPr>
        <w:t>stanovená pred použitím lieku.</w:t>
      </w:r>
      <w:r w:rsidRPr="00A94888">
        <w:rPr>
          <w:lang w:val="en-US"/>
        </w:rPr>
        <w:t xml:space="preserve"> 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Veterinárny liek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má použiť v prípade, keď sa u ošípaných očakáva prepuknutie ochorenia v priebehu 2 - 3 dní.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Default="00F22C31" w:rsidP="00F22C31">
      <w:pPr>
        <w:pStyle w:val="Nadpis1"/>
        <w:tabs>
          <w:tab w:val="center" w:pos="1655"/>
        </w:tabs>
        <w:spacing w:after="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5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KONTRAINDIKÁCIE </w:t>
      </w:r>
    </w:p>
    <w:p w:rsidR="00F22C31" w:rsidRPr="001B57C1" w:rsidRDefault="00F22C31" w:rsidP="00F22C31">
      <w:pPr>
        <w:spacing w:after="0"/>
        <w:rPr>
          <w:lang w:val="en-US"/>
        </w:rPr>
      </w:pPr>
    </w:p>
    <w:p w:rsidR="00F22C31" w:rsidRDefault="00F22C31" w:rsidP="00F22C31">
      <w:pPr>
        <w:spacing w:after="55" w:line="259" w:lineRule="auto"/>
        <w:ind w:left="0" w:firstLine="0"/>
        <w:rPr>
          <w:lang w:val="en-US"/>
        </w:rPr>
      </w:pPr>
      <w:r w:rsidRPr="00BF7C4B">
        <w:rPr>
          <w:lang w:val="en-US"/>
        </w:rPr>
        <w:t xml:space="preserve">Nepoužívať v prípadoch precitlivenosti </w:t>
      </w:r>
      <w:r w:rsidRPr="00531CB7">
        <w:rPr>
          <w:lang w:val="en-US"/>
        </w:rPr>
        <w:t xml:space="preserve">cieľových zvierat </w:t>
      </w:r>
      <w:proofErr w:type="gramStart"/>
      <w:r w:rsidRPr="00531CB7">
        <w:rPr>
          <w:lang w:val="en-US"/>
        </w:rPr>
        <w:t>na</w:t>
      </w:r>
      <w:proofErr w:type="gramEnd"/>
      <w:r w:rsidRPr="00531CB7">
        <w:rPr>
          <w:lang w:val="en-US"/>
        </w:rPr>
        <w:t xml:space="preserve"> makrolidové antibiotiká </w:t>
      </w:r>
      <w:r w:rsidRPr="00BF7C4B">
        <w:rPr>
          <w:lang w:val="en-US"/>
        </w:rPr>
        <w:t>alebo na niektorú z pomocných látok.</w:t>
      </w:r>
    </w:p>
    <w:p w:rsidR="00F22C31" w:rsidRPr="00A94888" w:rsidRDefault="00F22C31" w:rsidP="00F22C31">
      <w:pPr>
        <w:spacing w:after="55" w:line="259" w:lineRule="auto"/>
        <w:ind w:left="0" w:firstLine="0"/>
        <w:rPr>
          <w:lang w:val="en-US"/>
        </w:rPr>
      </w:pPr>
    </w:p>
    <w:p w:rsidR="00F22C31" w:rsidRDefault="00F22C31" w:rsidP="00F22C31">
      <w:pPr>
        <w:pStyle w:val="Nadpis1"/>
        <w:tabs>
          <w:tab w:val="center" w:pos="1699"/>
        </w:tabs>
        <w:spacing w:after="0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6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NEŽIADUCE ÚČINKY </w:t>
      </w:r>
    </w:p>
    <w:p w:rsidR="00F22C31" w:rsidRPr="001B57C1" w:rsidRDefault="00F22C31" w:rsidP="00F22C31">
      <w:pPr>
        <w:spacing w:after="0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Patomorfologické reakcie v mieste vpichu (vrátane reverzibilných zmien </w:t>
      </w:r>
      <w:r>
        <w:rPr>
          <w:lang w:val="en-US"/>
        </w:rPr>
        <w:t>v prekrvení</w:t>
      </w:r>
      <w:r w:rsidRPr="00A94888">
        <w:rPr>
          <w:lang w:val="en-US"/>
        </w:rPr>
        <w:t xml:space="preserve">, edému, fibrózy a hemorágie) sú </w:t>
      </w:r>
      <w:r>
        <w:rPr>
          <w:lang w:val="en-US"/>
        </w:rPr>
        <w:t>prítomné</w:t>
      </w:r>
      <w:r w:rsidRPr="00A94888">
        <w:rPr>
          <w:lang w:val="en-US"/>
        </w:rPr>
        <w:t xml:space="preserve"> približne 30 dní po injekcii. </w:t>
      </w:r>
    </w:p>
    <w:p w:rsidR="00F22C31" w:rsidRPr="00A94888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proofErr w:type="gramStart"/>
      <w:r w:rsidRPr="00A94888">
        <w:rPr>
          <w:lang w:val="en-US"/>
        </w:rPr>
        <w:t>Ak</w:t>
      </w:r>
      <w:proofErr w:type="gramEnd"/>
      <w:r w:rsidRPr="00A94888">
        <w:rPr>
          <w:lang w:val="en-US"/>
        </w:rPr>
        <w:t xml:space="preserve"> zistíte akékoľvek nežiaduce účinky, aj tie, ktoré už nie sú uvedené v tejto písomnej informácii pre používateľov alebo si myslíte, že liek je neúčinný, informujte vášho veterinárneho lekára. </w:t>
      </w:r>
    </w:p>
    <w:p w:rsidR="00F22C31" w:rsidRPr="00A94888" w:rsidRDefault="00F22C31" w:rsidP="00F22C31">
      <w:pPr>
        <w:spacing w:after="51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tabs>
          <w:tab w:val="center" w:pos="1460"/>
        </w:tabs>
        <w:spacing w:after="1" w:line="258" w:lineRule="auto"/>
        <w:ind w:left="-14" w:firstLine="0"/>
        <w:rPr>
          <w:lang w:val="en-US"/>
        </w:rPr>
      </w:pPr>
      <w:r w:rsidRPr="00A94888">
        <w:rPr>
          <w:b/>
          <w:shd w:val="clear" w:color="auto" w:fill="C1C2C2"/>
          <w:lang w:val="en-US"/>
        </w:rPr>
        <w:t>7</w:t>
      </w:r>
      <w:r w:rsidRPr="00A94888">
        <w:rPr>
          <w:b/>
          <w:lang w:val="en-US"/>
        </w:rPr>
        <w:t xml:space="preserve">. </w:t>
      </w:r>
      <w:r w:rsidRPr="00A94888">
        <w:rPr>
          <w:b/>
          <w:lang w:val="en-US"/>
        </w:rPr>
        <w:tab/>
        <w:t xml:space="preserve"> CIEĽOVÝ DRUH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Ošípané.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4486"/>
        </w:tabs>
        <w:spacing w:after="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8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DÁVKOVANIE PRE KAŽDÝ DRUH, CESTA (-Y) A SPÔSOB PODANIA LIEKU </w:t>
      </w:r>
    </w:p>
    <w:p w:rsidR="00F22C31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</w:p>
    <w:p w:rsidR="00F22C31" w:rsidRPr="009824CD" w:rsidRDefault="00F22C31" w:rsidP="00F22C31">
      <w:pPr>
        <w:spacing w:after="0" w:line="259" w:lineRule="auto"/>
        <w:ind w:left="1" w:firstLine="0"/>
        <w:rPr>
          <w:lang w:val="en-US"/>
        </w:rPr>
      </w:pPr>
      <w:r w:rsidRPr="00A94888">
        <w:rPr>
          <w:lang w:val="en-US"/>
        </w:rPr>
        <w:t>Intramuskulárne podanie.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>Jednorazová intramuskulárna injekcia 2</w:t>
      </w:r>
      <w:proofErr w:type="gramStart"/>
      <w:r w:rsidRPr="00A94888">
        <w:rPr>
          <w:lang w:val="en-US"/>
        </w:rPr>
        <w:t>,5</w:t>
      </w:r>
      <w:proofErr w:type="gramEnd"/>
      <w:r w:rsidRPr="00A94888">
        <w:rPr>
          <w:lang w:val="en-US"/>
        </w:rPr>
        <w:t xml:space="preserve"> mg tulatromycínu/kg živej hmotnosti (ekvivalent 1 ml/10 kg živej hmotnosti) do krku. 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Pri liečbe ošípaných </w:t>
      </w:r>
      <w:proofErr w:type="gramStart"/>
      <w:r w:rsidRPr="00A94888">
        <w:rPr>
          <w:lang w:val="en-US"/>
        </w:rPr>
        <w:t>nad</w:t>
      </w:r>
      <w:proofErr w:type="gramEnd"/>
      <w:r w:rsidRPr="00A94888">
        <w:rPr>
          <w:lang w:val="en-US"/>
        </w:rPr>
        <w:t xml:space="preserve"> 40 kg živej hmotnosti, rozdeliť dávku tak, aby na jedno miesto nebolo injikované viac ako 4 ml.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2202"/>
        </w:tabs>
        <w:spacing w:after="1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9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POKYN O SPRÁVNOM PODANÍ </w:t>
      </w:r>
    </w:p>
    <w:p w:rsidR="00F22C31" w:rsidRPr="00A94888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r w:rsidRPr="00AB1909">
        <w:rPr>
          <w:lang w:val="en-US"/>
        </w:rPr>
        <w:t xml:space="preserve">Pri akomkoľvek respiračnom ochorení </w:t>
      </w:r>
      <w:proofErr w:type="gramStart"/>
      <w:r w:rsidRPr="00AB1909">
        <w:rPr>
          <w:lang w:val="en-US"/>
        </w:rPr>
        <w:t>sa</w:t>
      </w:r>
      <w:proofErr w:type="gramEnd"/>
      <w:r w:rsidRPr="00AB1909">
        <w:rPr>
          <w:lang w:val="en-US"/>
        </w:rPr>
        <w:t xml:space="preserve"> odporúča liečiť zvieratá v počiatočných štádiach ochorenia a</w:t>
      </w:r>
      <w:r>
        <w:rPr>
          <w:lang w:val="en-US"/>
        </w:rPr>
        <w:t xml:space="preserve"> </w:t>
      </w:r>
      <w:r w:rsidRPr="00AB1909">
        <w:rPr>
          <w:lang w:val="en-US"/>
        </w:rPr>
        <w:t>zhodnotiť odpoveď na liečbu za</w:t>
      </w:r>
      <w:r w:rsidRPr="00A94888">
        <w:rPr>
          <w:lang w:val="en-US"/>
        </w:rPr>
        <w:t xml:space="preserve"> 48 hodín po injekcii. </w:t>
      </w:r>
      <w:proofErr w:type="gramStart"/>
      <w:r w:rsidRPr="00A94888">
        <w:rPr>
          <w:lang w:val="en-US"/>
        </w:rPr>
        <w:t>Ak</w:t>
      </w:r>
      <w:proofErr w:type="gramEnd"/>
      <w:r w:rsidRPr="00A94888">
        <w:rPr>
          <w:lang w:val="en-US"/>
        </w:rPr>
        <w:t xml:space="preserve"> klinické príznaky respiračného ochorenia pretrvávajú alebo sa zvyšujú, alebo ak dôjde k </w:t>
      </w:r>
      <w:r>
        <w:rPr>
          <w:lang w:val="en-US"/>
        </w:rPr>
        <w:t>opätovnému zhoršeniu stavu</w:t>
      </w:r>
      <w:r w:rsidRPr="00A94888">
        <w:rPr>
          <w:lang w:val="en-US"/>
        </w:rPr>
        <w:t>, liečba sa má zmeniť s použitím iného antibiotika a má pokračovať až do vy</w:t>
      </w:r>
      <w:r>
        <w:rPr>
          <w:lang w:val="en-US"/>
        </w:rPr>
        <w:t>miznutia</w:t>
      </w:r>
      <w:r w:rsidRPr="00A94888">
        <w:rPr>
          <w:lang w:val="en-US"/>
        </w:rPr>
        <w:t xml:space="preserve"> klinických príznakov. </w:t>
      </w:r>
    </w:p>
    <w:p w:rsidR="00F22C31" w:rsidRPr="00A94888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Aby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zabezpečilo správne dávkovanie, má sa stanoviť živá hmotnosť čo najpresnejšie, aby sa zabránilo poddávkovaniu.</w:t>
      </w:r>
      <w:r>
        <w:rPr>
          <w:lang w:val="en-US"/>
        </w:rPr>
        <w:t xml:space="preserve"> </w:t>
      </w:r>
      <w:r w:rsidRPr="00A94888">
        <w:rPr>
          <w:lang w:val="en-US"/>
        </w:rPr>
        <w:t xml:space="preserve">Uzáver môže byť bezpečne prepichnutý až </w:t>
      </w:r>
      <w:r>
        <w:rPr>
          <w:lang w:val="en-US"/>
        </w:rPr>
        <w:t>10</w:t>
      </w:r>
      <w:r w:rsidRPr="00A94888">
        <w:rPr>
          <w:lang w:val="en-US"/>
        </w:rPr>
        <w:t xml:space="preserve">0-krát. Pre viacnásobné použitie liekoviek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odporúča nasávacia ihla alebo viacdávková injekčná striekačka, aby sa predišlo nadmernému prepichovaniu uzáveru. 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tabs>
          <w:tab w:val="center" w:pos="1714"/>
        </w:tabs>
        <w:ind w:left="-14" w:firstLine="0"/>
        <w:rPr>
          <w:lang w:val="en-US"/>
        </w:rPr>
      </w:pPr>
      <w:r w:rsidRPr="00A94888">
        <w:rPr>
          <w:b/>
          <w:shd w:val="clear" w:color="auto" w:fill="C1C2C2"/>
          <w:lang w:val="en-US"/>
        </w:rPr>
        <w:t>10.</w:t>
      </w:r>
      <w:r w:rsidRPr="00A94888">
        <w:rPr>
          <w:b/>
          <w:lang w:val="en-US"/>
        </w:rPr>
        <w:t xml:space="preserve"> </w:t>
      </w:r>
      <w:r w:rsidRPr="00A94888">
        <w:rPr>
          <w:b/>
          <w:lang w:val="en-US"/>
        </w:rPr>
        <w:tab/>
        <w:t>OCHRANNÁ LEHOTA</w:t>
      </w:r>
      <w:r w:rsidRPr="00A94888">
        <w:rPr>
          <w:lang w:val="en-US"/>
        </w:rPr>
        <w:t xml:space="preserve">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15"/>
        <w:ind w:left="-4"/>
        <w:rPr>
          <w:lang w:val="en-US"/>
        </w:rPr>
      </w:pPr>
      <w:r w:rsidRPr="00A94888">
        <w:rPr>
          <w:lang w:val="en-US"/>
        </w:rPr>
        <w:t xml:space="preserve">Mäso a vnútornosti: </w:t>
      </w:r>
      <w:r>
        <w:rPr>
          <w:lang w:val="en-US"/>
        </w:rPr>
        <w:tab/>
      </w:r>
      <w:r w:rsidRPr="00A94888">
        <w:rPr>
          <w:lang w:val="en-US"/>
        </w:rPr>
        <w:t xml:space="preserve">13 dní. </w:t>
      </w:r>
    </w:p>
    <w:p w:rsidR="00F22C31" w:rsidRPr="00A94888" w:rsidRDefault="00F22C31" w:rsidP="00F22C31">
      <w:pPr>
        <w:spacing w:after="6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3806"/>
        </w:tabs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11.</w:t>
      </w:r>
      <w:r w:rsidRPr="00A94888">
        <w:rPr>
          <w:lang w:val="en-US"/>
        </w:rPr>
        <w:t xml:space="preserve"> </w:t>
      </w:r>
      <w:r w:rsidRPr="00A94888">
        <w:rPr>
          <w:lang w:val="en-US"/>
        </w:rPr>
        <w:tab/>
        <w:t xml:space="preserve">OSOBITNÉ BEZPEČNOSTNÉ OPATRENIA NA UCHOVÁVANIE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Uchovávajte mimo dohľadu a dosahu detí. </w:t>
      </w: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proofErr w:type="gramStart"/>
      <w:r w:rsidRPr="00BF7C4B">
        <w:rPr>
          <w:lang w:val="en-US"/>
        </w:rPr>
        <w:t>Čas</w:t>
      </w:r>
      <w:proofErr w:type="gramEnd"/>
      <w:r w:rsidRPr="00BF7C4B">
        <w:rPr>
          <w:lang w:val="en-US"/>
        </w:rPr>
        <w:t xml:space="preserve"> použiteľnosti po prvom otvorení obalu: 28 dní.</w:t>
      </w:r>
    </w:p>
    <w:p w:rsidR="00F22C31" w:rsidRPr="00EC6F0E" w:rsidRDefault="00F22C31" w:rsidP="00F22C31">
      <w:pPr>
        <w:spacing w:after="0" w:line="250" w:lineRule="auto"/>
        <w:ind w:left="0" w:firstLine="0"/>
        <w:jc w:val="both"/>
        <w:rPr>
          <w:i/>
          <w:lang w:val="en-US"/>
        </w:rPr>
      </w:pPr>
      <w:r w:rsidRPr="00EC6F0E">
        <w:rPr>
          <w:lang w:val="en-US"/>
        </w:rPr>
        <w:t>Uchovávať pri teplote neprevyšujúcej 30 </w:t>
      </w:r>
      <w:r>
        <w:sym w:font="Symbol" w:char="F0B0"/>
      </w:r>
      <w:r w:rsidRPr="00EC6F0E">
        <w:rPr>
          <w:lang w:val="en-US"/>
        </w:rPr>
        <w:t>C.</w:t>
      </w: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Nepoužívať tento veterinárny liek po dátume exspirácie uvedenom 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</w:t>
      </w:r>
      <w:r>
        <w:rPr>
          <w:lang w:val="en-US"/>
        </w:rPr>
        <w:t>obale</w:t>
      </w:r>
      <w:r w:rsidRPr="00A94888">
        <w:rPr>
          <w:lang w:val="en-US"/>
        </w:rPr>
        <w:t xml:space="preserve"> po EXP.</w:t>
      </w:r>
    </w:p>
    <w:p w:rsidR="00F22C31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lastRenderedPageBreak/>
        <w:t xml:space="preserve"> Dátum</w:t>
      </w:r>
      <w:r>
        <w:rPr>
          <w:lang w:val="en-US"/>
        </w:rPr>
        <w:t xml:space="preserve"> </w:t>
      </w:r>
      <w:r w:rsidRPr="00A94888">
        <w:rPr>
          <w:lang w:val="en-US"/>
        </w:rPr>
        <w:t>exspirácie</w:t>
      </w:r>
      <w:r>
        <w:rPr>
          <w:lang w:val="en-US"/>
        </w:rPr>
        <w:t xml:space="preserve"> </w:t>
      </w:r>
      <w:proofErr w:type="gramStart"/>
      <w:r w:rsidRPr="00A94888">
        <w:rPr>
          <w:lang w:val="en-US"/>
        </w:rPr>
        <w:t>sa</w:t>
      </w:r>
      <w:proofErr w:type="gramEnd"/>
      <w:r>
        <w:rPr>
          <w:lang w:val="en-US"/>
        </w:rPr>
        <w:t xml:space="preserve"> </w:t>
      </w:r>
      <w:r w:rsidRPr="00A94888">
        <w:rPr>
          <w:lang w:val="en-US"/>
        </w:rPr>
        <w:t>vzťahuje</w:t>
      </w:r>
      <w:r>
        <w:rPr>
          <w:lang w:val="en-US"/>
        </w:rPr>
        <w:t xml:space="preserve"> </w:t>
      </w:r>
      <w:r w:rsidRPr="00A94888">
        <w:rPr>
          <w:lang w:val="en-US"/>
        </w:rPr>
        <w:t>na</w:t>
      </w:r>
      <w:r>
        <w:rPr>
          <w:lang w:val="en-US"/>
        </w:rPr>
        <w:t xml:space="preserve"> </w:t>
      </w:r>
      <w:r w:rsidRPr="00A94888">
        <w:rPr>
          <w:lang w:val="en-US"/>
        </w:rPr>
        <w:t>posledný</w:t>
      </w:r>
      <w:r>
        <w:rPr>
          <w:lang w:val="en-US"/>
        </w:rPr>
        <w:t xml:space="preserve"> </w:t>
      </w:r>
      <w:r w:rsidRPr="00A94888">
        <w:rPr>
          <w:lang w:val="en-US"/>
        </w:rPr>
        <w:t>deň v uvedenom</w:t>
      </w:r>
      <w:r>
        <w:rPr>
          <w:lang w:val="en-US"/>
        </w:rPr>
        <w:t xml:space="preserve"> </w:t>
      </w:r>
      <w:r w:rsidRPr="00A94888">
        <w:rPr>
          <w:lang w:val="en-US"/>
        </w:rPr>
        <w:t xml:space="preserve">mesiaci. 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</w:p>
    <w:p w:rsidR="00F22C31" w:rsidRPr="000A24E3" w:rsidRDefault="00F22C31" w:rsidP="00F22C31">
      <w:pPr>
        <w:spacing w:before="120" w:after="0" w:line="250" w:lineRule="auto"/>
        <w:ind w:left="0" w:firstLine="0"/>
        <w:jc w:val="both"/>
        <w:rPr>
          <w:lang w:val="en-US"/>
        </w:rPr>
      </w:pPr>
      <w:r w:rsidRPr="000A24E3">
        <w:rPr>
          <w:lang w:val="sk-SK"/>
        </w:rPr>
        <w:t>P</w:t>
      </w:r>
      <w:r>
        <w:rPr>
          <w:lang w:val="sk-SK"/>
        </w:rPr>
        <w:t>o</w:t>
      </w:r>
      <w:r w:rsidRPr="000A24E3">
        <w:rPr>
          <w:lang w:val="sk-SK"/>
        </w:rPr>
        <w:t xml:space="preserve"> prvom otvorení obalu</w:t>
      </w:r>
      <w:r>
        <w:rPr>
          <w:lang w:val="sk-SK"/>
        </w:rPr>
        <w:t xml:space="preserve"> </w:t>
      </w:r>
      <w:r>
        <w:rPr>
          <w:lang w:val="it-IT"/>
        </w:rPr>
        <w:t>je potrebné na základe času použiteľnosti po prvom otvorení obalu uvedeného v tejto písomnej informácii pre používateľov vypočítať deň, kedy sa musia zlikvidovať akékoľvek zvyšky lieku v obale</w:t>
      </w:r>
      <w:r w:rsidRPr="000A24E3">
        <w:rPr>
          <w:lang w:val="sk-SK"/>
        </w:rPr>
        <w:t xml:space="preserve">. Tento dátum </w:t>
      </w:r>
      <w:r>
        <w:rPr>
          <w:lang w:val="sk-SK"/>
        </w:rPr>
        <w:t>likvidácie</w:t>
      </w:r>
      <w:r w:rsidRPr="000A24E3">
        <w:rPr>
          <w:lang w:val="sk-SK"/>
        </w:rPr>
        <w:t xml:space="preserve"> by sa mal uviesť na určenom mieste.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1994"/>
        </w:tabs>
        <w:spacing w:after="10" w:line="248" w:lineRule="auto"/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12</w:t>
      </w:r>
      <w:r w:rsidRPr="00A94888">
        <w:rPr>
          <w:lang w:val="en-US"/>
        </w:rPr>
        <w:t xml:space="preserve">. </w:t>
      </w:r>
      <w:r w:rsidRPr="00A94888">
        <w:rPr>
          <w:lang w:val="en-US"/>
        </w:rPr>
        <w:tab/>
        <w:t xml:space="preserve">OSOBITNÉ UPOZORNENIA </w:t>
      </w:r>
    </w:p>
    <w:p w:rsidR="00F22C31" w:rsidRDefault="00F22C31" w:rsidP="00F22C31">
      <w:pPr>
        <w:spacing w:after="37" w:line="259" w:lineRule="auto"/>
        <w:ind w:left="0" w:firstLine="0"/>
        <w:rPr>
          <w:lang w:val="en-US"/>
        </w:rPr>
      </w:pPr>
    </w:p>
    <w:p w:rsidR="00F22C31" w:rsidRPr="00307B99" w:rsidRDefault="00F22C31" w:rsidP="00F22C31">
      <w:pPr>
        <w:spacing w:after="37" w:line="259" w:lineRule="auto"/>
        <w:ind w:left="0" w:firstLine="0"/>
        <w:rPr>
          <w:u w:val="single"/>
          <w:lang w:val="en-US"/>
        </w:rPr>
      </w:pPr>
      <w:r w:rsidRPr="00307B99">
        <w:rPr>
          <w:u w:val="single"/>
          <w:lang w:val="en-US"/>
        </w:rPr>
        <w:t>Osobitné bezpečnostné opatrenia pre každý cieľový druh:</w:t>
      </w:r>
    </w:p>
    <w:p w:rsidR="00F22C31" w:rsidRDefault="00F22C31" w:rsidP="00F22C31">
      <w:pPr>
        <w:spacing w:after="0" w:line="240" w:lineRule="auto"/>
        <w:ind w:left="-4" w:right="-3"/>
        <w:rPr>
          <w:lang w:val="en-US"/>
        </w:rPr>
      </w:pPr>
      <w:r w:rsidRPr="00AB1909">
        <w:rPr>
          <w:lang w:val="en-US"/>
        </w:rPr>
        <w:t xml:space="preserve">Vyskytuje </w:t>
      </w:r>
      <w:proofErr w:type="gramStart"/>
      <w:r w:rsidRPr="00AB1909">
        <w:rPr>
          <w:lang w:val="en-US"/>
        </w:rPr>
        <w:t>sa</w:t>
      </w:r>
      <w:proofErr w:type="gramEnd"/>
      <w:r w:rsidRPr="00AB1909">
        <w:rPr>
          <w:lang w:val="en-US"/>
        </w:rPr>
        <w:t xml:space="preserve"> skrížená rezistencia s inými m</w:t>
      </w:r>
      <w:r>
        <w:rPr>
          <w:lang w:val="en-US"/>
        </w:rPr>
        <w:t xml:space="preserve">akrolidmi. Nepoužívať súčasne s </w:t>
      </w:r>
      <w:r w:rsidRPr="00AB1909">
        <w:rPr>
          <w:lang w:val="en-US"/>
        </w:rPr>
        <w:t>antimikrobikami s</w:t>
      </w:r>
      <w:r>
        <w:rPr>
          <w:lang w:val="en-US"/>
        </w:rPr>
        <w:t xml:space="preserve"> </w:t>
      </w:r>
      <w:r w:rsidRPr="00AB1909">
        <w:rPr>
          <w:lang w:val="en-US"/>
        </w:rPr>
        <w:t>podobným mechanizmom účinku, ako sú iné makrolidy alebo linkosamidy.</w:t>
      </w:r>
    </w:p>
    <w:p w:rsidR="00F22C31" w:rsidRPr="00A94888" w:rsidRDefault="00F22C31" w:rsidP="00F22C31">
      <w:pPr>
        <w:spacing w:after="37" w:line="259" w:lineRule="auto"/>
        <w:ind w:left="0" w:firstLine="0"/>
        <w:rPr>
          <w:lang w:val="en-US"/>
        </w:rPr>
      </w:pPr>
    </w:p>
    <w:p w:rsidR="00F22C31" w:rsidRDefault="00F22C31" w:rsidP="00F22C31">
      <w:pPr>
        <w:spacing w:after="0" w:line="240" w:lineRule="auto"/>
        <w:ind w:left="-4" w:right="1711"/>
        <w:rPr>
          <w:u w:val="single" w:color="000000"/>
          <w:lang w:val="en-US"/>
        </w:rPr>
      </w:pPr>
      <w:r w:rsidRPr="00A94888">
        <w:rPr>
          <w:u w:val="single" w:color="000000"/>
          <w:lang w:val="en-US"/>
        </w:rPr>
        <w:t xml:space="preserve">Osobitné bezpečnostné opatrenia </w:t>
      </w:r>
      <w:proofErr w:type="gramStart"/>
      <w:r w:rsidRPr="00A94888">
        <w:rPr>
          <w:u w:val="single" w:color="000000"/>
          <w:lang w:val="en-US"/>
        </w:rPr>
        <w:t>na</w:t>
      </w:r>
      <w:proofErr w:type="gramEnd"/>
      <w:r w:rsidRPr="00A94888">
        <w:rPr>
          <w:u w:val="single" w:color="000000"/>
          <w:lang w:val="en-US"/>
        </w:rPr>
        <w:t xml:space="preserve"> používanie u zvierat:</w:t>
      </w:r>
    </w:p>
    <w:p w:rsidR="00F22C31" w:rsidRPr="00775B1D" w:rsidRDefault="00F22C31" w:rsidP="0079444C">
      <w:pPr>
        <w:spacing w:after="0" w:line="240" w:lineRule="auto"/>
        <w:ind w:left="-4"/>
        <w:rPr>
          <w:u w:val="single" w:color="000000"/>
          <w:lang w:val="en-US"/>
        </w:rPr>
      </w:pPr>
      <w:r w:rsidRPr="00A94888">
        <w:rPr>
          <w:lang w:val="en-US"/>
        </w:rPr>
        <w:t xml:space="preserve">Liek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má použiť na základe stanovenia </w:t>
      </w:r>
      <w:r>
        <w:rPr>
          <w:lang w:val="en-US"/>
        </w:rPr>
        <w:t>citlivosti</w:t>
      </w:r>
      <w:r w:rsidRPr="00A94888">
        <w:rPr>
          <w:lang w:val="en-US"/>
        </w:rPr>
        <w:t xml:space="preserve"> baktérií izolovaných </w:t>
      </w:r>
      <w:r>
        <w:rPr>
          <w:lang w:val="en-US"/>
        </w:rPr>
        <w:t>zo</w:t>
      </w:r>
      <w:r w:rsidRPr="00A94888">
        <w:rPr>
          <w:lang w:val="en-US"/>
        </w:rPr>
        <w:t xml:space="preserve"> zvierat. Pokiaľ to nie je možné, liečba má byť stanovená podľa miestnych epidemiologických informácií (regionálnych, farmových) o </w:t>
      </w:r>
      <w:r>
        <w:rPr>
          <w:lang w:val="en-US"/>
        </w:rPr>
        <w:t>citlivosti</w:t>
      </w:r>
      <w:r w:rsidRPr="00A94888">
        <w:rPr>
          <w:lang w:val="en-US"/>
        </w:rPr>
        <w:t xml:space="preserve"> cieľových baktérií. Pri použití tohto veterinárneho lieku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má vziať do úvahy oficiálna, národná a regionálna antimikrobiálna politika. </w:t>
      </w:r>
    </w:p>
    <w:p w:rsidR="00F22C31" w:rsidRPr="00A94888" w:rsidRDefault="00F22C31" w:rsidP="00F22C31">
      <w:pPr>
        <w:spacing w:after="0" w:line="24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Použitie veterinárneho lieku, ktoré sa odlišuje od pokynov uvedených v písomnej informácii pre používateľov, môže zvýšiť prevalenciu baktérií rezistentných voči tulatromycínu a môže znížiť účinnosť liečby inými makrolidmi, </w:t>
      </w:r>
      <w:r w:rsidRPr="00905EC3">
        <w:rPr>
          <w:lang w:val="en-US"/>
        </w:rPr>
        <w:t>linkozamidmi a streptogramínmi skupiny B,</w:t>
      </w:r>
      <w:r>
        <w:rPr>
          <w:lang w:val="en-US"/>
        </w:rPr>
        <w:t xml:space="preserve"> </w:t>
      </w:r>
      <w:r w:rsidRPr="00A94888">
        <w:rPr>
          <w:lang w:val="en-US"/>
        </w:rPr>
        <w:t xml:space="preserve">v dôsledku možnej skríženej rezistencie. </w:t>
      </w:r>
    </w:p>
    <w:p w:rsidR="00F22C31" w:rsidRPr="00A94888" w:rsidRDefault="00F22C31" w:rsidP="00F22C31">
      <w:pPr>
        <w:spacing w:after="0" w:line="240" w:lineRule="auto"/>
        <w:ind w:left="0" w:hanging="11"/>
        <w:rPr>
          <w:lang w:val="en-US"/>
        </w:rPr>
      </w:pPr>
      <w:r w:rsidRPr="00A94888">
        <w:rPr>
          <w:lang w:val="en-US"/>
        </w:rPr>
        <w:t xml:space="preserve">Ak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vyskytne reakcia z precitlivenosti, musí byť okamžite podaná príslušná liečba. </w:t>
      </w:r>
    </w:p>
    <w:p w:rsidR="00F22C31" w:rsidRPr="00A94888" w:rsidRDefault="00F22C31" w:rsidP="00F22C31">
      <w:pPr>
        <w:spacing w:after="0" w:line="240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40" w:lineRule="auto"/>
        <w:ind w:left="-4" w:right="379"/>
        <w:rPr>
          <w:lang w:val="en-US"/>
        </w:rPr>
      </w:pPr>
      <w:r w:rsidRPr="00A94888">
        <w:rPr>
          <w:u w:val="single" w:color="000000"/>
          <w:lang w:val="en-US"/>
        </w:rPr>
        <w:t>Osobitné bezpečnostné opatrenia, ktoré má urobiť osoba podávajúca liek zvieratám:</w:t>
      </w:r>
    </w:p>
    <w:p w:rsidR="00F22C31" w:rsidRPr="00A94888" w:rsidRDefault="00F22C31" w:rsidP="00F22C31">
      <w:pPr>
        <w:spacing w:after="0" w:line="24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Tulatromycín dráždi oči. </w:t>
      </w:r>
      <w:proofErr w:type="gramStart"/>
      <w:r w:rsidRPr="00A94888">
        <w:rPr>
          <w:lang w:val="en-US"/>
        </w:rPr>
        <w:t>Ak</w:t>
      </w:r>
      <w:proofErr w:type="gramEnd"/>
      <w:r w:rsidRPr="00A94888">
        <w:rPr>
          <w:lang w:val="en-US"/>
        </w:rPr>
        <w:t xml:space="preserve"> dôjde k náhodnému kontaktu s očami, ihneď vypláchnuť oči čistou vodou. </w:t>
      </w:r>
    </w:p>
    <w:p w:rsidR="00F22C31" w:rsidRPr="00A94888" w:rsidRDefault="00F22C31" w:rsidP="00F22C31">
      <w:pPr>
        <w:spacing w:after="0" w:line="24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Tulatromycín môže spôsobiť podráždenie pri kontakte s pokožkou. </w:t>
      </w:r>
      <w:proofErr w:type="gramStart"/>
      <w:r w:rsidRPr="00A94888">
        <w:rPr>
          <w:lang w:val="en-US"/>
        </w:rPr>
        <w:t>Ak</w:t>
      </w:r>
      <w:proofErr w:type="gramEnd"/>
      <w:r w:rsidRPr="00A94888">
        <w:rPr>
          <w:lang w:val="en-US"/>
        </w:rPr>
        <w:t xml:space="preserve"> dôjde k náhodnému kontaktu s pokožkou, ihneď umyť pokožku mydlom a vodou. </w:t>
      </w:r>
    </w:p>
    <w:p w:rsidR="00F22C31" w:rsidRPr="00A94888" w:rsidRDefault="00F22C31" w:rsidP="00F22C31">
      <w:pPr>
        <w:spacing w:after="0" w:line="24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Po použití umyť ruky. </w:t>
      </w:r>
    </w:p>
    <w:p w:rsidR="00F22C31" w:rsidRPr="00A94888" w:rsidRDefault="00F22C31" w:rsidP="00F22C31">
      <w:pPr>
        <w:spacing w:after="0" w:line="24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V prípade náhodného samoinjikovania vyhľadať ihneď lekársku pomoc </w:t>
      </w:r>
      <w:proofErr w:type="gramStart"/>
      <w:r w:rsidRPr="00A94888">
        <w:rPr>
          <w:lang w:val="en-US"/>
        </w:rPr>
        <w:t>a</w:t>
      </w:r>
      <w:proofErr w:type="gramEnd"/>
      <w:r w:rsidRPr="00A94888">
        <w:rPr>
          <w:lang w:val="en-US"/>
        </w:rPr>
        <w:t xml:space="preserve"> ukázať písomnú informáciu pre používateľov alebo obal lekárovi. </w:t>
      </w:r>
    </w:p>
    <w:p w:rsidR="00F22C31" w:rsidRPr="00A94888" w:rsidRDefault="00F22C31" w:rsidP="00F22C31">
      <w:pPr>
        <w:spacing w:after="0" w:line="240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40" w:lineRule="auto"/>
        <w:ind w:left="-4"/>
        <w:rPr>
          <w:lang w:val="en-US"/>
        </w:rPr>
      </w:pPr>
      <w:r w:rsidRPr="00A94888">
        <w:rPr>
          <w:u w:val="single" w:color="000000"/>
          <w:lang w:val="en-US"/>
        </w:rPr>
        <w:t>Gravidita a laktácia:</w:t>
      </w:r>
      <w:r w:rsidRPr="00A94888">
        <w:rPr>
          <w:lang w:val="en-US"/>
        </w:rPr>
        <w:t xml:space="preserve"> </w:t>
      </w:r>
    </w:p>
    <w:p w:rsidR="00F22C31" w:rsidRDefault="00F22C31" w:rsidP="00F22C31">
      <w:pPr>
        <w:spacing w:after="0" w:line="24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Laboratórne štúdie </w:t>
      </w:r>
      <w:proofErr w:type="gramStart"/>
      <w:r w:rsidRPr="00A94888">
        <w:rPr>
          <w:lang w:val="en-US"/>
        </w:rPr>
        <w:t>na</w:t>
      </w:r>
      <w:proofErr w:type="gramEnd"/>
      <w:r w:rsidRPr="00A94888">
        <w:rPr>
          <w:lang w:val="en-US"/>
        </w:rPr>
        <w:t xml:space="preserve"> potkanoch a králikoch nepotvrdili žiadne teratogénne, fetotoxické alebo maternotoxické účinky. Bezpečnosť veterinárneho lieku nebola stanovená počas gravidity a laktácie. Použiť len po zhodnotení prínosu/rizika zodpovedným veterinárnym lekárom.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40" w:lineRule="auto"/>
        <w:ind w:left="-4"/>
        <w:rPr>
          <w:lang w:val="en-US"/>
        </w:rPr>
      </w:pPr>
      <w:r w:rsidRPr="00A94888">
        <w:rPr>
          <w:u w:val="single" w:color="000000"/>
          <w:lang w:val="en-US"/>
        </w:rPr>
        <w:t xml:space="preserve">Liekové interakcie </w:t>
      </w:r>
      <w:proofErr w:type="gramStart"/>
      <w:r w:rsidRPr="00A94888">
        <w:rPr>
          <w:u w:val="single" w:color="000000"/>
          <w:lang w:val="en-US"/>
        </w:rPr>
        <w:t>a</w:t>
      </w:r>
      <w:proofErr w:type="gramEnd"/>
      <w:r w:rsidRPr="00A94888">
        <w:rPr>
          <w:u w:val="single" w:color="000000"/>
          <w:lang w:val="en-US"/>
        </w:rPr>
        <w:t xml:space="preserve"> iné formy vzájomného pôsobenia:</w:t>
      </w:r>
      <w:r w:rsidRPr="00A94888">
        <w:rPr>
          <w:lang w:val="en-US"/>
        </w:rPr>
        <w:t xml:space="preserve"> </w:t>
      </w:r>
    </w:p>
    <w:p w:rsidR="00F22C31" w:rsidRDefault="00F22C31" w:rsidP="00F22C31">
      <w:pPr>
        <w:spacing w:after="0" w:line="259" w:lineRule="auto"/>
        <w:ind w:left="0" w:firstLine="0"/>
        <w:rPr>
          <w:lang w:val="en-US"/>
        </w:rPr>
      </w:pPr>
      <w:r w:rsidRPr="0046310D">
        <w:rPr>
          <w:lang w:val="en-US"/>
        </w:rPr>
        <w:t>Nie sú známe.</w:t>
      </w:r>
    </w:p>
    <w:p w:rsidR="0079444C" w:rsidRDefault="0079444C" w:rsidP="00F22C31">
      <w:pPr>
        <w:spacing w:after="0" w:line="259" w:lineRule="auto"/>
        <w:ind w:left="-4"/>
        <w:rPr>
          <w:u w:val="single" w:color="000000"/>
          <w:lang w:val="en-US"/>
        </w:rPr>
      </w:pPr>
    </w:p>
    <w:p w:rsidR="00F22C31" w:rsidRPr="00A94888" w:rsidRDefault="00F22C31" w:rsidP="00F22C31">
      <w:pPr>
        <w:spacing w:after="0" w:line="259" w:lineRule="auto"/>
        <w:ind w:left="-4"/>
        <w:rPr>
          <w:lang w:val="en-US"/>
        </w:rPr>
      </w:pPr>
      <w:r w:rsidRPr="00A94888">
        <w:rPr>
          <w:u w:val="single" w:color="000000"/>
          <w:lang w:val="en-US"/>
        </w:rPr>
        <w:t>Predávkovanie (príznaky, núdzové postupy, antidotá):</w:t>
      </w:r>
      <w:r w:rsidRPr="00A94888">
        <w:rPr>
          <w:lang w:val="en-US"/>
        </w:rPr>
        <w:t xml:space="preserve"> 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U mladých ošípaných, s hmotnosťou približne 10 kg, po podaní troj- alebo päťnásobku liečebnej dávky boli pozorované prechodné príznaky spojené s problémami v mieste vpichu a zahŕňali nadmernú vokalizáciu a nepokoj. Taktiež bolo pozorované krívanie, </w:t>
      </w:r>
      <w:proofErr w:type="gramStart"/>
      <w:r w:rsidRPr="00A94888">
        <w:rPr>
          <w:lang w:val="en-US"/>
        </w:rPr>
        <w:t>ak</w:t>
      </w:r>
      <w:proofErr w:type="gramEnd"/>
      <w:r w:rsidRPr="00A94888">
        <w:rPr>
          <w:lang w:val="en-US"/>
        </w:rPr>
        <w:t xml:space="preserve"> bola miestom aplikácie zadná noha.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59" w:lineRule="auto"/>
        <w:ind w:left="-4"/>
        <w:rPr>
          <w:lang w:val="en-US"/>
        </w:rPr>
      </w:pPr>
      <w:r w:rsidRPr="00A94888">
        <w:rPr>
          <w:u w:val="single" w:color="000000"/>
          <w:lang w:val="en-US"/>
        </w:rPr>
        <w:t>Inkompatibility:</w:t>
      </w:r>
      <w:r w:rsidRPr="00A94888">
        <w:rPr>
          <w:lang w:val="en-US"/>
        </w:rPr>
        <w:t xml:space="preserve"> 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Z dôvodu chýbania štúdií kompatibility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tento veterinárny liek nesmie miešať s inými veterinárnymi liekmi. </w:t>
      </w:r>
    </w:p>
    <w:p w:rsidR="00F22C31" w:rsidRPr="00A94888" w:rsidRDefault="00F22C31" w:rsidP="00F22C31">
      <w:pPr>
        <w:spacing w:after="61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ind w:left="552" w:hanging="566"/>
        <w:rPr>
          <w:lang w:val="en-US"/>
        </w:rPr>
      </w:pPr>
      <w:r w:rsidRPr="00A94888">
        <w:rPr>
          <w:shd w:val="clear" w:color="auto" w:fill="C1C2C2"/>
          <w:lang w:val="en-US"/>
        </w:rPr>
        <w:t>13.</w:t>
      </w:r>
      <w:r w:rsidRPr="00A94888">
        <w:rPr>
          <w:lang w:val="en-US"/>
        </w:rPr>
        <w:t xml:space="preserve"> </w:t>
      </w:r>
      <w:r w:rsidRPr="00A94888">
        <w:rPr>
          <w:lang w:val="en-US"/>
        </w:rPr>
        <w:tab/>
        <w:t xml:space="preserve">OSOBITNÉ BEZPEČNOSTNÉ OPATRENIA NA ZNEŠKODNENIE NEPOUŽITÉHO LIEKU (-OV) ALEBO ODPADOVÉHO MATERIÁLU, V PRÍPADE POTREBY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t xml:space="preserve">Lieky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nesmú likvidovať prostredníctvom odpadovej vody alebo odpadu v domácnostiach. </w:t>
      </w:r>
    </w:p>
    <w:p w:rsidR="00F22C31" w:rsidRPr="00A94888" w:rsidRDefault="00F22C31" w:rsidP="00F22C31">
      <w:pPr>
        <w:spacing w:after="0" w:line="250" w:lineRule="auto"/>
        <w:ind w:left="0" w:firstLine="0"/>
        <w:jc w:val="both"/>
        <w:rPr>
          <w:lang w:val="en-US"/>
        </w:rPr>
      </w:pPr>
      <w:r w:rsidRPr="00A94888">
        <w:rPr>
          <w:lang w:val="en-US"/>
        </w:rPr>
        <w:lastRenderedPageBreak/>
        <w:t xml:space="preserve">O spôsobe likvidácie liekov, ktoré už nepotrebujete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poraďte so svojím veterinárnym lekárom. Tieto opatrenia by </w:t>
      </w:r>
      <w:proofErr w:type="gramStart"/>
      <w:r w:rsidRPr="00A94888">
        <w:rPr>
          <w:lang w:val="en-US"/>
        </w:rPr>
        <w:t>mali</w:t>
      </w:r>
      <w:proofErr w:type="gramEnd"/>
      <w:r w:rsidRPr="00A94888">
        <w:rPr>
          <w:lang w:val="en-US"/>
        </w:rPr>
        <w:t xml:space="preserve"> byť v súlade s ochranou životného prostredia. 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ind w:left="-4"/>
        <w:rPr>
          <w:lang w:val="en-US"/>
        </w:rPr>
      </w:pPr>
      <w:r w:rsidRPr="00A94888">
        <w:rPr>
          <w:shd w:val="clear" w:color="auto" w:fill="C1C2C2"/>
          <w:lang w:val="en-US"/>
        </w:rPr>
        <w:t>14.</w:t>
      </w:r>
      <w:r w:rsidRPr="00A94888">
        <w:rPr>
          <w:lang w:val="en-US"/>
        </w:rPr>
        <w:t xml:space="preserve"> </w:t>
      </w:r>
      <w:r w:rsidRPr="00A94888">
        <w:rPr>
          <w:lang w:val="en-US"/>
        </w:rPr>
        <w:tab/>
        <w:t xml:space="preserve">DÁTUM POSLEDNÉHO SCHVÁLENIA TEXTU V PÍSOMNEJ INFORMÁCII PRE POUŽÍVATEĽOV </w:t>
      </w: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0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spacing w:after="55" w:line="259" w:lineRule="auto"/>
        <w:ind w:left="0" w:firstLine="0"/>
        <w:rPr>
          <w:lang w:val="en-US"/>
        </w:rPr>
      </w:pPr>
    </w:p>
    <w:p w:rsidR="00F22C31" w:rsidRPr="00A94888" w:rsidRDefault="00F22C31" w:rsidP="00F22C31">
      <w:pPr>
        <w:pStyle w:val="Nadpis1"/>
        <w:tabs>
          <w:tab w:val="center" w:pos="1738"/>
        </w:tabs>
        <w:ind w:left="-14" w:firstLine="0"/>
        <w:rPr>
          <w:lang w:val="en-US"/>
        </w:rPr>
      </w:pPr>
      <w:r w:rsidRPr="00A94888">
        <w:rPr>
          <w:shd w:val="clear" w:color="auto" w:fill="C1C2C2"/>
          <w:lang w:val="en-US"/>
        </w:rPr>
        <w:t>15.</w:t>
      </w:r>
      <w:r w:rsidRPr="00A94888">
        <w:rPr>
          <w:lang w:val="en-US"/>
        </w:rPr>
        <w:t xml:space="preserve"> </w:t>
      </w:r>
      <w:r w:rsidRPr="00A94888">
        <w:rPr>
          <w:lang w:val="en-US"/>
        </w:rPr>
        <w:tab/>
        <w:t xml:space="preserve">ĎALŠIE INFORMÁCIE </w:t>
      </w:r>
    </w:p>
    <w:p w:rsidR="00F22C31" w:rsidRPr="00A94888" w:rsidRDefault="00F22C31" w:rsidP="00F22C31">
      <w:pPr>
        <w:spacing w:after="49" w:line="259" w:lineRule="auto"/>
        <w:ind w:left="0" w:firstLine="0"/>
        <w:rPr>
          <w:lang w:val="en-US"/>
        </w:rPr>
      </w:pPr>
    </w:p>
    <w:p w:rsidR="00F22C31" w:rsidRPr="002841F2" w:rsidRDefault="00F22C31" w:rsidP="00F22C31">
      <w:pPr>
        <w:spacing w:after="33" w:line="259" w:lineRule="auto"/>
        <w:ind w:left="-4"/>
        <w:rPr>
          <w:lang w:val="en-US"/>
        </w:rPr>
      </w:pPr>
      <w:r w:rsidRPr="002841F2">
        <w:rPr>
          <w:u w:val="single" w:color="000000"/>
          <w:lang w:val="en-US"/>
        </w:rPr>
        <w:t>Veľkosti balenia:</w:t>
      </w:r>
      <w:r w:rsidRPr="002841F2">
        <w:rPr>
          <w:lang w:val="en-US"/>
        </w:rPr>
        <w:t xml:space="preserve"> </w:t>
      </w:r>
    </w:p>
    <w:p w:rsidR="00F22C31" w:rsidRPr="002841F2" w:rsidRDefault="00F22C31" w:rsidP="00F22C31">
      <w:pPr>
        <w:spacing w:after="0" w:line="247" w:lineRule="auto"/>
        <w:ind w:left="0" w:hanging="11"/>
        <w:rPr>
          <w:lang w:val="en-US"/>
        </w:rPr>
      </w:pPr>
      <w:r w:rsidRPr="00C2773A">
        <w:rPr>
          <w:lang w:val="en-US"/>
        </w:rPr>
        <w:t>Kartónová krabica obsahujúca</w:t>
      </w:r>
      <w:r w:rsidRPr="002841F2">
        <w:rPr>
          <w:lang w:val="en-US"/>
        </w:rPr>
        <w:t xml:space="preserve"> 1 liekovku s objemom 100 ml</w:t>
      </w:r>
      <w:r>
        <w:rPr>
          <w:lang w:val="en-US"/>
        </w:rPr>
        <w:t>.</w:t>
      </w:r>
      <w:r w:rsidRPr="002841F2">
        <w:rPr>
          <w:lang w:val="en-US"/>
        </w:rPr>
        <w:t xml:space="preserve"> </w:t>
      </w:r>
    </w:p>
    <w:p w:rsidR="00F22C31" w:rsidRPr="00A94888" w:rsidRDefault="00F22C31" w:rsidP="00F22C31">
      <w:pPr>
        <w:ind w:left="-4"/>
        <w:rPr>
          <w:lang w:val="en-US"/>
        </w:rPr>
      </w:pPr>
      <w:r w:rsidRPr="00C2773A">
        <w:rPr>
          <w:lang w:val="en-US"/>
        </w:rPr>
        <w:t>Kartónová krabica obsahujúca</w:t>
      </w:r>
      <w:r w:rsidRPr="002841F2">
        <w:rPr>
          <w:lang w:val="en-US"/>
        </w:rPr>
        <w:t xml:space="preserve"> 1 liekovku s objemom 250 ml</w:t>
      </w:r>
      <w:r>
        <w:rPr>
          <w:lang w:val="en-US"/>
        </w:rPr>
        <w:t>.</w:t>
      </w:r>
      <w:r w:rsidRPr="00A94888">
        <w:rPr>
          <w:lang w:val="en-US"/>
        </w:rPr>
        <w:t xml:space="preserve"> </w:t>
      </w:r>
    </w:p>
    <w:p w:rsidR="00F22C31" w:rsidRPr="00A94888" w:rsidRDefault="00F22C31" w:rsidP="00F22C31">
      <w:pPr>
        <w:spacing w:after="45" w:line="259" w:lineRule="auto"/>
        <w:ind w:left="1" w:firstLine="0"/>
        <w:rPr>
          <w:lang w:val="en-US"/>
        </w:rPr>
      </w:pPr>
    </w:p>
    <w:p w:rsidR="00F22C31" w:rsidRPr="00A94888" w:rsidRDefault="00F22C31" w:rsidP="00F22C31">
      <w:pPr>
        <w:ind w:left="-4"/>
        <w:rPr>
          <w:lang w:val="en-US"/>
        </w:rPr>
      </w:pPr>
      <w:r w:rsidRPr="00A94888">
        <w:rPr>
          <w:lang w:val="en-US"/>
        </w:rPr>
        <w:t xml:space="preserve">Nie všetky veľkosti balenia </w:t>
      </w:r>
      <w:proofErr w:type="gramStart"/>
      <w:r w:rsidRPr="00A94888">
        <w:rPr>
          <w:lang w:val="en-US"/>
        </w:rPr>
        <w:t>sa</w:t>
      </w:r>
      <w:proofErr w:type="gramEnd"/>
      <w:r w:rsidRPr="00A94888">
        <w:rPr>
          <w:lang w:val="en-US"/>
        </w:rPr>
        <w:t xml:space="preserve"> musia uvádzať na trh.</w:t>
      </w:r>
    </w:p>
    <w:p w:rsidR="00F22C31" w:rsidRDefault="00F22C31" w:rsidP="00F22C31">
      <w:pPr>
        <w:spacing w:after="51" w:line="259" w:lineRule="auto"/>
        <w:ind w:left="0" w:firstLine="0"/>
        <w:rPr>
          <w:lang w:val="en-US"/>
        </w:rPr>
      </w:pPr>
    </w:p>
    <w:p w:rsidR="00F22C31" w:rsidRPr="00443D99" w:rsidRDefault="00F22C31" w:rsidP="00F22C31">
      <w:pPr>
        <w:spacing w:after="51" w:line="259" w:lineRule="auto"/>
        <w:ind w:left="0" w:firstLine="0"/>
        <w:rPr>
          <w:lang w:val="en-US"/>
        </w:rPr>
      </w:pPr>
      <w:r w:rsidRPr="00443D99">
        <w:rPr>
          <w:lang w:val="en-US"/>
        </w:rPr>
        <w:t xml:space="preserve">Výdaj lieku je viazaný </w:t>
      </w:r>
      <w:proofErr w:type="gramStart"/>
      <w:r w:rsidRPr="00443D99">
        <w:rPr>
          <w:lang w:val="en-US"/>
        </w:rPr>
        <w:t>na</w:t>
      </w:r>
      <w:proofErr w:type="gramEnd"/>
      <w:r w:rsidRPr="00443D99">
        <w:rPr>
          <w:lang w:val="en-US"/>
        </w:rPr>
        <w:t xml:space="preserve"> veterinárny predpis.</w:t>
      </w:r>
    </w:p>
    <w:p w:rsidR="005578FD" w:rsidRDefault="005578FD"/>
    <w:sectPr w:rsidR="005578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56A" w:rsidRDefault="004A456A" w:rsidP="00F22C31">
      <w:pPr>
        <w:spacing w:after="0" w:line="240" w:lineRule="auto"/>
      </w:pPr>
      <w:r>
        <w:separator/>
      </w:r>
    </w:p>
  </w:endnote>
  <w:endnote w:type="continuationSeparator" w:id="0">
    <w:p w:rsidR="004A456A" w:rsidRDefault="004A456A" w:rsidP="00F2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654504"/>
      <w:docPartObj>
        <w:docPartGallery w:val="Page Numbers (Bottom of Page)"/>
        <w:docPartUnique/>
      </w:docPartObj>
    </w:sdtPr>
    <w:sdtEndPr/>
    <w:sdtContent>
      <w:p w:rsidR="00F22C31" w:rsidRDefault="00F22C3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BF5" w:rsidRPr="00743BF5">
          <w:rPr>
            <w:noProof/>
            <w:lang w:val="sk-SK"/>
          </w:rPr>
          <w:t>13</w:t>
        </w:r>
        <w:r>
          <w:fldChar w:fldCharType="end"/>
        </w:r>
      </w:p>
    </w:sdtContent>
  </w:sdt>
  <w:p w:rsidR="00F22C31" w:rsidRDefault="00F22C3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56A" w:rsidRDefault="004A456A" w:rsidP="00F22C31">
      <w:pPr>
        <w:spacing w:after="0" w:line="240" w:lineRule="auto"/>
      </w:pPr>
      <w:r>
        <w:separator/>
      </w:r>
    </w:p>
  </w:footnote>
  <w:footnote w:type="continuationSeparator" w:id="0">
    <w:p w:rsidR="004A456A" w:rsidRDefault="004A456A" w:rsidP="00F22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E58"/>
    <w:multiLevelType w:val="hybridMultilevel"/>
    <w:tmpl w:val="E5FED38C"/>
    <w:lvl w:ilvl="0" w:tplc="4220433C">
      <w:start w:val="8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23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8C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A4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E4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02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4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40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6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65"/>
    <w:rsid w:val="000B1E76"/>
    <w:rsid w:val="001E4065"/>
    <w:rsid w:val="003F354B"/>
    <w:rsid w:val="0043240F"/>
    <w:rsid w:val="004A456A"/>
    <w:rsid w:val="005578FD"/>
    <w:rsid w:val="00743BF5"/>
    <w:rsid w:val="0079444C"/>
    <w:rsid w:val="00D25657"/>
    <w:rsid w:val="00F22C31"/>
    <w:rsid w:val="00F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404A"/>
  <w15:chartTrackingRefBased/>
  <w15:docId w15:val="{845116EE-293E-497E-A6B6-51E7E9C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C31"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Nadpis1">
    <w:name w:val="heading 1"/>
    <w:next w:val="Normlny"/>
    <w:link w:val="Nadpis1Char"/>
    <w:uiPriority w:val="9"/>
    <w:qFormat/>
    <w:rsid w:val="00F22C31"/>
    <w:pPr>
      <w:keepNext/>
      <w:keepLines/>
      <w:spacing w:after="1" w:line="25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lang w:val="de-DE" w:eastAsia="de-DE"/>
    </w:rPr>
  </w:style>
  <w:style w:type="paragraph" w:styleId="Nadpis2">
    <w:name w:val="heading 2"/>
    <w:next w:val="Normlny"/>
    <w:link w:val="Nadpis2Char"/>
    <w:uiPriority w:val="9"/>
    <w:unhideWhenUsed/>
    <w:qFormat/>
    <w:rsid w:val="00F22C31"/>
    <w:pPr>
      <w:keepNext/>
      <w:keepLines/>
      <w:spacing w:after="10" w:line="248" w:lineRule="auto"/>
      <w:ind w:left="10" w:right="1" w:hanging="10"/>
      <w:outlineLvl w:val="1"/>
    </w:pPr>
    <w:rPr>
      <w:rFonts w:ascii="Times New Roman" w:eastAsia="Times New Roman" w:hAnsi="Times New Roman" w:cs="Times New Roman"/>
      <w:b/>
      <w:color w:val="00000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2C31"/>
    <w:rPr>
      <w:rFonts w:ascii="Times New Roman" w:eastAsia="Times New Roman" w:hAnsi="Times New Roman" w:cs="Times New Roman"/>
      <w:b/>
      <w:color w:val="000000"/>
      <w:lang w:val="de-DE" w:eastAsia="de-DE"/>
    </w:rPr>
  </w:style>
  <w:style w:type="character" w:customStyle="1" w:styleId="Nadpis2Char">
    <w:name w:val="Nadpis 2 Char"/>
    <w:basedOn w:val="Predvolenpsmoodseku"/>
    <w:link w:val="Nadpis2"/>
    <w:uiPriority w:val="9"/>
    <w:rsid w:val="00F22C31"/>
    <w:rPr>
      <w:rFonts w:ascii="Times New Roman" w:eastAsia="Times New Roman" w:hAnsi="Times New Roman" w:cs="Times New Roman"/>
      <w:b/>
      <w:color w:val="000000"/>
      <w:lang w:val="de-DE" w:eastAsia="de-DE"/>
    </w:rPr>
  </w:style>
  <w:style w:type="table" w:customStyle="1" w:styleId="TableGrid">
    <w:name w:val="TableGrid"/>
    <w:rsid w:val="00F22C31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rsid w:val="00F22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F2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2C31"/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Pta">
    <w:name w:val="footer"/>
    <w:basedOn w:val="Normlny"/>
    <w:link w:val="PtaChar"/>
    <w:uiPriority w:val="99"/>
    <w:unhideWhenUsed/>
    <w:rsid w:val="00F2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2C31"/>
    <w:rPr>
      <w:rFonts w:ascii="Times New Roman" w:eastAsia="Times New Roman" w:hAnsi="Times New Roman" w:cs="Times New Roman"/>
      <w:color w:val="00000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4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444C"/>
    <w:rPr>
      <w:rFonts w:ascii="Segoe UI" w:eastAsia="Times New Roman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6</cp:revision>
  <cp:lastPrinted>2021-08-06T10:39:00Z</cp:lastPrinted>
  <dcterms:created xsi:type="dcterms:W3CDTF">2021-08-06T10:25:00Z</dcterms:created>
  <dcterms:modified xsi:type="dcterms:W3CDTF">2022-01-28T10:09:00Z</dcterms:modified>
</cp:coreProperties>
</file>