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8D1" w:rsidRPr="00410B35" w:rsidRDefault="00A338D1" w:rsidP="00A338D1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7605BC">
        <w:rPr>
          <w:b/>
          <w:lang w:val="sk-SK"/>
        </w:rPr>
        <w:t>SÚHRN CHARAKTERISTICKÝCH VLASTNOSTÍ LIEKU</w:t>
      </w:r>
    </w:p>
    <w:p w:rsidR="00A338D1" w:rsidRDefault="00A338D1" w:rsidP="00A338D1">
      <w:pPr>
        <w:spacing w:line="240" w:lineRule="auto"/>
        <w:rPr>
          <w:b/>
          <w:lang w:val="sk-SK"/>
        </w:rPr>
      </w:pPr>
    </w:p>
    <w:p w:rsidR="00A338D1" w:rsidRPr="00A338D1" w:rsidRDefault="00A338D1" w:rsidP="00A338D1">
      <w:pPr>
        <w:spacing w:line="240" w:lineRule="auto"/>
        <w:rPr>
          <w:b/>
          <w:lang w:val="sk-SK"/>
        </w:rPr>
      </w:pPr>
      <w:r w:rsidRPr="007605BC">
        <w:rPr>
          <w:b/>
          <w:lang w:val="sk-SK"/>
        </w:rPr>
        <w:t>1.</w:t>
      </w:r>
      <w:r w:rsidRPr="007605BC">
        <w:rPr>
          <w:b/>
          <w:lang w:val="sk-SK"/>
        </w:rPr>
        <w:tab/>
        <w:t>NÁZOV VETERINÁRNEHO LIEKU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7605BC">
        <w:rPr>
          <w:lang w:val="sk-SK"/>
        </w:rPr>
        <w:t>Tranquigel</w:t>
      </w:r>
      <w:proofErr w:type="spellEnd"/>
      <w:r w:rsidRPr="007605BC">
        <w:rPr>
          <w:lang w:val="sk-SK"/>
        </w:rPr>
        <w:t xml:space="preserve"> 35 mg/g perorálny gél pre psy a kone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spacing w:line="240" w:lineRule="auto"/>
        <w:ind w:left="567" w:hanging="567"/>
        <w:rPr>
          <w:lang w:val="sk-SK"/>
        </w:rPr>
      </w:pPr>
      <w:r w:rsidRPr="007605BC">
        <w:rPr>
          <w:b/>
          <w:lang w:val="sk-SK"/>
        </w:rPr>
        <w:t>2.</w:t>
      </w:r>
      <w:r w:rsidRPr="007605BC">
        <w:rPr>
          <w:b/>
          <w:lang w:val="sk-SK"/>
        </w:rPr>
        <w:tab/>
        <w:t>KVALITATÍVNE A KVANTITATÍVNE ZLOŽENIE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1 gram obsahuje: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7605BC">
        <w:rPr>
          <w:b/>
          <w:lang w:val="sk-SK"/>
        </w:rPr>
        <w:t>Účinn</w:t>
      </w:r>
      <w:r>
        <w:rPr>
          <w:b/>
          <w:lang w:val="sk-SK"/>
        </w:rPr>
        <w:t>á</w:t>
      </w:r>
      <w:r w:rsidRPr="007605BC">
        <w:rPr>
          <w:b/>
          <w:lang w:val="sk-SK"/>
        </w:rPr>
        <w:t xml:space="preserve"> látk</w:t>
      </w:r>
      <w:r>
        <w:rPr>
          <w:b/>
          <w:lang w:val="sk-SK"/>
        </w:rPr>
        <w:t>a</w:t>
      </w:r>
      <w:r w:rsidRPr="007605BC">
        <w:rPr>
          <w:b/>
          <w:lang w:val="sk-SK"/>
        </w:rPr>
        <w:t>:</w:t>
      </w:r>
    </w:p>
    <w:p w:rsidR="00A338D1" w:rsidRPr="007605BC" w:rsidRDefault="00A338D1" w:rsidP="00A338D1">
      <w:pPr>
        <w:tabs>
          <w:tab w:val="clear" w:pos="567"/>
          <w:tab w:val="left" w:pos="1701"/>
          <w:tab w:val="right" w:pos="5670"/>
        </w:tabs>
        <w:spacing w:line="240" w:lineRule="auto"/>
        <w:rPr>
          <w:iCs/>
          <w:lang w:val="sk-SK"/>
        </w:rPr>
      </w:pPr>
      <w:proofErr w:type="spellStart"/>
      <w:r w:rsidRPr="007605BC">
        <w:rPr>
          <w:iCs/>
          <w:lang w:val="sk-SK"/>
        </w:rPr>
        <w:t>Acepromazín</w:t>
      </w:r>
      <w:proofErr w:type="spellEnd"/>
      <w:r w:rsidRPr="007605BC">
        <w:rPr>
          <w:iCs/>
          <w:lang w:val="sk-SK"/>
        </w:rPr>
        <w:t xml:space="preserve"> (ako </w:t>
      </w:r>
      <w:proofErr w:type="spellStart"/>
      <w:r w:rsidRPr="007605BC">
        <w:rPr>
          <w:iCs/>
          <w:lang w:val="sk-SK"/>
        </w:rPr>
        <w:t>acepromazín</w:t>
      </w:r>
      <w:proofErr w:type="spellEnd"/>
      <w:r w:rsidRPr="007605BC">
        <w:rPr>
          <w:iCs/>
          <w:lang w:val="sk-SK"/>
        </w:rPr>
        <w:t xml:space="preserve"> </w:t>
      </w:r>
      <w:proofErr w:type="spellStart"/>
      <w:r w:rsidRPr="007605BC">
        <w:rPr>
          <w:iCs/>
          <w:lang w:val="sk-SK"/>
        </w:rPr>
        <w:t>maleát</w:t>
      </w:r>
      <w:proofErr w:type="spellEnd"/>
      <w:r w:rsidRPr="007605BC">
        <w:rPr>
          <w:iCs/>
          <w:lang w:val="sk-SK"/>
        </w:rPr>
        <w:t>)</w:t>
      </w:r>
      <w:r w:rsidRPr="007605BC">
        <w:rPr>
          <w:iCs/>
          <w:lang w:val="sk-SK"/>
        </w:rPr>
        <w:tab/>
        <w:t>35,0 mg</w:t>
      </w:r>
    </w:p>
    <w:p w:rsidR="00A338D1" w:rsidRPr="007605BC" w:rsidRDefault="00A338D1" w:rsidP="00A338D1">
      <w:pPr>
        <w:tabs>
          <w:tab w:val="clear" w:pos="567"/>
          <w:tab w:val="left" w:pos="1701"/>
        </w:tabs>
        <w:spacing w:line="240" w:lineRule="auto"/>
        <w:rPr>
          <w:iCs/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b/>
          <w:lang w:val="sk-SK"/>
        </w:rPr>
        <w:t>Pomocné látky:</w:t>
      </w:r>
    </w:p>
    <w:p w:rsidR="00A338D1" w:rsidRPr="007605BC" w:rsidRDefault="00A338D1" w:rsidP="00A338D1">
      <w:pPr>
        <w:tabs>
          <w:tab w:val="clear" w:pos="567"/>
          <w:tab w:val="right" w:pos="5670"/>
        </w:tabs>
        <w:spacing w:line="240" w:lineRule="auto"/>
        <w:rPr>
          <w:lang w:val="sk-SK"/>
        </w:rPr>
      </w:pPr>
      <w:proofErr w:type="spellStart"/>
      <w:r w:rsidRPr="007605BC">
        <w:rPr>
          <w:lang w:val="sk-SK"/>
        </w:rPr>
        <w:t>Metylparahydroxybenzoát</w:t>
      </w:r>
      <w:proofErr w:type="spellEnd"/>
      <w:r w:rsidRPr="007605BC">
        <w:rPr>
          <w:lang w:val="sk-SK"/>
        </w:rPr>
        <w:t xml:space="preserve"> (E218)</w:t>
      </w:r>
      <w:r w:rsidRPr="007605BC">
        <w:rPr>
          <w:lang w:val="sk-SK"/>
        </w:rPr>
        <w:tab/>
        <w:t>1,04 mg</w:t>
      </w:r>
    </w:p>
    <w:p w:rsidR="00A338D1" w:rsidRPr="007605BC" w:rsidRDefault="00A338D1" w:rsidP="00A338D1">
      <w:pPr>
        <w:tabs>
          <w:tab w:val="clear" w:pos="567"/>
          <w:tab w:val="right" w:pos="5670"/>
        </w:tabs>
        <w:spacing w:line="240" w:lineRule="auto"/>
        <w:rPr>
          <w:lang w:val="sk-SK"/>
        </w:rPr>
      </w:pPr>
      <w:proofErr w:type="spellStart"/>
      <w:r w:rsidRPr="007605BC">
        <w:rPr>
          <w:lang w:val="sk-SK"/>
        </w:rPr>
        <w:t>Propylparahydroxybenzoát</w:t>
      </w:r>
      <w:proofErr w:type="spellEnd"/>
      <w:r w:rsidRPr="007605BC">
        <w:rPr>
          <w:lang w:val="sk-SK"/>
        </w:rPr>
        <w:tab/>
        <w:t>0,104 mg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Úplný zoznam pomocných látok je uvedený v časti 6.1.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spacing w:line="240" w:lineRule="auto"/>
        <w:ind w:left="567" w:hanging="567"/>
        <w:rPr>
          <w:lang w:val="sk-SK"/>
        </w:rPr>
      </w:pPr>
      <w:r w:rsidRPr="007605BC">
        <w:rPr>
          <w:b/>
          <w:lang w:val="sk-SK"/>
        </w:rPr>
        <w:t>3.</w:t>
      </w:r>
      <w:r w:rsidRPr="007605BC">
        <w:rPr>
          <w:b/>
          <w:lang w:val="sk-SK"/>
        </w:rPr>
        <w:tab/>
        <w:t>LIEKOVÁ FORMA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Perorálny gél.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Číry, hustý, oranžovožltý gél.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7605BC">
        <w:rPr>
          <w:b/>
          <w:lang w:val="sk-SK"/>
        </w:rPr>
        <w:t>4.</w:t>
      </w:r>
      <w:r w:rsidRPr="007605BC">
        <w:rPr>
          <w:b/>
          <w:lang w:val="sk-SK"/>
        </w:rPr>
        <w:tab/>
        <w:t>KLINICKÉ ÚDAJE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7605BC">
        <w:rPr>
          <w:b/>
          <w:lang w:val="sk-SK"/>
        </w:rPr>
        <w:t>4.1</w:t>
      </w:r>
      <w:r w:rsidRPr="007605BC">
        <w:rPr>
          <w:b/>
          <w:lang w:val="sk-SK"/>
        </w:rPr>
        <w:tab/>
        <w:t>Cieľové druhy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Psy a kone.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b/>
          <w:lang w:val="sk-SK"/>
        </w:rPr>
        <w:t>4.2</w:t>
      </w:r>
      <w:r w:rsidRPr="007605BC">
        <w:rPr>
          <w:b/>
          <w:lang w:val="sk-SK"/>
        </w:rPr>
        <w:tab/>
        <w:t>Indikácie na použitie so špecifikovaním cieľových druhov</w:t>
      </w:r>
    </w:p>
    <w:p w:rsidR="00A338D1" w:rsidRPr="007605BC" w:rsidRDefault="00A338D1" w:rsidP="00A338D1">
      <w:pPr>
        <w:spacing w:line="240" w:lineRule="auto"/>
        <w:rPr>
          <w:b/>
          <w:lang w:val="sk-SK"/>
        </w:rPr>
      </w:pPr>
    </w:p>
    <w:p w:rsidR="00A338D1" w:rsidRPr="007605BC" w:rsidRDefault="00A338D1" w:rsidP="00A338D1">
      <w:pPr>
        <w:spacing w:line="240" w:lineRule="auto"/>
        <w:rPr>
          <w:szCs w:val="23"/>
          <w:lang w:val="sk-SK"/>
        </w:rPr>
      </w:pPr>
      <w:r w:rsidRPr="007605BC">
        <w:rPr>
          <w:szCs w:val="23"/>
          <w:lang w:val="sk-SK"/>
        </w:rPr>
        <w:t xml:space="preserve">Na </w:t>
      </w:r>
      <w:proofErr w:type="spellStart"/>
      <w:r w:rsidRPr="007605BC">
        <w:rPr>
          <w:szCs w:val="23"/>
          <w:lang w:val="sk-SK"/>
        </w:rPr>
        <w:t>sedáciu</w:t>
      </w:r>
      <w:proofErr w:type="spellEnd"/>
      <w:r w:rsidRPr="007605BC">
        <w:rPr>
          <w:szCs w:val="23"/>
          <w:lang w:val="sk-SK"/>
        </w:rPr>
        <w:t xml:space="preserve"> psov a</w:t>
      </w:r>
      <w:r>
        <w:rPr>
          <w:szCs w:val="23"/>
          <w:lang w:val="sk-SK"/>
        </w:rPr>
        <w:t> </w:t>
      </w:r>
      <w:r w:rsidRPr="007605BC">
        <w:rPr>
          <w:szCs w:val="23"/>
          <w:lang w:val="sk-SK"/>
        </w:rPr>
        <w:t>koní</w:t>
      </w:r>
      <w:r>
        <w:rPr>
          <w:szCs w:val="23"/>
          <w:lang w:val="sk-SK"/>
        </w:rPr>
        <w:t>.</w:t>
      </w:r>
    </w:p>
    <w:p w:rsidR="00A338D1" w:rsidRPr="007605BC" w:rsidRDefault="00A338D1" w:rsidP="00A338D1">
      <w:pPr>
        <w:spacing w:line="240" w:lineRule="auto"/>
        <w:rPr>
          <w:b/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b/>
          <w:lang w:val="sk-SK"/>
        </w:rPr>
        <w:t>4.3</w:t>
      </w:r>
      <w:r w:rsidRPr="007605BC">
        <w:rPr>
          <w:b/>
          <w:lang w:val="sk-SK"/>
        </w:rPr>
        <w:tab/>
        <w:t>Kontraindikácie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 xml:space="preserve">Nepoužívať v prípadoch hypotenzie, </w:t>
      </w:r>
      <w:proofErr w:type="spellStart"/>
      <w:r w:rsidRPr="007605BC">
        <w:rPr>
          <w:lang w:val="sk-SK"/>
        </w:rPr>
        <w:t>posttraumatického</w:t>
      </w:r>
      <w:proofErr w:type="spellEnd"/>
      <w:r w:rsidRPr="007605BC">
        <w:rPr>
          <w:lang w:val="sk-SK"/>
        </w:rPr>
        <w:t xml:space="preserve"> šoku alebo </w:t>
      </w:r>
      <w:proofErr w:type="spellStart"/>
      <w:r w:rsidRPr="007605BC">
        <w:rPr>
          <w:lang w:val="sk-SK"/>
        </w:rPr>
        <w:t>hypovolémie</w:t>
      </w:r>
      <w:proofErr w:type="spellEnd"/>
      <w:r w:rsidRPr="007605BC">
        <w:rPr>
          <w:lang w:val="sk-SK"/>
        </w:rPr>
        <w:t>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zvierat v stave silného emocionálneho vzrušenia.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zvierat trpiacich hypotermiou.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zvierat s hematologickými poruchami/</w:t>
      </w:r>
      <w:proofErr w:type="spellStart"/>
      <w:r w:rsidRPr="007605BC">
        <w:rPr>
          <w:lang w:val="sk-SK"/>
        </w:rPr>
        <w:t>koagulopatiami</w:t>
      </w:r>
      <w:proofErr w:type="spellEnd"/>
      <w:r w:rsidRPr="007605BC">
        <w:rPr>
          <w:lang w:val="sk-SK"/>
        </w:rPr>
        <w:t xml:space="preserve"> alebo anémiou.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zvierat so zlyhaním srdca alebo pľúc.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zvierat s epilepsiou.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u novorodených zvierat.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lang w:val="sk-SK"/>
        </w:rPr>
        <w:t>Nepoužívať v prípadoch precitlivenosti na účinnú látku alebo na niektorú z pomocných látok.</w:t>
      </w:r>
    </w:p>
    <w:p w:rsidR="00A338D1" w:rsidRPr="007605BC" w:rsidRDefault="00A338D1" w:rsidP="00A338D1">
      <w:pPr>
        <w:spacing w:line="240" w:lineRule="auto"/>
        <w:rPr>
          <w:szCs w:val="23"/>
          <w:lang w:val="sk-SK"/>
        </w:rPr>
      </w:pPr>
    </w:p>
    <w:p w:rsidR="00A338D1" w:rsidRPr="007605BC" w:rsidRDefault="00A338D1" w:rsidP="00A338D1">
      <w:pPr>
        <w:spacing w:line="240" w:lineRule="auto"/>
        <w:rPr>
          <w:b/>
          <w:lang w:val="sk-SK"/>
        </w:rPr>
      </w:pPr>
      <w:r w:rsidRPr="007605BC">
        <w:rPr>
          <w:b/>
          <w:lang w:val="sk-SK"/>
        </w:rPr>
        <w:t>4.4</w:t>
      </w:r>
      <w:r w:rsidRPr="007605BC">
        <w:rPr>
          <w:b/>
          <w:lang w:val="sk-SK"/>
        </w:rPr>
        <w:tab/>
        <w:t>Osobitné upozornenia pre každý cieľový druh</w:t>
      </w:r>
    </w:p>
    <w:p w:rsidR="00A338D1" w:rsidRPr="007605BC" w:rsidRDefault="00A338D1" w:rsidP="00A338D1">
      <w:pPr>
        <w:spacing w:line="240" w:lineRule="auto"/>
        <w:rPr>
          <w:b/>
          <w:lang w:val="sk-SK"/>
        </w:rPr>
      </w:pPr>
    </w:p>
    <w:p w:rsidR="00A338D1" w:rsidRPr="00600F73" w:rsidRDefault="00A338D1" w:rsidP="00A338D1">
      <w:pPr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proofErr w:type="spellStart"/>
      <w:r w:rsidRPr="007605BC">
        <w:t>Nie</w:t>
      </w:r>
      <w:proofErr w:type="spellEnd"/>
      <w:r w:rsidRPr="007605BC">
        <w:t xml:space="preserve"> </w:t>
      </w:r>
      <w:proofErr w:type="spellStart"/>
      <w:r w:rsidRPr="007605BC">
        <w:t>sú</w:t>
      </w:r>
      <w:proofErr w:type="spellEnd"/>
      <w:r w:rsidRPr="007605BC">
        <w:t>.</w:t>
      </w:r>
    </w:p>
    <w:p w:rsidR="00A338D1" w:rsidRPr="00410B35" w:rsidRDefault="00A338D1" w:rsidP="00A338D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:rsidR="00A338D1" w:rsidRPr="00600F73" w:rsidRDefault="00A338D1" w:rsidP="00A338D1">
      <w:pPr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Kone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trvá približne šesť hodín, avšak aktuálna doba a hĺbka </w:t>
      </w:r>
      <w:proofErr w:type="spellStart"/>
      <w:r w:rsidRPr="00410B35">
        <w:rPr>
          <w:lang w:val="sk-SK"/>
        </w:rPr>
        <w:t>sedácie</w:t>
      </w:r>
      <w:proofErr w:type="spellEnd"/>
      <w:r w:rsidRPr="00410B35">
        <w:rPr>
          <w:lang w:val="sk-SK"/>
        </w:rPr>
        <w:t xml:space="preserve"> veľmi závisia od stavu jednotlivého zvieraťa.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Zvýšenie dávky nad odporúčanú dávku má za následok predĺžený účinok a vedľajšie účinky, nie však vyššiu </w:t>
      </w:r>
      <w:proofErr w:type="spellStart"/>
      <w:r w:rsidRPr="00410B35">
        <w:rPr>
          <w:lang w:val="sk-SK"/>
        </w:rPr>
        <w:t>sedáciu</w:t>
      </w:r>
      <w:proofErr w:type="spellEnd"/>
      <w:r w:rsidRPr="00410B35">
        <w:rPr>
          <w:lang w:val="sk-SK"/>
        </w:rPr>
        <w:t>.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7605BC">
        <w:rPr>
          <w:b/>
          <w:lang w:val="sk-SK"/>
        </w:rPr>
        <w:lastRenderedPageBreak/>
        <w:t>4.5</w:t>
      </w:r>
      <w:r w:rsidRPr="007605BC">
        <w:rPr>
          <w:b/>
          <w:lang w:val="sk-SK"/>
        </w:rPr>
        <w:tab/>
        <w:t>Osobitné bezpečnostné opatrenia na používanie</w:t>
      </w:r>
    </w:p>
    <w:p w:rsidR="00A338D1" w:rsidRPr="007605BC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7605BC">
        <w:rPr>
          <w:u w:val="single"/>
          <w:lang w:val="sk-SK"/>
        </w:rPr>
        <w:t>Osobitné bezpečnostné opatrenia na používanie u zvierat: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Tento veterinárny liek sa má používať opatrne a v zníženej dávke v prípade ochorenia pečene alebo u oslabených zvierat.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má zanedbateľné analgetické účinky. Pri manipulácii s uspanými zvieratami sa treba vyhnúť aktivitám spôsobujúcim bolesť, ak neboli podané vhodné analgetiká.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Po podaní tohto veterinárneho lieku majú byť zvieratá ponechané na pokojnom mieste a podľa možností sa treba vyhnúť senzorickej stimulácii.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600F73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Použitie tohto veterinárneho lieku u psov s telesnou hmotnosťou menej ako 17,5 kg sa má zakladať na dôkladnom vyhodnotení prínosu/rizika zodpovedným veterinárnym lekárom.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Kvôli obmedzeniam pomôcky na dávkovanie pri podávaní malých dávok sa použitie u malých (menej ako 17,5 kg) psov pri ľahkej </w:t>
      </w:r>
      <w:proofErr w:type="spellStart"/>
      <w:r w:rsidRPr="00410B35">
        <w:rPr>
          <w:lang w:val="sk-SK"/>
        </w:rPr>
        <w:t>sedácii</w:t>
      </w:r>
      <w:proofErr w:type="spellEnd"/>
      <w:r w:rsidRPr="00410B35">
        <w:rPr>
          <w:lang w:val="sk-SK"/>
        </w:rPr>
        <w:t xml:space="preserve"> u citlivých zvierat a plemien neodporúča. U psov s mutáciou ABCB1-1Δ (tiež nazývanou MDR1) má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sklon k spôsobovaniu hlbšej a predĺženej </w:t>
      </w:r>
      <w:proofErr w:type="spellStart"/>
      <w:r w:rsidRPr="00410B35">
        <w:rPr>
          <w:lang w:val="sk-SK"/>
        </w:rPr>
        <w:t>sedácie</w:t>
      </w:r>
      <w:proofErr w:type="spellEnd"/>
      <w:r w:rsidRPr="00410B35">
        <w:rPr>
          <w:lang w:val="sk-SK"/>
        </w:rPr>
        <w:t xml:space="preserve">. U týchto psov sa má dávka znížiť o 25 % - 50 %. U niektorých psov, hlavne u boxerov a iných </w:t>
      </w:r>
      <w:proofErr w:type="spellStart"/>
      <w:r w:rsidRPr="00410B35">
        <w:rPr>
          <w:lang w:val="sk-SK"/>
        </w:rPr>
        <w:t>krátkonosých</w:t>
      </w:r>
      <w:proofErr w:type="spellEnd"/>
      <w:r w:rsidRPr="00410B35">
        <w:rPr>
          <w:lang w:val="sk-SK"/>
        </w:rPr>
        <w:t xml:space="preserve"> plemien, sa môže vyskytnúť spontánne omdlievanie alebo synkopa kvôli </w:t>
      </w:r>
      <w:proofErr w:type="spellStart"/>
      <w:r w:rsidRPr="00410B35">
        <w:rPr>
          <w:lang w:val="sk-SK"/>
        </w:rPr>
        <w:t>sinoatriálnej</w:t>
      </w:r>
      <w:proofErr w:type="spellEnd"/>
      <w:r w:rsidRPr="00410B35">
        <w:rPr>
          <w:lang w:val="sk-SK"/>
        </w:rPr>
        <w:t xml:space="preserve"> blokáde spôsobenej nadmerným </w:t>
      </w:r>
      <w:proofErr w:type="spellStart"/>
      <w:r w:rsidRPr="00410B35">
        <w:rPr>
          <w:lang w:val="sk-SK"/>
        </w:rPr>
        <w:t>vagálnym</w:t>
      </w:r>
      <w:proofErr w:type="spellEnd"/>
      <w:r w:rsidRPr="00410B35">
        <w:rPr>
          <w:lang w:val="sk-SK"/>
        </w:rPr>
        <w:t xml:space="preserve"> tonusom a môže sa urýchliť atak spôsobený </w:t>
      </w:r>
      <w:proofErr w:type="spellStart"/>
      <w:r w:rsidRPr="00410B35">
        <w:rPr>
          <w:lang w:val="sk-SK"/>
        </w:rPr>
        <w:t>acepromazínom</w:t>
      </w:r>
      <w:proofErr w:type="spellEnd"/>
      <w:r w:rsidRPr="00410B35">
        <w:rPr>
          <w:lang w:val="sk-SK"/>
        </w:rPr>
        <w:t xml:space="preserve">. Preto sa má použiť nízka dávka. Keď sa v anamnéze vyskytuje takýto typ synkopy alebo keď existuje podozrenie na takýto typ synkopy z dôvodu nadmernej sínusovej </w:t>
      </w:r>
      <w:proofErr w:type="spellStart"/>
      <w:r w:rsidRPr="00410B35">
        <w:rPr>
          <w:lang w:val="sk-SK"/>
        </w:rPr>
        <w:t>arytmie</w:t>
      </w:r>
      <w:proofErr w:type="spellEnd"/>
      <w:r w:rsidRPr="00410B35">
        <w:rPr>
          <w:lang w:val="sk-SK"/>
        </w:rPr>
        <w:t xml:space="preserve">, môže byť výhodné kontrolovať </w:t>
      </w:r>
      <w:proofErr w:type="spellStart"/>
      <w:r w:rsidRPr="00410B35">
        <w:rPr>
          <w:lang w:val="sk-SK"/>
        </w:rPr>
        <w:t>dysrytmiu</w:t>
      </w:r>
      <w:proofErr w:type="spellEnd"/>
      <w:r w:rsidRPr="00410B35">
        <w:rPr>
          <w:lang w:val="sk-SK"/>
        </w:rPr>
        <w:t xml:space="preserve"> atropínom podaným tesne pred </w:t>
      </w:r>
      <w:proofErr w:type="spellStart"/>
      <w:r w:rsidRPr="00410B35">
        <w:rPr>
          <w:lang w:val="sk-SK"/>
        </w:rPr>
        <w:t>acepromazínom</w:t>
      </w:r>
      <w:proofErr w:type="spellEnd"/>
      <w:r w:rsidRPr="00410B35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Veľké plemená: zaznamenalo sa, že veľké plemená psov sú obzvlášť citlivé na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a u týchto plemien sa má použiť minimálna možná dávka.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sa má používať opatrne ako kontrolná látka u agresívnych psov, keďže môže u zvieraťa viesť k vyššej náchylnosti vyplašenia a reakcie na zvuky alebo iné senzorické impulzy.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600F73" w:rsidRDefault="00A338D1" w:rsidP="00A338D1">
      <w:pPr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Kone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U žrebcov je indikovaný najnižší rozsah dávok na minimalizáciu </w:t>
      </w:r>
      <w:proofErr w:type="spellStart"/>
      <w:r w:rsidRPr="00410B35">
        <w:rPr>
          <w:lang w:val="sk-SK"/>
        </w:rPr>
        <w:t>prolapsu</w:t>
      </w:r>
      <w:proofErr w:type="spellEnd"/>
      <w:r w:rsidRPr="00410B35">
        <w:rPr>
          <w:lang w:val="sk-SK"/>
        </w:rPr>
        <w:t xml:space="preserve"> penisu.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Použitie tohto veterinárneho lieku u koní s telesnou hmotnosťou menej ako 100 kg sa má zakladať na dôkladnom vyhodnotení prínosu/rizika zodpovedným veterinárnym lekárom.</w:t>
      </w:r>
    </w:p>
    <w:p w:rsidR="00A338D1" w:rsidRPr="00410B35" w:rsidRDefault="00A338D1" w:rsidP="00A338D1">
      <w:pPr>
        <w:spacing w:line="240" w:lineRule="auto"/>
        <w:rPr>
          <w:lang w:val="sk-SK"/>
        </w:rPr>
      </w:pPr>
    </w:p>
    <w:p w:rsidR="00A338D1" w:rsidRPr="007605BC" w:rsidRDefault="00A338D1" w:rsidP="00A338D1">
      <w:pPr>
        <w:spacing w:line="240" w:lineRule="auto"/>
        <w:rPr>
          <w:u w:val="single"/>
          <w:lang w:val="sk-SK"/>
        </w:rPr>
      </w:pPr>
      <w:r w:rsidRPr="007605BC">
        <w:rPr>
          <w:u w:val="single"/>
          <w:lang w:val="sk-SK"/>
        </w:rPr>
        <w:t>Osobitné bezpečnostné opatrenia, ktoré má urobiť osoba podávajúca liek zvieratám: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7605BC">
        <w:rPr>
          <w:lang w:val="sk-SK"/>
        </w:rPr>
        <w:t>Acepromazín</w:t>
      </w:r>
      <w:proofErr w:type="spellEnd"/>
      <w:r w:rsidRPr="007605BC">
        <w:rPr>
          <w:lang w:val="sk-SK"/>
        </w:rPr>
        <w:t xml:space="preserve"> môže spôsobiť </w:t>
      </w:r>
      <w:proofErr w:type="spellStart"/>
      <w:r w:rsidRPr="007605BC">
        <w:rPr>
          <w:lang w:val="sk-SK"/>
        </w:rPr>
        <w:t>sedáciu.</w:t>
      </w:r>
      <w:r>
        <w:rPr>
          <w:lang w:val="sk-SK"/>
        </w:rPr>
        <w:t>D</w:t>
      </w:r>
      <w:r w:rsidRPr="007605BC">
        <w:rPr>
          <w:lang w:val="sk-SK"/>
        </w:rPr>
        <w:t>održiavať</w:t>
      </w:r>
      <w:proofErr w:type="spellEnd"/>
      <w:r w:rsidRPr="007605BC">
        <w:rPr>
          <w:lang w:val="sk-SK"/>
        </w:rPr>
        <w:t xml:space="preserve"> opatrnosť, aby sa zabránilo náhodnému požitiu. Okamžite po použití znovu nasadiť viečko. Pri nasadzovaní viečka musí byť počuteľné "kliknutie", aby sa zabezpečilo riadne uzavretie. Prepichnutú perorálnu striekačku uchovávať v pôvodnej škatuli a zaistiť, aby bola škatuľa poriadne zatvorená. Vždy uchovávať balenie mimo dohľadu a dosahu detí. V prípade náhodného požitia vyhľadať ihneď lekársku pomoc a ukázať písomnú informáciu pre používateľov alebo obal lekárovi,</w:t>
      </w:r>
      <w:r w:rsidRPr="00410B35">
        <w:rPr>
          <w:lang w:val="sk-SK"/>
        </w:rPr>
        <w:t xml:space="preserve"> avšak NERIADIŤ</w:t>
      </w:r>
      <w:r>
        <w:rPr>
          <w:lang w:val="sk-SK"/>
        </w:rPr>
        <w:t xml:space="preserve"> MOTOROVÉ VOZIDLO</w:t>
      </w:r>
      <w:r w:rsidRPr="00410B35">
        <w:rPr>
          <w:lang w:val="sk-SK"/>
        </w:rPr>
        <w:t>, pretože môže dôjsť k </w:t>
      </w:r>
      <w:proofErr w:type="spellStart"/>
      <w:r w:rsidRPr="00410B35">
        <w:rPr>
          <w:lang w:val="sk-SK"/>
        </w:rPr>
        <w:t>sedácii</w:t>
      </w:r>
      <w:proofErr w:type="spellEnd"/>
      <w:r w:rsidRPr="00410B35">
        <w:rPr>
          <w:lang w:val="sk-SK"/>
        </w:rPr>
        <w:t>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Po použití si dôkladne si umyť ruky a exponovanú kožu.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Ľudia s citlivou pokožkou alebo v nepretržitom kontakte s veterinárnym liekom majú nosiť nepriepustné rukavice.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Vyhýbať sa kontaktu s očami.</w:t>
      </w:r>
    </w:p>
    <w:p w:rsidR="00A338D1" w:rsidRPr="004335EA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Ak </w:t>
      </w:r>
      <w:r w:rsidRPr="004335EA">
        <w:rPr>
          <w:lang w:val="sk-SK"/>
        </w:rPr>
        <w:t>dôjde k náhodnému kontaktu s očami, jemne vypláchnuť pod tečúcou vodou po dobu 15 minút a ak podráždenie pretrváva, vyhľadať lekársku pomoc.</w:t>
      </w:r>
    </w:p>
    <w:p w:rsidR="00A338D1" w:rsidRPr="004335EA" w:rsidRDefault="00A338D1" w:rsidP="00A338D1">
      <w:pPr>
        <w:spacing w:line="240" w:lineRule="auto"/>
        <w:rPr>
          <w:b/>
          <w:lang w:val="sk-SK"/>
        </w:rPr>
      </w:pPr>
    </w:p>
    <w:p w:rsidR="00A338D1" w:rsidRPr="004335EA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335EA">
        <w:rPr>
          <w:b/>
          <w:lang w:val="sk-SK"/>
        </w:rPr>
        <w:t>4.6</w:t>
      </w:r>
      <w:r w:rsidRPr="004335EA">
        <w:rPr>
          <w:b/>
          <w:lang w:val="sk-SK"/>
        </w:rPr>
        <w:tab/>
        <w:t>Nežiaduce účinky (frekvencia výskytu a závažnosť)</w:t>
      </w:r>
    </w:p>
    <w:p w:rsidR="00A338D1" w:rsidRPr="004335EA" w:rsidRDefault="00A338D1" w:rsidP="00A338D1">
      <w:pPr>
        <w:spacing w:line="240" w:lineRule="auto"/>
        <w:rPr>
          <w:u w:val="single"/>
          <w:lang w:val="sk-SK"/>
        </w:rPr>
      </w:pPr>
    </w:p>
    <w:p w:rsidR="00A338D1" w:rsidRPr="004335EA" w:rsidRDefault="00A338D1" w:rsidP="00A338D1">
      <w:pPr>
        <w:spacing w:line="240" w:lineRule="auto"/>
        <w:rPr>
          <w:u w:val="single"/>
          <w:lang w:val="sk-SK"/>
        </w:rPr>
      </w:pPr>
      <w:r w:rsidRPr="004335EA">
        <w:rPr>
          <w:u w:val="single"/>
          <w:lang w:val="sk-SK"/>
        </w:rPr>
        <w:t>Psy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335EA">
        <w:rPr>
          <w:lang w:val="sk-SK"/>
        </w:rPr>
        <w:t xml:space="preserve">Hypotenzia, </w:t>
      </w:r>
      <w:proofErr w:type="spellStart"/>
      <w:r w:rsidRPr="004335EA">
        <w:rPr>
          <w:lang w:val="sk-SK"/>
        </w:rPr>
        <w:t>tachykardia</w:t>
      </w:r>
      <w:proofErr w:type="spellEnd"/>
      <w:r w:rsidRPr="00410B35">
        <w:rPr>
          <w:lang w:val="sk-SK"/>
        </w:rPr>
        <w:t xml:space="preserve">, zvýšenie frekvencie dýchania, </w:t>
      </w:r>
      <w:proofErr w:type="spellStart"/>
      <w:r w:rsidRPr="00410B35">
        <w:rPr>
          <w:lang w:val="sk-SK"/>
        </w:rPr>
        <w:t>arytmia</w:t>
      </w:r>
      <w:proofErr w:type="spellEnd"/>
      <w:r w:rsidRPr="00410B35">
        <w:rPr>
          <w:lang w:val="sk-SK"/>
        </w:rPr>
        <w:t xml:space="preserve">, </w:t>
      </w:r>
      <w:proofErr w:type="spellStart"/>
      <w:r w:rsidRPr="00410B35">
        <w:rPr>
          <w:lang w:val="sk-SK"/>
        </w:rPr>
        <w:t>mióza</w:t>
      </w:r>
      <w:proofErr w:type="spellEnd"/>
      <w:r w:rsidRPr="00410B35">
        <w:rPr>
          <w:lang w:val="sk-SK"/>
        </w:rPr>
        <w:t>, slzenie a </w:t>
      </w:r>
      <w:proofErr w:type="spellStart"/>
      <w:r w:rsidRPr="00410B35">
        <w:rPr>
          <w:lang w:val="sk-SK"/>
        </w:rPr>
        <w:t>ataxia</w:t>
      </w:r>
      <w:proofErr w:type="spellEnd"/>
      <w:r w:rsidRPr="00410B35">
        <w:rPr>
          <w:lang w:val="sk-SK"/>
        </w:rPr>
        <w:t xml:space="preserve">. </w:t>
      </w:r>
      <w:bookmarkStart w:id="0" w:name="_Hlk482623811"/>
      <w:r w:rsidRPr="00410B35">
        <w:rPr>
          <w:lang w:val="sk-SK"/>
        </w:rPr>
        <w:t>Môžu sa vyskytnúť protichodné klinické prejavy agresivity a generalizovaná stimulácia CNS.</w:t>
      </w:r>
    </w:p>
    <w:bookmarkEnd w:id="0"/>
    <w:p w:rsidR="00A338D1" w:rsidRPr="00410B35" w:rsidRDefault="00A338D1" w:rsidP="00A338D1">
      <w:pPr>
        <w:spacing w:line="240" w:lineRule="auto"/>
        <w:rPr>
          <w:lang w:val="sk-SK"/>
        </w:rPr>
      </w:pPr>
    </w:p>
    <w:p w:rsidR="00A338D1" w:rsidRPr="00410B35" w:rsidRDefault="00A338D1" w:rsidP="00A338D1">
      <w:pPr>
        <w:spacing w:line="240" w:lineRule="auto"/>
        <w:rPr>
          <w:u w:val="single"/>
          <w:lang w:val="sk-SK"/>
        </w:rPr>
      </w:pPr>
      <w:r w:rsidRPr="00410B35">
        <w:rPr>
          <w:u w:val="single"/>
          <w:lang w:val="sk-SK"/>
        </w:rPr>
        <w:t>Kone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lastRenderedPageBreak/>
        <w:t xml:space="preserve">Keďže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znižuje tonus sympatického nervového systému, môže sa po podaní vyskytnúť prechodný pokles krvného tlaku.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Inhibícia regulácie telesnej teploty.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V krvnom obraze sú možné nasledujúce zvratné zmeny: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- dočasné zníženie počtu erytrocytov a koncentrácie hemoglobínu,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- dočasné zníženie počtu trombocytov a leukocytov.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Keďže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môže zvyšovať sekréciu </w:t>
      </w:r>
      <w:proofErr w:type="spellStart"/>
      <w:r w:rsidRPr="00410B35">
        <w:rPr>
          <w:lang w:val="sk-SK"/>
        </w:rPr>
        <w:t>prolaktínu</w:t>
      </w:r>
      <w:proofErr w:type="spellEnd"/>
      <w:r w:rsidRPr="00410B35">
        <w:rPr>
          <w:lang w:val="sk-SK"/>
        </w:rPr>
        <w:t xml:space="preserve">, podávanie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m</w:t>
      </w:r>
      <w:r>
        <w:rPr>
          <w:lang w:val="sk-SK"/>
        </w:rPr>
        <w:t xml:space="preserve">ôže viesť k poruchám </w:t>
      </w:r>
      <w:proofErr w:type="spellStart"/>
      <w:r>
        <w:rPr>
          <w:lang w:val="sk-SK"/>
        </w:rPr>
        <w:t>fertility</w:t>
      </w:r>
      <w:proofErr w:type="spellEnd"/>
      <w:r>
        <w:rPr>
          <w:lang w:val="sk-SK"/>
        </w:rPr>
        <w:t>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Môže sa vyskytnúť </w:t>
      </w:r>
      <w:proofErr w:type="spellStart"/>
      <w:r w:rsidRPr="00410B35">
        <w:rPr>
          <w:lang w:val="sk-SK"/>
        </w:rPr>
        <w:t>prolaps</w:t>
      </w:r>
      <w:proofErr w:type="spellEnd"/>
      <w:r w:rsidRPr="00410B35">
        <w:rPr>
          <w:lang w:val="sk-SK"/>
        </w:rPr>
        <w:t xml:space="preserve"> penisu spôsobený uvoľnením sťahovacích svalov penisu. </w:t>
      </w:r>
      <w:proofErr w:type="spellStart"/>
      <w:r w:rsidRPr="00410B35">
        <w:rPr>
          <w:lang w:val="sk-SK"/>
        </w:rPr>
        <w:t>Retrakcia</w:t>
      </w:r>
      <w:proofErr w:type="spellEnd"/>
      <w:r w:rsidRPr="00410B35">
        <w:rPr>
          <w:lang w:val="sk-SK"/>
        </w:rPr>
        <w:t xml:space="preserve"> penisu musí byť viditeľná do dvoch až troch hodín. Ak k tomu nedôjde, odporúča sa kontaktovať veterinárneho lekára. Chýbajúca </w:t>
      </w:r>
      <w:proofErr w:type="spellStart"/>
      <w:r w:rsidRPr="00410B35">
        <w:rPr>
          <w:lang w:val="sk-SK"/>
        </w:rPr>
        <w:t>retrakcia</w:t>
      </w:r>
      <w:proofErr w:type="spellEnd"/>
      <w:r w:rsidRPr="00410B35">
        <w:rPr>
          <w:lang w:val="sk-SK"/>
        </w:rPr>
        <w:t xml:space="preserve"> sa týka najmä plemenných žrebcov. Podávanie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spôsobilo </w:t>
      </w:r>
      <w:proofErr w:type="spellStart"/>
      <w:r w:rsidRPr="00410B35">
        <w:rPr>
          <w:lang w:val="sk-SK"/>
        </w:rPr>
        <w:t>parafimózu</w:t>
      </w:r>
      <w:proofErr w:type="spellEnd"/>
      <w:r w:rsidRPr="00410B35">
        <w:rPr>
          <w:lang w:val="sk-SK"/>
        </w:rPr>
        <w:t xml:space="preserve"> (predkožka sa nevráti </w:t>
      </w:r>
      <w:r>
        <w:rPr>
          <w:lang w:val="sk-SK"/>
        </w:rPr>
        <w:t>d</w:t>
      </w:r>
      <w:r w:rsidRPr="00410B35">
        <w:rPr>
          <w:lang w:val="sk-SK"/>
        </w:rPr>
        <w:t xml:space="preserve">o normálnej pozície) niekedy ako následok </w:t>
      </w:r>
      <w:proofErr w:type="spellStart"/>
      <w:r w:rsidRPr="00410B35">
        <w:rPr>
          <w:lang w:val="sk-SK"/>
        </w:rPr>
        <w:t>priapizmu</w:t>
      </w:r>
      <w:proofErr w:type="spellEnd"/>
      <w:r w:rsidRPr="00410B35">
        <w:rPr>
          <w:lang w:val="sk-SK"/>
        </w:rPr>
        <w:t xml:space="preserve"> (pretrvávajúcej erekcie).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bookmarkStart w:id="1" w:name="_Hlk482623431"/>
      <w:r w:rsidRPr="00410B35">
        <w:rPr>
          <w:lang w:val="sk-SK"/>
        </w:rPr>
        <w:t>Môžu sa vyskytnúť protichodné klinické prejavy agresivity a generalizovaná stimulácia CNS.</w:t>
      </w:r>
    </w:p>
    <w:bookmarkEnd w:id="1"/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Prolaps</w:t>
      </w:r>
      <w:proofErr w:type="spellEnd"/>
      <w:r w:rsidRPr="00410B35">
        <w:rPr>
          <w:lang w:val="sk-SK"/>
        </w:rPr>
        <w:t xml:space="preserve"> tretieho očného viečka bol tiež uvádzaný ako možný nežiaduci účinok u koní.</w:t>
      </w:r>
    </w:p>
    <w:p w:rsidR="00A338D1" w:rsidRPr="00410B35" w:rsidRDefault="00A338D1" w:rsidP="00A338D1">
      <w:pPr>
        <w:spacing w:line="240" w:lineRule="auto"/>
        <w:rPr>
          <w:b/>
          <w:lang w:val="sk-SK"/>
        </w:rPr>
      </w:pPr>
    </w:p>
    <w:p w:rsidR="00A338D1" w:rsidRPr="004335EA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335EA">
        <w:rPr>
          <w:b/>
          <w:lang w:val="sk-SK"/>
        </w:rPr>
        <w:t>4.7</w:t>
      </w:r>
      <w:r w:rsidRPr="004335EA">
        <w:rPr>
          <w:b/>
          <w:lang w:val="sk-SK"/>
        </w:rPr>
        <w:tab/>
        <w:t>Použitie počas gravidity a laktácie</w:t>
      </w:r>
    </w:p>
    <w:p w:rsidR="00A338D1" w:rsidRPr="004335EA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335EA">
        <w:rPr>
          <w:lang w:val="sk-SK"/>
        </w:rPr>
        <w:t>Bezpečnosť veterinárneho lieku nebola u cieľových druhov</w:t>
      </w:r>
      <w:bookmarkStart w:id="2" w:name="_Hlk482624937"/>
      <w:r w:rsidRPr="004335EA">
        <w:rPr>
          <w:lang w:val="sk-SK"/>
        </w:rPr>
        <w:t xml:space="preserve"> skúmaná počas gravidity a laktácie. Použiť len po zhodnotení prínosu/rizika zodpovedným veterinárnym lekárom.</w:t>
      </w:r>
    </w:p>
    <w:bookmarkEnd w:id="2"/>
    <w:p w:rsidR="00A338D1" w:rsidRPr="00410B35" w:rsidRDefault="00A338D1" w:rsidP="00A338D1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410B35">
        <w:rPr>
          <w:lang w:val="sk-SK"/>
        </w:rPr>
        <w:t xml:space="preserve">Pozri tiež časť 4.6 týkajúcu sa porúch </w:t>
      </w:r>
      <w:proofErr w:type="spellStart"/>
      <w:r w:rsidRPr="00410B35">
        <w:rPr>
          <w:lang w:val="sk-SK"/>
        </w:rPr>
        <w:t>fertility</w:t>
      </w:r>
      <w:proofErr w:type="spellEnd"/>
      <w:r w:rsidRPr="00410B35">
        <w:rPr>
          <w:lang w:val="sk-SK"/>
        </w:rPr>
        <w:t xml:space="preserve"> u kobýl.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A20A4A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A20A4A">
        <w:rPr>
          <w:b/>
          <w:lang w:val="sk-SK"/>
        </w:rPr>
        <w:t>4.8</w:t>
      </w:r>
      <w:r w:rsidRPr="00A20A4A">
        <w:rPr>
          <w:b/>
          <w:lang w:val="sk-SK"/>
        </w:rPr>
        <w:tab/>
        <w:t>Liekové interakcie a iné formy vzájomného pôsobenia</w:t>
      </w:r>
    </w:p>
    <w:p w:rsidR="00A338D1" w:rsidRPr="00A20A4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A20A4A">
        <w:rPr>
          <w:lang w:val="sk-SK"/>
        </w:rPr>
        <w:t>Acepromazín</w:t>
      </w:r>
      <w:proofErr w:type="spellEnd"/>
      <w:r w:rsidRPr="00A20A4A">
        <w:rPr>
          <w:lang w:val="sk-SK"/>
        </w:rPr>
        <w:t xml:space="preserve"> zosilňuje</w:t>
      </w:r>
      <w:r w:rsidRPr="00410B35">
        <w:rPr>
          <w:lang w:val="sk-SK"/>
        </w:rPr>
        <w:t xml:space="preserve"> účinok centrálne utlmujúcich liekov.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Má sa vyhnúť súbežnému podávaniu alebo podávaniu zvieratám nedávno liečeným organofosfátmi alebo </w:t>
      </w:r>
      <w:proofErr w:type="spellStart"/>
      <w:r w:rsidRPr="00410B35">
        <w:rPr>
          <w:lang w:val="sk-SK"/>
        </w:rPr>
        <w:t>prokaínhydrochloridom</w:t>
      </w:r>
      <w:proofErr w:type="spellEnd"/>
      <w:r w:rsidRPr="00410B35">
        <w:rPr>
          <w:lang w:val="sk-SK"/>
        </w:rPr>
        <w:t xml:space="preserve"> (lokálne anestetikum), pretože tieto molekuly zvyšujú toxický účinok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Keďže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znižuje tonus sympatického nervového systému, nemá sa prevádzať súbežná liečba liekmi znižujúcimi krvný tlak.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Antacidá</w:t>
      </w:r>
      <w:proofErr w:type="spellEnd"/>
      <w:r w:rsidRPr="00410B35">
        <w:rPr>
          <w:lang w:val="sk-SK"/>
        </w:rPr>
        <w:t xml:space="preserve"> môžu spôsobiť zníženie </w:t>
      </w:r>
      <w:proofErr w:type="spellStart"/>
      <w:r w:rsidRPr="00410B35">
        <w:rPr>
          <w:lang w:val="sk-SK"/>
        </w:rPr>
        <w:t>gastrointestinálnej</w:t>
      </w:r>
      <w:proofErr w:type="spellEnd"/>
      <w:r w:rsidRPr="00410B35">
        <w:rPr>
          <w:lang w:val="sk-SK"/>
        </w:rPr>
        <w:t xml:space="preserve"> absorpcie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po perorálnom podaní. </w:t>
      </w:r>
    </w:p>
    <w:p w:rsidR="00A338D1" w:rsidRPr="00A20A4A" w:rsidRDefault="00A338D1" w:rsidP="00A338D1">
      <w:pPr>
        <w:spacing w:line="240" w:lineRule="auto"/>
        <w:rPr>
          <w:lang w:val="sk-SK"/>
        </w:rPr>
      </w:pPr>
      <w:r w:rsidRPr="00A20A4A">
        <w:rPr>
          <w:lang w:val="sk-SK"/>
        </w:rPr>
        <w:t xml:space="preserve">Opiáty a adrenalín môžu zvýšiť </w:t>
      </w:r>
      <w:proofErr w:type="spellStart"/>
      <w:r w:rsidRPr="00A20A4A">
        <w:rPr>
          <w:lang w:val="sk-SK"/>
        </w:rPr>
        <w:t>hypotenzné</w:t>
      </w:r>
      <w:proofErr w:type="spellEnd"/>
      <w:r w:rsidRPr="00A20A4A">
        <w:rPr>
          <w:lang w:val="sk-SK"/>
        </w:rPr>
        <w:t xml:space="preserve"> účinky </w:t>
      </w:r>
      <w:proofErr w:type="spellStart"/>
      <w:r w:rsidRPr="00A20A4A">
        <w:rPr>
          <w:lang w:val="sk-SK"/>
        </w:rPr>
        <w:t>acepromazínu</w:t>
      </w:r>
      <w:proofErr w:type="spellEnd"/>
      <w:r w:rsidRPr="00A20A4A">
        <w:rPr>
          <w:lang w:val="sk-SK"/>
        </w:rPr>
        <w:t>.</w:t>
      </w:r>
    </w:p>
    <w:p w:rsidR="00A338D1" w:rsidRPr="00A20A4A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A20A4A">
        <w:rPr>
          <w:b/>
          <w:lang w:val="sk-SK"/>
        </w:rPr>
        <w:t>4.9</w:t>
      </w:r>
      <w:r w:rsidRPr="00A20A4A">
        <w:rPr>
          <w:b/>
          <w:lang w:val="sk-SK"/>
        </w:rPr>
        <w:tab/>
        <w:t>Dávkovanie a spôsob podania lieku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Na perorálne použitie.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410B35">
        <w:rPr>
          <w:u w:val="single"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10B35">
        <w:rPr>
          <w:lang w:val="sk-SK"/>
        </w:rPr>
        <w:t xml:space="preserve">Ľahká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0,5 - 1,0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0,14 - 0,29 g lieku na 10 kg </w:t>
      </w:r>
      <w:r>
        <w:rPr>
          <w:lang w:val="sk-SK"/>
        </w:rPr>
        <w:t xml:space="preserve">živej </w:t>
      </w:r>
      <w:r w:rsidRPr="00410B35">
        <w:rPr>
          <w:lang w:val="sk-SK"/>
        </w:rPr>
        <w:t>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10B35">
        <w:rPr>
          <w:lang w:val="sk-SK"/>
        </w:rPr>
        <w:t xml:space="preserve">Hlbšia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1,0 - 2,0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0,29 - 0,57 g lieku na 10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u w:val="single"/>
          <w:lang w:val="sk-SK"/>
        </w:rPr>
        <w:t>Kone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10B35">
        <w:rPr>
          <w:lang w:val="sk-SK"/>
        </w:rPr>
        <w:t xml:space="preserve">Stredná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0,150 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0,43 g lieku na 100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10B35">
        <w:rPr>
          <w:lang w:val="sk-SK"/>
        </w:rPr>
        <w:t xml:space="preserve">Hlbšia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0,225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0,64 g lieku na 100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Vyššie uvedené informácie o dávke sú poskytnuté ako smernica a majú sa upraviť pre každé zviera s uvážením viacerých faktorov (napr. temperament, plemeno, nervozita atď.), ktoré môžu ovplyvniť citlivosť na sedatíva.</w:t>
      </w:r>
      <w:r w:rsidRPr="00410B35">
        <w:rPr>
          <w:rStyle w:val="Odkaznakomentr"/>
          <w:lang w:val="sk-SK"/>
        </w:rPr>
        <w:t xml:space="preserve">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Použitie tohto veterinárneho lieku na ľahkú </w:t>
      </w:r>
      <w:proofErr w:type="spellStart"/>
      <w:r w:rsidRPr="00410B35">
        <w:rPr>
          <w:lang w:val="sk-SK"/>
        </w:rPr>
        <w:t>sedáciu</w:t>
      </w:r>
      <w:proofErr w:type="spellEnd"/>
      <w:r w:rsidRPr="00410B35">
        <w:rPr>
          <w:lang w:val="sk-SK"/>
        </w:rPr>
        <w:t xml:space="preserve"> u psov s telesnou hmotnosťou menej ako 17,5 kg sa má zakladať na dôkladnom vyhodnotení prínosu/rizika lieku zodpovedným veterinárnym lekárom. </w:t>
      </w:r>
      <w:r w:rsidRPr="00410B35">
        <w:rPr>
          <w:b/>
          <w:lang w:val="sk-SK"/>
        </w:rPr>
        <w:t>Pozri časť 4.5.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lastRenderedPageBreak/>
        <w:t xml:space="preserve">3 a 6-gramové striekačky majú dávkovací krúžok odstupňovaný každých 0,25 g.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10 a 12-gramové striekačky majú dávkovací krúžok odstupňovaný každých 0,5 g. Na zaistenie presného dávkovania sa má zvoliť najvhodnejšia striekačka.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Nasledujúce tabuľky sú určen</w:t>
      </w:r>
      <w:r>
        <w:rPr>
          <w:lang w:val="sk-SK"/>
        </w:rPr>
        <w:t>é</w:t>
      </w:r>
      <w:r w:rsidRPr="00410B35">
        <w:rPr>
          <w:lang w:val="sk-SK"/>
        </w:rPr>
        <w:t xml:space="preserve"> ako pomôck</w:t>
      </w:r>
      <w:r>
        <w:rPr>
          <w:lang w:val="sk-SK"/>
        </w:rPr>
        <w:t>y</w:t>
      </w:r>
      <w:r w:rsidRPr="00410B35">
        <w:rPr>
          <w:lang w:val="sk-SK"/>
        </w:rPr>
        <w:t xml:space="preserve"> pri podávaní tohto veterinárneho lieku v odporúč</w:t>
      </w:r>
      <w:r>
        <w:rPr>
          <w:lang w:val="sk-SK"/>
        </w:rPr>
        <w:t>aných</w:t>
      </w:r>
      <w:r w:rsidRPr="00410B35">
        <w:rPr>
          <w:lang w:val="sk-SK"/>
        </w:rPr>
        <w:t xml:space="preserve"> výškach dávok. Otočte pohyblivý krúžok proti smeru hodinových ručičiek, až kým sa ľavá strana krúžku nezarovná s váhou perorálneho gélu, ktorý sa má podať. Vsuňte naplnenú perorálnu striekačku do úst zvieraťa a vytlačte požadovanú dávku na zadnú časť jazyka u psov alebo do lícneho vrecka u koní.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52"/>
        <w:gridCol w:w="1174"/>
        <w:gridCol w:w="1294"/>
        <w:gridCol w:w="1130"/>
        <w:gridCol w:w="1152"/>
        <w:gridCol w:w="1294"/>
        <w:gridCol w:w="1176"/>
      </w:tblGrid>
      <w:tr w:rsidR="00A338D1" w:rsidRPr="00410B35" w:rsidTr="00DB389F">
        <w:trPr>
          <w:trHeight w:val="414"/>
        </w:trPr>
        <w:tc>
          <w:tcPr>
            <w:tcW w:w="5000" w:type="pct"/>
            <w:gridSpan w:val="7"/>
            <w:shd w:val="clear" w:color="auto" w:fill="00000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4"/>
                <w:szCs w:val="24"/>
                <w:lang w:val="sk-SK"/>
              </w:rPr>
              <w:t>Tranquigel pre psy</w:t>
            </w:r>
          </w:p>
        </w:tc>
      </w:tr>
      <w:tr w:rsidR="00A338D1" w:rsidRPr="00410B35" w:rsidTr="00DB389F">
        <w:trPr>
          <w:trHeight w:val="414"/>
        </w:trPr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</w:p>
        </w:tc>
        <w:tc>
          <w:tcPr>
            <w:tcW w:w="1983" w:type="pct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Ľahká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0,5 - 1,0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  <w:tc>
          <w:tcPr>
            <w:tcW w:w="1996" w:type="pct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Hlbšia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1,0 - 2,0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</w:tr>
      <w:tr w:rsidR="00A338D1" w:rsidRPr="00410B35" w:rsidTr="00DB389F">
        <w:trPr>
          <w:trHeight w:val="414"/>
        </w:trPr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Živá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 xml:space="preserve"> hmotnosť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 kg – 17,5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8,75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0,50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1,00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17,5 kg – 20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 – 0,88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 – 1,31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20 kg – 25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25 kg – 30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0,70 – 0,58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1,46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30 kg – 40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0,66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1,31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40 kg – 50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70,00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50 kg – 60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0,73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1,46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60 kg – 70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0,75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105,00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1,31</w:t>
            </w:r>
          </w:p>
        </w:tc>
      </w:tr>
    </w:tbl>
    <w:p w:rsidR="00A338D1" w:rsidRPr="00410B35" w:rsidRDefault="00A338D1" w:rsidP="00A338D1">
      <w:pPr>
        <w:tabs>
          <w:tab w:val="clear" w:pos="567"/>
        </w:tabs>
        <w:spacing w:after="160" w:line="259" w:lineRule="auto"/>
        <w:rPr>
          <w:lang w:val="sk-SK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898"/>
        <w:gridCol w:w="1203"/>
        <w:gridCol w:w="1326"/>
        <w:gridCol w:w="1159"/>
        <w:gridCol w:w="1181"/>
        <w:gridCol w:w="1326"/>
        <w:gridCol w:w="1205"/>
        <w:gridCol w:w="24"/>
      </w:tblGrid>
      <w:tr w:rsidR="00A338D1" w:rsidRPr="00410B35" w:rsidTr="00DB389F">
        <w:trPr>
          <w:trHeight w:val="378"/>
        </w:trPr>
        <w:tc>
          <w:tcPr>
            <w:tcW w:w="9322" w:type="dxa"/>
            <w:gridSpan w:val="8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color w:val="FFFFFF"/>
                <w:sz w:val="24"/>
                <w:szCs w:val="24"/>
                <w:lang w:val="sk-SK"/>
              </w:rPr>
            </w:pPr>
            <w:r w:rsidRPr="00410B35">
              <w:rPr>
                <w:b/>
                <w:bCs/>
                <w:iCs/>
                <w:noProof/>
                <w:color w:val="FFFFFF"/>
                <w:sz w:val="24"/>
                <w:szCs w:val="24"/>
                <w:lang w:val="sk-SK"/>
              </w:rPr>
              <w:t>Tranquigel pre kone</w:t>
            </w:r>
          </w:p>
        </w:tc>
      </w:tr>
      <w:tr w:rsidR="00A338D1" w:rsidRPr="00410B35" w:rsidTr="00DB389F">
        <w:trPr>
          <w:gridAfter w:val="1"/>
          <w:wAfter w:w="24" w:type="dxa"/>
          <w:trHeight w:val="414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Stredná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0,150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  <w:tc>
          <w:tcPr>
            <w:tcW w:w="3712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Hlbšia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0,225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</w:tr>
      <w:tr w:rsidR="00A338D1" w:rsidRPr="00410B35" w:rsidTr="00DB389F">
        <w:trPr>
          <w:gridAfter w:val="1"/>
          <w:wAfter w:w="24" w:type="dxa"/>
          <w:trHeight w:val="414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Živá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 xml:space="preserve"> hmotnosť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100 kg – 150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0,12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0,18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150 kg – 200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0,13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0,23 – 0,18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200 kg – 250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0,14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0,21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250 kg – 300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61,25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0,20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300 kg – 350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2,25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78,75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0,23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350 kg – 400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61,25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0,22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400 kg – 500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70,00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0,14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105,00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0,21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500 kg – 600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122,50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0,20</w:t>
            </w:r>
          </w:p>
        </w:tc>
      </w:tr>
    </w:tbl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U psov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začína po 1 hodine a trvá 8 - 12 hodín, u koní začína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po 15 - 20 minútach a trvá 6 </w:t>
      </w:r>
      <w:r w:rsidRPr="00306B52">
        <w:rPr>
          <w:lang w:val="sk-SK"/>
        </w:rPr>
        <w:t>- 7 hodín. Pre dlhšie použitie u psov sa tieto dávky môžu zopakovať jedenkrát po 12 hodinách.</w:t>
      </w: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06B52" w:rsidRDefault="00A338D1" w:rsidP="00A338D1">
      <w:pPr>
        <w:pStyle w:val="Zarkazkladnhotextu"/>
        <w:rPr>
          <w:lang w:val="sk-SK"/>
        </w:rPr>
      </w:pPr>
      <w:r w:rsidRPr="00306B52">
        <w:rPr>
          <w:lang w:val="sk-SK"/>
        </w:rPr>
        <w:t>4.10</w:t>
      </w:r>
      <w:r w:rsidRPr="00306B52">
        <w:rPr>
          <w:lang w:val="sk-SK"/>
        </w:rPr>
        <w:tab/>
        <w:t xml:space="preserve">Predávkovanie (príznaky, núdzové postupy, </w:t>
      </w:r>
      <w:proofErr w:type="spellStart"/>
      <w:r w:rsidRPr="00306B52">
        <w:rPr>
          <w:lang w:val="sk-SK"/>
        </w:rPr>
        <w:t>antidotá</w:t>
      </w:r>
      <w:proofErr w:type="spellEnd"/>
      <w:r w:rsidRPr="00306B52">
        <w:rPr>
          <w:lang w:val="sk-SK"/>
        </w:rPr>
        <w:t>) ak sú potrebné</w:t>
      </w: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06B52">
        <w:rPr>
          <w:lang w:val="sk-SK"/>
        </w:rPr>
        <w:t xml:space="preserve">Predávkovanie má za následok skorší začiatok </w:t>
      </w:r>
      <w:proofErr w:type="spellStart"/>
      <w:r w:rsidRPr="00306B52">
        <w:rPr>
          <w:lang w:val="sk-SK"/>
        </w:rPr>
        <w:t>sedačných</w:t>
      </w:r>
      <w:proofErr w:type="spellEnd"/>
      <w:r w:rsidRPr="00306B52">
        <w:rPr>
          <w:lang w:val="sk-SK"/>
        </w:rPr>
        <w:t xml:space="preserve"> príznakov a predĺžený účinok. Toxické účinky sú </w:t>
      </w:r>
      <w:proofErr w:type="spellStart"/>
      <w:r w:rsidRPr="00306B52">
        <w:rPr>
          <w:lang w:val="sk-SK"/>
        </w:rPr>
        <w:t>ataxia</w:t>
      </w:r>
      <w:proofErr w:type="spellEnd"/>
      <w:r w:rsidRPr="00306B52">
        <w:rPr>
          <w:lang w:val="sk-SK"/>
        </w:rPr>
        <w:t xml:space="preserve">, hypotenzia, hypotermia a účinky na centrálny nervový systém (extra pyramidálne). Na neutralizáciu kardiovaskulárnych účinkov sa môže použiť </w:t>
      </w:r>
      <w:proofErr w:type="spellStart"/>
      <w:r w:rsidRPr="00306B52">
        <w:rPr>
          <w:lang w:val="sk-SK"/>
        </w:rPr>
        <w:t>noradrenalín</w:t>
      </w:r>
      <w:proofErr w:type="spellEnd"/>
      <w:r w:rsidRPr="00306B52">
        <w:rPr>
          <w:lang w:val="sk-SK"/>
        </w:rPr>
        <w:t>, nie však adrenalín.</w:t>
      </w: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06B52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06B52">
        <w:rPr>
          <w:b/>
          <w:lang w:val="sk-SK"/>
        </w:rPr>
        <w:t>4.11</w:t>
      </w:r>
      <w:r w:rsidRPr="00306B52">
        <w:rPr>
          <w:b/>
          <w:lang w:val="sk-SK"/>
        </w:rPr>
        <w:tab/>
        <w:t>Ochranná lehota</w:t>
      </w: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06B52" w:rsidRDefault="00A338D1" w:rsidP="00A338D1">
      <w:pPr>
        <w:spacing w:line="240" w:lineRule="auto"/>
        <w:rPr>
          <w:b/>
          <w:lang w:val="sk-SK"/>
        </w:rPr>
      </w:pPr>
      <w:r w:rsidRPr="00306B52">
        <w:rPr>
          <w:lang w:val="sk-SK"/>
        </w:rPr>
        <w:t xml:space="preserve">Nie je registrovaný na použitie u koní </w:t>
      </w:r>
      <w:r>
        <w:rPr>
          <w:lang w:val="sk-SK"/>
        </w:rPr>
        <w:t>určených</w:t>
      </w:r>
      <w:r w:rsidRPr="00306B52">
        <w:rPr>
          <w:lang w:val="sk-SK"/>
        </w:rPr>
        <w:t xml:space="preserve"> na ľudskú spotrebu.</w:t>
      </w:r>
    </w:p>
    <w:p w:rsidR="00A338D1" w:rsidRPr="00306B52" w:rsidRDefault="00A338D1" w:rsidP="00A338D1">
      <w:pPr>
        <w:spacing w:line="240" w:lineRule="auto"/>
        <w:rPr>
          <w:b/>
          <w:lang w:val="sk-SK"/>
        </w:rPr>
      </w:pPr>
    </w:p>
    <w:p w:rsidR="00A338D1" w:rsidRPr="00306B52" w:rsidRDefault="00A338D1" w:rsidP="00A338D1">
      <w:pPr>
        <w:spacing w:line="240" w:lineRule="auto"/>
        <w:ind w:left="567" w:hanging="567"/>
        <w:rPr>
          <w:lang w:val="sk-SK"/>
        </w:rPr>
      </w:pPr>
      <w:r w:rsidRPr="00306B52">
        <w:rPr>
          <w:b/>
          <w:lang w:val="sk-SK"/>
        </w:rPr>
        <w:t>5.</w:t>
      </w:r>
      <w:r w:rsidRPr="00306B52">
        <w:rPr>
          <w:b/>
          <w:lang w:val="sk-SK"/>
        </w:rPr>
        <w:tab/>
        <w:t>FARMAKOLOGICKÉ VLASTNOSTI</w:t>
      </w:r>
    </w:p>
    <w:p w:rsidR="00A338D1" w:rsidRPr="00306B52" w:rsidRDefault="00A338D1" w:rsidP="00A338D1">
      <w:pPr>
        <w:spacing w:line="240" w:lineRule="auto"/>
        <w:rPr>
          <w:b/>
          <w:lang w:val="sk-SK"/>
        </w:rPr>
      </w:pP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i/>
          <w:lang w:val="sk-SK"/>
        </w:rPr>
      </w:pPr>
      <w:proofErr w:type="spellStart"/>
      <w:r w:rsidRPr="00306B52">
        <w:rPr>
          <w:b/>
          <w:bCs/>
          <w:lang w:val="sk-SK"/>
        </w:rPr>
        <w:lastRenderedPageBreak/>
        <w:t>Farmakoterapeutická</w:t>
      </w:r>
      <w:proofErr w:type="spellEnd"/>
      <w:r w:rsidRPr="00306B52">
        <w:rPr>
          <w:b/>
          <w:bCs/>
          <w:lang w:val="sk-SK"/>
        </w:rPr>
        <w:t xml:space="preserve"> skupina:</w:t>
      </w:r>
      <w:r w:rsidRPr="00306B52">
        <w:rPr>
          <w:i/>
          <w:lang w:val="sk-SK"/>
        </w:rPr>
        <w:t xml:space="preserve"> </w:t>
      </w:r>
      <w:r w:rsidRPr="00600F73">
        <w:rPr>
          <w:lang w:val="sk-SK"/>
        </w:rPr>
        <w:t xml:space="preserve">Nervový systém, </w:t>
      </w:r>
      <w:proofErr w:type="spellStart"/>
      <w:r w:rsidRPr="00600F73">
        <w:rPr>
          <w:lang w:val="sk-SK"/>
        </w:rPr>
        <w:t>psycholeptiká</w:t>
      </w:r>
      <w:proofErr w:type="spellEnd"/>
      <w:r w:rsidRPr="00600F73">
        <w:rPr>
          <w:lang w:val="sk-SK"/>
        </w:rPr>
        <w:t xml:space="preserve">, </w:t>
      </w:r>
      <w:proofErr w:type="spellStart"/>
      <w:r w:rsidRPr="00600F73">
        <w:rPr>
          <w:lang w:val="sk-SK"/>
        </w:rPr>
        <w:t>antipsychotiká</w:t>
      </w:r>
      <w:proofErr w:type="spellEnd"/>
      <w:r w:rsidRPr="00600F73">
        <w:rPr>
          <w:lang w:val="sk-SK"/>
        </w:rPr>
        <w:t xml:space="preserve">, </w:t>
      </w:r>
      <w:proofErr w:type="spellStart"/>
      <w:r w:rsidRPr="00600F73">
        <w:rPr>
          <w:lang w:val="sk-SK"/>
        </w:rPr>
        <w:t>fenotiazíny</w:t>
      </w:r>
      <w:proofErr w:type="spellEnd"/>
      <w:r w:rsidRPr="00600F73">
        <w:rPr>
          <w:lang w:val="sk-SK"/>
        </w:rPr>
        <w:t xml:space="preserve"> s alifatickým vedľajším reťazcom, </w:t>
      </w:r>
      <w:proofErr w:type="spellStart"/>
      <w:r w:rsidRPr="00600F73">
        <w:rPr>
          <w:iCs/>
          <w:lang w:val="sk-SK"/>
        </w:rPr>
        <w:t>acepromazín</w:t>
      </w:r>
      <w:proofErr w:type="spellEnd"/>
      <w:r w:rsidRPr="00600F73">
        <w:rPr>
          <w:iCs/>
          <w:lang w:val="sk-SK"/>
        </w:rPr>
        <w:t>.</w:t>
      </w:r>
    </w:p>
    <w:p w:rsidR="00A338D1" w:rsidRPr="00306B52" w:rsidRDefault="00A338D1" w:rsidP="00A338D1">
      <w:pPr>
        <w:tabs>
          <w:tab w:val="clear" w:pos="567"/>
        </w:tabs>
        <w:spacing w:line="240" w:lineRule="auto"/>
        <w:rPr>
          <w:i/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i/>
          <w:lang w:val="sk-SK"/>
        </w:rPr>
      </w:pPr>
      <w:proofErr w:type="spellStart"/>
      <w:r w:rsidRPr="00600F73">
        <w:rPr>
          <w:lang w:val="sk-SK"/>
        </w:rPr>
        <w:t>ATCvet</w:t>
      </w:r>
      <w:proofErr w:type="spellEnd"/>
      <w:r w:rsidRPr="00600F73">
        <w:rPr>
          <w:lang w:val="sk-SK"/>
        </w:rPr>
        <w:t xml:space="preserve"> kód:</w:t>
      </w:r>
      <w:r w:rsidRPr="00CA597D">
        <w:rPr>
          <w:b/>
          <w:lang w:val="sk-SK"/>
        </w:rPr>
        <w:t xml:space="preserve"> </w:t>
      </w:r>
      <w:r w:rsidRPr="00600F73">
        <w:rPr>
          <w:iCs/>
          <w:lang w:val="sk-SK"/>
        </w:rPr>
        <w:t>QN05AA04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CA597D">
        <w:rPr>
          <w:b/>
          <w:lang w:val="sk-SK"/>
        </w:rPr>
        <w:t>5.1</w:t>
      </w:r>
      <w:r w:rsidRPr="00CA597D">
        <w:rPr>
          <w:b/>
          <w:lang w:val="sk-SK"/>
        </w:rPr>
        <w:tab/>
      </w:r>
      <w:proofErr w:type="spellStart"/>
      <w:r w:rsidRPr="00CA597D">
        <w:rPr>
          <w:b/>
          <w:lang w:val="sk-SK"/>
        </w:rPr>
        <w:t>Farmakodynamické</w:t>
      </w:r>
      <w:proofErr w:type="spellEnd"/>
      <w:r w:rsidRPr="00CA597D">
        <w:rPr>
          <w:b/>
          <w:lang w:val="sk-SK"/>
        </w:rPr>
        <w:t xml:space="preserve"> vlastnosti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CA597D">
        <w:rPr>
          <w:lang w:val="sk-SK"/>
        </w:rPr>
        <w:t>Acepromazín</w:t>
      </w:r>
      <w:proofErr w:type="spellEnd"/>
      <w:r w:rsidRPr="00CA597D">
        <w:rPr>
          <w:lang w:val="sk-SK"/>
        </w:rPr>
        <w:t xml:space="preserve"> je derivát </w:t>
      </w:r>
      <w:proofErr w:type="spellStart"/>
      <w:r w:rsidRPr="00CA597D">
        <w:rPr>
          <w:lang w:val="sk-SK"/>
        </w:rPr>
        <w:t>fenotiazínu</w:t>
      </w:r>
      <w:proofErr w:type="spellEnd"/>
      <w:r w:rsidRPr="00CA597D">
        <w:rPr>
          <w:lang w:val="sk-SK"/>
        </w:rPr>
        <w:t xml:space="preserve"> s </w:t>
      </w:r>
      <w:proofErr w:type="spellStart"/>
      <w:r w:rsidRPr="00CA597D">
        <w:rPr>
          <w:lang w:val="sk-SK"/>
        </w:rPr>
        <w:t>neuroleptickou</w:t>
      </w:r>
      <w:proofErr w:type="spellEnd"/>
      <w:r w:rsidRPr="00CA597D">
        <w:rPr>
          <w:lang w:val="sk-SK"/>
        </w:rPr>
        <w:t xml:space="preserve"> aktivitou. </w:t>
      </w:r>
      <w:proofErr w:type="spellStart"/>
      <w:r w:rsidRPr="00CA597D">
        <w:rPr>
          <w:lang w:val="sk-SK"/>
        </w:rPr>
        <w:t>Fenotiazíny</w:t>
      </w:r>
      <w:proofErr w:type="spellEnd"/>
      <w:r w:rsidRPr="00CA597D">
        <w:rPr>
          <w:lang w:val="sk-SK"/>
        </w:rPr>
        <w:t xml:space="preserve"> </w:t>
      </w:r>
      <w:proofErr w:type="spellStart"/>
      <w:r w:rsidRPr="00CA597D">
        <w:rPr>
          <w:lang w:val="sk-SK"/>
        </w:rPr>
        <w:t>inhibujú</w:t>
      </w:r>
      <w:proofErr w:type="spellEnd"/>
      <w:r w:rsidRPr="00CA597D">
        <w:rPr>
          <w:lang w:val="sk-SK"/>
        </w:rPr>
        <w:t xml:space="preserve"> </w:t>
      </w:r>
      <w:proofErr w:type="spellStart"/>
      <w:r w:rsidRPr="00CA597D">
        <w:rPr>
          <w:lang w:val="sk-SK"/>
        </w:rPr>
        <w:t>postsynaptické</w:t>
      </w:r>
      <w:proofErr w:type="spellEnd"/>
      <w:r w:rsidRPr="00CA597D">
        <w:rPr>
          <w:lang w:val="sk-SK"/>
        </w:rPr>
        <w:t xml:space="preserve"> </w:t>
      </w:r>
      <w:proofErr w:type="spellStart"/>
      <w:r w:rsidRPr="00CA597D">
        <w:rPr>
          <w:lang w:val="sk-SK"/>
        </w:rPr>
        <w:t>dopamínové</w:t>
      </w:r>
      <w:proofErr w:type="spellEnd"/>
      <w:r w:rsidRPr="00CA597D">
        <w:rPr>
          <w:lang w:val="sk-SK"/>
        </w:rPr>
        <w:t xml:space="preserve"> receptory v centrálnom nervovom systéme a môžu </w:t>
      </w:r>
      <w:proofErr w:type="spellStart"/>
      <w:r w:rsidRPr="00CA597D">
        <w:rPr>
          <w:lang w:val="sk-SK"/>
        </w:rPr>
        <w:t>inhibovať</w:t>
      </w:r>
      <w:proofErr w:type="spellEnd"/>
      <w:r w:rsidRPr="00CA597D">
        <w:rPr>
          <w:lang w:val="sk-SK"/>
        </w:rPr>
        <w:t xml:space="preserve"> uvoľňovanie </w:t>
      </w:r>
      <w:proofErr w:type="spellStart"/>
      <w:r w:rsidRPr="00CA597D">
        <w:rPr>
          <w:lang w:val="sk-SK"/>
        </w:rPr>
        <w:t>dopamínu</w:t>
      </w:r>
      <w:proofErr w:type="spellEnd"/>
      <w:r w:rsidRPr="00CA597D">
        <w:rPr>
          <w:lang w:val="sk-SK"/>
        </w:rPr>
        <w:t xml:space="preserve">. 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CA597D">
        <w:rPr>
          <w:lang w:val="sk-SK"/>
        </w:rPr>
        <w:t xml:space="preserve">Okrem toho majú </w:t>
      </w:r>
      <w:proofErr w:type="spellStart"/>
      <w:r w:rsidRPr="00CA597D">
        <w:rPr>
          <w:lang w:val="sk-SK"/>
        </w:rPr>
        <w:t>fenotiazíny</w:t>
      </w:r>
      <w:proofErr w:type="spellEnd"/>
      <w:r w:rsidRPr="00CA597D">
        <w:rPr>
          <w:lang w:val="sk-SK"/>
        </w:rPr>
        <w:t xml:space="preserve"> </w:t>
      </w:r>
      <w:proofErr w:type="spellStart"/>
      <w:r w:rsidRPr="00CA597D">
        <w:rPr>
          <w:lang w:val="sk-SK"/>
        </w:rPr>
        <w:t>anticholinergný</w:t>
      </w:r>
      <w:proofErr w:type="spellEnd"/>
      <w:r w:rsidRPr="00CA597D">
        <w:rPr>
          <w:lang w:val="sk-SK"/>
        </w:rPr>
        <w:t xml:space="preserve"> účinok a môžu pôsobiť ako antagonisti alfa-</w:t>
      </w:r>
      <w:proofErr w:type="spellStart"/>
      <w:r w:rsidRPr="00CA597D">
        <w:rPr>
          <w:lang w:val="sk-SK"/>
        </w:rPr>
        <w:t>adrenergných</w:t>
      </w:r>
      <w:proofErr w:type="spellEnd"/>
      <w:r w:rsidRPr="00CA597D">
        <w:rPr>
          <w:lang w:val="sk-SK"/>
        </w:rPr>
        <w:t xml:space="preserve"> receptorov a tým znižovať tonus sympatického nervového systému. 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spacing w:line="240" w:lineRule="auto"/>
        <w:rPr>
          <w:b/>
          <w:lang w:val="sk-SK"/>
        </w:rPr>
      </w:pPr>
      <w:r w:rsidRPr="00CA597D">
        <w:rPr>
          <w:b/>
          <w:lang w:val="sk-SK"/>
        </w:rPr>
        <w:t>5.2</w:t>
      </w:r>
      <w:r w:rsidRPr="00CA597D">
        <w:rPr>
          <w:b/>
          <w:lang w:val="sk-SK"/>
        </w:rPr>
        <w:tab/>
      </w:r>
      <w:proofErr w:type="spellStart"/>
      <w:r w:rsidRPr="00CA597D">
        <w:rPr>
          <w:b/>
          <w:lang w:val="sk-SK"/>
        </w:rPr>
        <w:t>Farmakokinetické</w:t>
      </w:r>
      <w:proofErr w:type="spellEnd"/>
      <w:r w:rsidRPr="00CA597D">
        <w:rPr>
          <w:b/>
          <w:lang w:val="sk-SK"/>
        </w:rPr>
        <w:t xml:space="preserve"> údaje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CA597D">
        <w:rPr>
          <w:lang w:val="sk-SK"/>
        </w:rPr>
        <w:t>U psov je biologická</w:t>
      </w:r>
      <w:r w:rsidRPr="00410B35">
        <w:rPr>
          <w:lang w:val="sk-SK"/>
        </w:rPr>
        <w:t xml:space="preserve"> dostupnosť po perorálnom podaní približne 20 %.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zvyčajne </w:t>
      </w:r>
      <w:r>
        <w:rPr>
          <w:lang w:val="sk-SK"/>
        </w:rPr>
        <w:t>začína po 1 hodine a trvá až 8 </w:t>
      </w:r>
      <w:r>
        <w:rPr>
          <w:lang w:val="sk-SK"/>
        </w:rPr>
        <w:noBreakHyphen/>
      </w:r>
      <w:r w:rsidRPr="00410B35">
        <w:rPr>
          <w:lang w:val="sk-SK"/>
        </w:rPr>
        <w:t xml:space="preserve"> 12 hodín. </w:t>
      </w:r>
      <w:proofErr w:type="spellStart"/>
      <w:r w:rsidRPr="00410B35">
        <w:rPr>
          <w:lang w:val="sk-SK"/>
        </w:rPr>
        <w:t>Gastrointestinálna</w:t>
      </w:r>
      <w:proofErr w:type="spellEnd"/>
      <w:r w:rsidRPr="00410B35">
        <w:rPr>
          <w:lang w:val="sk-SK"/>
        </w:rPr>
        <w:t xml:space="preserve"> absorpcia je variabilná, pre jednotlivé zvieratá je potrebná úprava dávky.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410B35">
        <w:rPr>
          <w:lang w:val="sk-SK"/>
        </w:rPr>
        <w:t>U koní je biologická dostupnosť po perorálnom podaní približne 20 </w:t>
      </w:r>
      <w:r>
        <w:rPr>
          <w:lang w:val="sk-SK"/>
        </w:rPr>
        <w:noBreakHyphen/>
      </w:r>
      <w:r w:rsidRPr="00410B35">
        <w:rPr>
          <w:lang w:val="sk-SK"/>
        </w:rPr>
        <w:t xml:space="preserve"> 50 %.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zvyčajne začína po 15 </w:t>
      </w:r>
      <w:r>
        <w:rPr>
          <w:lang w:val="sk-SK"/>
        </w:rPr>
        <w:noBreakHyphen/>
      </w:r>
      <w:r w:rsidRPr="00410B35">
        <w:rPr>
          <w:lang w:val="sk-SK"/>
        </w:rPr>
        <w:t> 20 minútach po pod</w:t>
      </w:r>
      <w:r>
        <w:rPr>
          <w:lang w:val="sk-SK"/>
        </w:rPr>
        <w:t>aní s maximálnym účinkom po 30 </w:t>
      </w:r>
      <w:r>
        <w:rPr>
          <w:lang w:val="sk-SK"/>
        </w:rPr>
        <w:noBreakHyphen/>
      </w:r>
      <w:r w:rsidRPr="00410B35">
        <w:rPr>
          <w:lang w:val="sk-SK"/>
        </w:rPr>
        <w:t> 60 minútach a trvá až 6 </w:t>
      </w:r>
      <w:r>
        <w:rPr>
          <w:lang w:val="sk-SK"/>
        </w:rPr>
        <w:noBreakHyphen/>
      </w:r>
      <w:r w:rsidRPr="00410B35">
        <w:rPr>
          <w:lang w:val="sk-SK"/>
        </w:rPr>
        <w:t xml:space="preserve"> 7 hodín.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410B35">
        <w:rPr>
          <w:lang w:val="sk-SK"/>
        </w:rPr>
        <w:t xml:space="preserve">U oboch cieľových druhov sa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rozsiahlo distribuuje do všetkých telových tkanív a väzba na plazmatické proteíny je vyššia než 99 %.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sa metabolizuje v pečeni a moč je hlavnou cestou vylučovania </w:t>
      </w:r>
      <w:proofErr w:type="spellStart"/>
      <w:r w:rsidRPr="00410B35">
        <w:rPr>
          <w:lang w:val="sk-SK"/>
        </w:rPr>
        <w:t>nekonjugovaných</w:t>
      </w:r>
      <w:proofErr w:type="spellEnd"/>
      <w:r w:rsidRPr="00410B35">
        <w:rPr>
          <w:lang w:val="sk-SK"/>
        </w:rPr>
        <w:t xml:space="preserve"> a </w:t>
      </w:r>
      <w:proofErr w:type="spellStart"/>
      <w:r w:rsidRPr="00410B35">
        <w:rPr>
          <w:lang w:val="sk-SK"/>
        </w:rPr>
        <w:t>konjugovaných</w:t>
      </w:r>
      <w:proofErr w:type="spellEnd"/>
      <w:r w:rsidRPr="00410B35">
        <w:rPr>
          <w:lang w:val="sk-SK"/>
        </w:rPr>
        <w:t xml:space="preserve"> </w:t>
      </w:r>
      <w:proofErr w:type="spellStart"/>
      <w:r w:rsidRPr="00410B35">
        <w:rPr>
          <w:lang w:val="sk-SK"/>
        </w:rPr>
        <w:t>metabolitov</w:t>
      </w:r>
      <w:proofErr w:type="spellEnd"/>
      <w:r w:rsidRPr="00410B35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spacing w:line="240" w:lineRule="auto"/>
        <w:ind w:left="567" w:hanging="567"/>
        <w:rPr>
          <w:lang w:val="sk-SK"/>
        </w:rPr>
      </w:pPr>
      <w:r w:rsidRPr="00CA597D">
        <w:rPr>
          <w:b/>
          <w:lang w:val="sk-SK"/>
        </w:rPr>
        <w:t>6.</w:t>
      </w:r>
      <w:r w:rsidRPr="00CA597D">
        <w:rPr>
          <w:b/>
          <w:lang w:val="sk-SK"/>
        </w:rPr>
        <w:tab/>
        <w:t>FARMACEUTICKÉ ÚDAJE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CA597D">
        <w:rPr>
          <w:b/>
          <w:lang w:val="sk-SK"/>
        </w:rPr>
        <w:t>6.1</w:t>
      </w:r>
      <w:r w:rsidRPr="00CA597D">
        <w:rPr>
          <w:b/>
          <w:lang w:val="sk-SK"/>
        </w:rPr>
        <w:tab/>
        <w:t>Zoznam pomocných látok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CA597D">
        <w:rPr>
          <w:lang w:val="sk-SK"/>
        </w:rPr>
        <w:t>metylparahydroxybenzoát</w:t>
      </w:r>
      <w:proofErr w:type="spellEnd"/>
      <w:r w:rsidRPr="00CA597D">
        <w:rPr>
          <w:lang w:val="sk-SK"/>
        </w:rPr>
        <w:t xml:space="preserve"> (E218)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CA597D">
        <w:rPr>
          <w:lang w:val="sk-SK"/>
        </w:rPr>
        <w:t>propylparahydroxybenzoát</w:t>
      </w:r>
      <w:proofErr w:type="spellEnd"/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CA597D">
        <w:rPr>
          <w:lang w:val="sk-SK"/>
        </w:rPr>
        <w:t>hydroxyetylcelulóza</w:t>
      </w:r>
      <w:proofErr w:type="spellEnd"/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CA597D">
        <w:rPr>
          <w:lang w:val="sk-SK"/>
        </w:rPr>
        <w:t>etanol 96 %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CA597D">
        <w:rPr>
          <w:lang w:val="sk-SK"/>
        </w:rPr>
        <w:t xml:space="preserve">kyselina </w:t>
      </w:r>
      <w:proofErr w:type="spellStart"/>
      <w:r w:rsidRPr="00CA597D">
        <w:rPr>
          <w:lang w:val="sk-SK"/>
        </w:rPr>
        <w:t>maleínová</w:t>
      </w:r>
      <w:proofErr w:type="spellEnd"/>
      <w:r w:rsidRPr="00CA597D">
        <w:rPr>
          <w:lang w:val="sk-SK"/>
        </w:rPr>
        <w:t xml:space="preserve"> (na upravenie pH)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CA597D">
        <w:rPr>
          <w:lang w:val="sk-SK"/>
        </w:rPr>
        <w:t>hydroxid sodný (na upravenie pH)</w:t>
      </w:r>
    </w:p>
    <w:p w:rsidR="00A338D1" w:rsidRPr="00CA597D" w:rsidRDefault="00DA4B68" w:rsidP="00A338D1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čistená voda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CA597D">
        <w:rPr>
          <w:b/>
          <w:lang w:val="sk-SK"/>
        </w:rPr>
        <w:t>6.2</w:t>
      </w:r>
      <w:r w:rsidRPr="00CA597D">
        <w:rPr>
          <w:b/>
          <w:lang w:val="sk-SK"/>
        </w:rPr>
        <w:tab/>
        <w:t>Závažné inkompatibility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CA597D">
        <w:rPr>
          <w:lang w:val="sk-SK"/>
        </w:rPr>
        <w:t>Neuplatňujú sa</w:t>
      </w:r>
      <w:r>
        <w:rPr>
          <w:lang w:val="sk-SK"/>
        </w:rPr>
        <w:t>.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CA597D">
        <w:rPr>
          <w:b/>
          <w:lang w:val="sk-SK"/>
        </w:rPr>
        <w:t>6.3</w:t>
      </w:r>
      <w:r w:rsidRPr="00CA597D">
        <w:rPr>
          <w:b/>
          <w:lang w:val="sk-SK"/>
        </w:rPr>
        <w:tab/>
        <w:t>Čas použiteľnosti</w:t>
      </w:r>
    </w:p>
    <w:p w:rsidR="00A338D1" w:rsidRPr="00CA597D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CA597D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  <w:r w:rsidRPr="00CA597D">
        <w:rPr>
          <w:lang w:val="sk-SK"/>
        </w:rPr>
        <w:t>Čas použiteľnosti veterinárneho lieku zabaleného v neporušenom obale: 3 roky.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  <w:r w:rsidRPr="00CA597D">
        <w:rPr>
          <w:lang w:val="sk-SK"/>
        </w:rPr>
        <w:t xml:space="preserve">Čas </w:t>
      </w:r>
      <w:r w:rsidRPr="00FE7FEA">
        <w:rPr>
          <w:lang w:val="sk-SK"/>
        </w:rPr>
        <w:t>použiteľnosti po p</w:t>
      </w:r>
      <w:r>
        <w:rPr>
          <w:lang w:val="sk-SK"/>
        </w:rPr>
        <w:t>rvom otvorení vnútorného obalu</w:t>
      </w:r>
      <w:r w:rsidRPr="00FE7FEA">
        <w:rPr>
          <w:lang w:val="sk-SK"/>
        </w:rPr>
        <w:t xml:space="preserve">: 56 dní (8 týždňov). 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FE7FEA">
        <w:rPr>
          <w:b/>
          <w:lang w:val="sk-SK"/>
        </w:rPr>
        <w:t>6.4</w:t>
      </w:r>
      <w:r w:rsidRPr="00FE7FEA">
        <w:rPr>
          <w:b/>
          <w:lang w:val="sk-SK"/>
        </w:rPr>
        <w:tab/>
        <w:t>Osobitné bezpečnostné opatrenia na uchovávanie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FE7FEA" w:rsidRDefault="00A338D1" w:rsidP="00A338D1">
      <w:pPr>
        <w:rPr>
          <w:noProof/>
          <w:lang w:val="sk-SK"/>
        </w:rPr>
      </w:pPr>
      <w:r w:rsidRPr="00FE7FEA">
        <w:rPr>
          <w:noProof/>
          <w:lang w:val="sk-SK"/>
        </w:rPr>
        <w:t xml:space="preserve">Tento veterinárny liek nevyžaduje žiadne zvláštne podmienky na uchovávanie. 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b/>
          <w:bCs/>
          <w:lang w:val="sk-SK"/>
        </w:rPr>
      </w:pPr>
      <w:r w:rsidRPr="00FE7FEA">
        <w:rPr>
          <w:b/>
          <w:lang w:val="sk-SK"/>
        </w:rPr>
        <w:t>6.5</w:t>
      </w:r>
      <w:r w:rsidRPr="00FE7FEA">
        <w:rPr>
          <w:b/>
          <w:lang w:val="sk-SK"/>
        </w:rPr>
        <w:tab/>
        <w:t>Charakter a zloženie vnútorného obalu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bookmarkStart w:id="3" w:name="_Hlk480883794"/>
      <w:r w:rsidRPr="00410B35">
        <w:rPr>
          <w:lang w:val="sk-SK"/>
        </w:rPr>
        <w:t>Biela LLDPE (lineárny polyetylén s nízkou hustotou) naplnená perorálna striekačka v rôznych veľkostiach: 4 ml obsah</w:t>
      </w:r>
      <w:r w:rsidR="00E64017">
        <w:rPr>
          <w:lang w:val="sk-SK"/>
        </w:rPr>
        <w:t>ujúce 3 gramy, 8 ml obsahujúce 6 gramov, 14 ml obsahujúce 10 gramov a 14 ml obsahujúce</w:t>
      </w:r>
      <w:r w:rsidRPr="00410B35">
        <w:rPr>
          <w:lang w:val="sk-SK"/>
        </w:rPr>
        <w:t xml:space="preserve"> 12 gramov. 3 a 6-gramové striekačky majú dávkovací krúžok odstupňovaný každých 0,25, 0,5 a 1 gram. 10 a 12-gramové striekačky majú dávkovací krúžok odstupňovaný </w:t>
      </w:r>
      <w:r w:rsidRPr="00410B35">
        <w:rPr>
          <w:lang w:val="sk-SK"/>
        </w:rPr>
        <w:lastRenderedPageBreak/>
        <w:t>každých 0,5 a 1 gram. Striekačky sú tesne uzavreté LLDPE viečkom. Každá naplnená perorálna striekačka je zabalená v kartónovej škatuli.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u w:val="single"/>
          <w:lang w:val="sk-SK"/>
        </w:rPr>
      </w:pPr>
      <w:bookmarkStart w:id="4" w:name="_Hlk480884799"/>
      <w:bookmarkStart w:id="5" w:name="_Hlk485277563"/>
      <w:r w:rsidRPr="00410B35">
        <w:rPr>
          <w:u w:val="single"/>
          <w:lang w:val="sk-SK"/>
        </w:rPr>
        <w:t>Veľkosti balenia: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lang w:val="sk-SK"/>
        </w:rPr>
        <w:t>Škatuľa s 1 naplnenou perorálnou striekačkou obsahujúcou 3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lang w:val="sk-SK"/>
        </w:rPr>
        <w:t>Škatuľa s 1 naplnenou perorálnou striekačkou obsahujúcou 6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lang w:val="sk-SK"/>
        </w:rPr>
        <w:t>Škatuľa s 1 naplnenou perorálnou striekačkou obsahujúcou 10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lang w:val="sk-SK"/>
        </w:rPr>
        <w:t>Škatuľa s 1 naplnenou perorálnou striekačkou obsahujúcou 12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bookmarkStart w:id="6" w:name="_Hlk485277452"/>
      <w:proofErr w:type="spellStart"/>
      <w:r>
        <w:rPr>
          <w:lang w:val="sk-SK"/>
        </w:rPr>
        <w:t>Multibalenie</w:t>
      </w:r>
      <w:proofErr w:type="spellEnd"/>
      <w:r w:rsidRPr="00410B35">
        <w:rPr>
          <w:lang w:val="sk-SK"/>
        </w:rPr>
        <w:t xml:space="preserve"> s 12 škatuľami, z ktorých každá obsahuje 1 naplnenú orálnu striekačku obsahujúcu 3 g</w:t>
      </w:r>
      <w:r>
        <w:rPr>
          <w:lang w:val="sk-SK"/>
        </w:rPr>
        <w:t>.</w:t>
      </w:r>
    </w:p>
    <w:bookmarkEnd w:id="6"/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proofErr w:type="spellStart"/>
      <w:r>
        <w:rPr>
          <w:lang w:val="sk-SK"/>
        </w:rPr>
        <w:t>Multibalenie</w:t>
      </w:r>
      <w:proofErr w:type="spellEnd"/>
      <w:r w:rsidRPr="00410B35">
        <w:rPr>
          <w:lang w:val="sk-SK"/>
        </w:rPr>
        <w:t xml:space="preserve"> s 12 škatuľami, z ktorých každá obsahuje 1 naplnenú orálnu striekačku obsahujúcu 6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proofErr w:type="spellStart"/>
      <w:r>
        <w:rPr>
          <w:lang w:val="sk-SK"/>
        </w:rPr>
        <w:t>Multibalenie</w:t>
      </w:r>
      <w:proofErr w:type="spellEnd"/>
      <w:r w:rsidRPr="00410B35">
        <w:rPr>
          <w:lang w:val="sk-SK"/>
        </w:rPr>
        <w:t xml:space="preserve"> s 12 škatuľami, z ktorých každá obsahuje 1 naplnenú orálnu striekačku obsahujúcu 10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proofErr w:type="spellStart"/>
      <w:r>
        <w:rPr>
          <w:lang w:val="sk-SK"/>
        </w:rPr>
        <w:t>Multibalenie</w:t>
      </w:r>
      <w:proofErr w:type="spellEnd"/>
      <w:r w:rsidRPr="00410B35">
        <w:rPr>
          <w:lang w:val="sk-SK"/>
        </w:rPr>
        <w:t xml:space="preserve"> s 12 škatuľami, z ktorých každá obsahuje 1 naplnenú orálnu striekačku obsahujúcu 12 g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bookmarkEnd w:id="4"/>
    <w:p w:rsid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FE7FEA">
        <w:rPr>
          <w:lang w:val="sk-SK"/>
        </w:rPr>
        <w:t>Nie všetky veľkosti balenia sa musia uvádzať na trh.</w:t>
      </w:r>
      <w:bookmarkEnd w:id="3"/>
      <w:bookmarkEnd w:id="5"/>
    </w:p>
    <w:p w:rsidR="00A338D1" w:rsidRP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p w:rsidR="00A338D1" w:rsidRPr="00FE7FEA" w:rsidRDefault="00A338D1" w:rsidP="00A338D1">
      <w:pPr>
        <w:spacing w:line="240" w:lineRule="auto"/>
        <w:ind w:left="567" w:hanging="567"/>
        <w:rPr>
          <w:lang w:val="sk-SK"/>
        </w:rPr>
      </w:pPr>
      <w:r w:rsidRPr="00FE7FEA">
        <w:rPr>
          <w:b/>
          <w:lang w:val="sk-SK"/>
        </w:rPr>
        <w:t>6.6</w:t>
      </w:r>
      <w:r w:rsidRPr="00FE7FEA">
        <w:rPr>
          <w:b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jc w:val="both"/>
        <w:rPr>
          <w:i/>
          <w:lang w:val="sk-SK"/>
        </w:rPr>
      </w:pPr>
      <w:r w:rsidRPr="00FE7FEA">
        <w:rPr>
          <w:lang w:val="sk-SK"/>
        </w:rPr>
        <w:t>Každý nepoužitý veterinárny liek alebo odpadové materiály z tohto veterinárneho lieku musia byť zlikvidované v súlade s miestnymi požiadavkami.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410B35" w:rsidRDefault="00A338D1" w:rsidP="00A338D1">
      <w:pPr>
        <w:spacing w:line="240" w:lineRule="auto"/>
        <w:ind w:left="567" w:hanging="567"/>
        <w:rPr>
          <w:b/>
          <w:lang w:val="sk-SK"/>
        </w:rPr>
      </w:pPr>
      <w:r w:rsidRPr="00FE7FEA">
        <w:rPr>
          <w:b/>
          <w:lang w:val="sk-SK"/>
        </w:rPr>
        <w:t>7.</w:t>
      </w:r>
      <w:r w:rsidRPr="00FE7FEA">
        <w:rPr>
          <w:b/>
          <w:lang w:val="sk-SK"/>
        </w:rPr>
        <w:tab/>
        <w:t>DRŽITEĽ ROZHODNUTIA O REGISTRÁCII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10B35">
        <w:rPr>
          <w:szCs w:val="22"/>
          <w:lang w:val="sk-SK"/>
        </w:rPr>
        <w:t>Le</w:t>
      </w:r>
      <w:proofErr w:type="spellEnd"/>
      <w:r w:rsidRPr="00410B35">
        <w:rPr>
          <w:szCs w:val="22"/>
          <w:lang w:val="sk-SK"/>
        </w:rPr>
        <w:t xml:space="preserve"> </w:t>
      </w:r>
      <w:proofErr w:type="spellStart"/>
      <w:r w:rsidRPr="00410B35">
        <w:rPr>
          <w:szCs w:val="22"/>
          <w:lang w:val="sk-SK"/>
        </w:rPr>
        <w:t>Vet</w:t>
      </w:r>
      <w:proofErr w:type="spellEnd"/>
      <w:r w:rsidRPr="00410B35">
        <w:rPr>
          <w:szCs w:val="22"/>
          <w:lang w:val="sk-SK"/>
        </w:rPr>
        <w:t xml:space="preserve"> </w:t>
      </w:r>
      <w:proofErr w:type="spellStart"/>
      <w:r w:rsidRPr="00410B35">
        <w:rPr>
          <w:szCs w:val="22"/>
          <w:lang w:val="sk-SK"/>
        </w:rPr>
        <w:t>Beheer</w:t>
      </w:r>
      <w:proofErr w:type="spellEnd"/>
      <w:r w:rsidRPr="00410B35">
        <w:rPr>
          <w:szCs w:val="22"/>
          <w:lang w:val="sk-SK"/>
        </w:rPr>
        <w:t xml:space="preserve"> B.V.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10B35">
        <w:rPr>
          <w:szCs w:val="22"/>
          <w:lang w:val="sk-SK"/>
        </w:rPr>
        <w:t>Wilgenweg</w:t>
      </w:r>
      <w:proofErr w:type="spellEnd"/>
      <w:r w:rsidRPr="00410B35">
        <w:rPr>
          <w:szCs w:val="22"/>
          <w:lang w:val="sk-SK"/>
        </w:rPr>
        <w:t xml:space="preserve"> 7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 xml:space="preserve">3421 TV </w:t>
      </w:r>
      <w:proofErr w:type="spellStart"/>
      <w:r w:rsidRPr="00410B35">
        <w:rPr>
          <w:szCs w:val="22"/>
          <w:lang w:val="sk-SK"/>
        </w:rPr>
        <w:t>Oudewater</w:t>
      </w:r>
      <w:proofErr w:type="spellEnd"/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>Holandsko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FE7FEA">
        <w:rPr>
          <w:b/>
          <w:lang w:val="sk-SK"/>
        </w:rPr>
        <w:t>8.</w:t>
      </w:r>
      <w:r w:rsidRPr="00FE7FEA">
        <w:rPr>
          <w:b/>
          <w:lang w:val="sk-SK"/>
        </w:rPr>
        <w:tab/>
        <w:t>REGISTRAČNÉ ČÍSLO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FE7FEA" w:rsidRDefault="00DB389F" w:rsidP="00A338D1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96/061/DC/17-S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FE7FEA">
        <w:rPr>
          <w:b/>
          <w:lang w:val="sk-SK"/>
        </w:rPr>
        <w:t>9.</w:t>
      </w:r>
      <w:r w:rsidRPr="00FE7FEA">
        <w:rPr>
          <w:b/>
          <w:lang w:val="sk-SK"/>
        </w:rPr>
        <w:tab/>
        <w:t>DÁTUM PRVEJ REGISTRÁCIE/PREDĹŽENIA REGISTRÁCIE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545F13" w:rsidRPr="0075198A" w:rsidRDefault="00545F13" w:rsidP="00545F13">
      <w:pPr>
        <w:tabs>
          <w:tab w:val="clear" w:pos="567"/>
        </w:tabs>
        <w:spacing w:line="240" w:lineRule="auto"/>
        <w:rPr>
          <w:lang w:val="sk-SK"/>
        </w:rPr>
      </w:pPr>
      <w:r w:rsidRPr="0075198A">
        <w:rPr>
          <w:lang w:val="sk-SK"/>
        </w:rPr>
        <w:t xml:space="preserve">Dátum prvej registrácie: </w:t>
      </w:r>
      <w:r>
        <w:t>20</w:t>
      </w:r>
      <w:r w:rsidRPr="0075198A">
        <w:rPr>
          <w:lang w:val="sk-SK"/>
        </w:rPr>
        <w:t>/</w:t>
      </w:r>
      <w:r>
        <w:t>04</w:t>
      </w:r>
      <w:r w:rsidRPr="0075198A">
        <w:rPr>
          <w:lang w:val="sk-SK"/>
        </w:rPr>
        <w:t>/</w:t>
      </w:r>
      <w:r>
        <w:t>2018</w:t>
      </w:r>
      <w:bookmarkStart w:id="7" w:name="_GoBack"/>
      <w:bookmarkEnd w:id="7"/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FE7FEA">
        <w:rPr>
          <w:b/>
          <w:lang w:val="sk-SK"/>
        </w:rPr>
        <w:t>10.</w:t>
      </w:r>
      <w:r w:rsidRPr="00FE7FEA">
        <w:rPr>
          <w:b/>
          <w:lang w:val="sk-SK"/>
        </w:rPr>
        <w:tab/>
        <w:t>DÁTUM REVÍZIE TEXTU</w:t>
      </w:r>
    </w:p>
    <w:p w:rsidR="00A338D1" w:rsidRPr="00FE7FEA" w:rsidRDefault="00A338D1" w:rsidP="00A338D1">
      <w:pPr>
        <w:tabs>
          <w:tab w:val="clear" w:pos="567"/>
          <w:tab w:val="left" w:pos="0"/>
        </w:tabs>
        <w:spacing w:line="240" w:lineRule="auto"/>
        <w:rPr>
          <w:b/>
          <w:lang w:val="sk-SK"/>
        </w:rPr>
      </w:pPr>
    </w:p>
    <w:p w:rsidR="00A338D1" w:rsidRPr="00FE7FEA" w:rsidRDefault="00A338D1" w:rsidP="00A338D1">
      <w:pPr>
        <w:tabs>
          <w:tab w:val="clear" w:pos="567"/>
          <w:tab w:val="left" w:pos="0"/>
        </w:tabs>
        <w:spacing w:line="240" w:lineRule="auto"/>
        <w:rPr>
          <w:b/>
          <w:lang w:val="sk-SK"/>
        </w:rPr>
      </w:pP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FE7FEA">
        <w:rPr>
          <w:b/>
          <w:lang w:val="sk-SK"/>
        </w:rPr>
        <w:t>ZÁKAZ PREDAJA, DODÁVOK A/ALEBO POUŽÍVANIA</w:t>
      </w:r>
    </w:p>
    <w:p w:rsidR="00A338D1" w:rsidRPr="00FE7FE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FE7FEA">
        <w:rPr>
          <w:lang w:val="sk-SK"/>
        </w:rPr>
        <w:t>Neuplatňuje sa.</w:t>
      </w:r>
    </w:p>
    <w:p w:rsidR="00A338D1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A338D1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Výdaj lieku je viazaný na veterinárny predpis.</w:t>
      </w:r>
      <w:r w:rsidRPr="00410B35">
        <w:rPr>
          <w:b/>
          <w:snapToGrid w:val="0"/>
          <w:lang w:val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A338D1" w:rsidRPr="008B6614" w:rsidTr="00DB389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A338D1" w:rsidRPr="008B6614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  <w:r w:rsidRPr="008B6614">
              <w:rPr>
                <w:b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A338D1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</w:p>
          <w:p w:rsidR="00DB389F" w:rsidRDefault="00DB389F" w:rsidP="00DB389F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sk-SK"/>
              </w:rPr>
            </w:pPr>
          </w:p>
          <w:p w:rsidR="00A338D1" w:rsidRPr="008B6614" w:rsidRDefault="00A338D1" w:rsidP="00DB389F">
            <w:p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8B6614">
              <w:rPr>
                <w:b/>
                <w:szCs w:val="22"/>
                <w:lang w:val="sk-SK"/>
              </w:rPr>
              <w:t xml:space="preserve">Vonkajšia škatuľa jednotlivého balenia a vonkajšia škatuľa </w:t>
            </w:r>
            <w:proofErr w:type="spellStart"/>
            <w:r w:rsidRPr="008B6614">
              <w:rPr>
                <w:b/>
                <w:szCs w:val="22"/>
                <w:lang w:val="sk-SK"/>
              </w:rPr>
              <w:t>multibalenia</w:t>
            </w:r>
            <w:proofErr w:type="spellEnd"/>
          </w:p>
        </w:tc>
      </w:tr>
    </w:tbl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8B6614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1.</w:t>
      </w:r>
      <w:r w:rsidRPr="008B6614">
        <w:rPr>
          <w:b/>
          <w:szCs w:val="22"/>
          <w:lang w:val="sk-SK"/>
        </w:rPr>
        <w:tab/>
        <w:t>NÁZOV VETERINÁRNEHO LIEKU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8B6614">
        <w:rPr>
          <w:lang w:val="sk-SK"/>
        </w:rPr>
        <w:t>Tranquigel</w:t>
      </w:r>
      <w:proofErr w:type="spellEnd"/>
      <w:r w:rsidRPr="008B6614">
        <w:rPr>
          <w:lang w:val="sk-SK"/>
        </w:rPr>
        <w:t xml:space="preserve"> 35 mg/g perorálny gél pre psy a kone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8B6614">
        <w:rPr>
          <w:szCs w:val="22"/>
          <w:lang w:val="sk-SK"/>
        </w:rPr>
        <w:t>acepromazín</w:t>
      </w:r>
      <w:proofErr w:type="spellEnd"/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napToGrid w:val="0"/>
          <w:szCs w:val="24"/>
          <w:lang w:val="sk-SK"/>
        </w:rPr>
      </w:pPr>
      <w:r w:rsidRPr="008B6614">
        <w:rPr>
          <w:noProof/>
          <w:snapToGrid w:val="0"/>
          <w:szCs w:val="24"/>
          <w:lang w:val="sk-SK" w:eastAsia="sk-SK"/>
        </w:rPr>
        <w:drawing>
          <wp:inline distT="0" distB="0" distL="0" distR="0" wp14:anchorId="732A85BE" wp14:editId="4159C07C">
            <wp:extent cx="609600" cy="43815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B6614">
        <w:rPr>
          <w:noProof/>
          <w:snapToGrid w:val="0"/>
          <w:szCs w:val="24"/>
          <w:lang w:val="sk-SK" w:eastAsia="sk-SK"/>
        </w:rPr>
        <w:drawing>
          <wp:inline distT="0" distB="0" distL="0" distR="0" wp14:anchorId="2B3A35A2" wp14:editId="7328407F">
            <wp:extent cx="952500" cy="733425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8B6614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2.</w:t>
      </w:r>
      <w:r w:rsidRPr="008B6614">
        <w:rPr>
          <w:b/>
          <w:szCs w:val="22"/>
          <w:lang w:val="sk-SK"/>
        </w:rPr>
        <w:tab/>
        <w:t>ÚČINNÉ LÁTKY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8B6614">
        <w:rPr>
          <w:lang w:val="sk-SK"/>
        </w:rPr>
        <w:t>1 gram obsahuje:</w:t>
      </w:r>
    </w:p>
    <w:p w:rsidR="00A338D1" w:rsidRPr="008B6614" w:rsidRDefault="00A338D1" w:rsidP="00A338D1">
      <w:pPr>
        <w:tabs>
          <w:tab w:val="clear" w:pos="567"/>
          <w:tab w:val="left" w:pos="1701"/>
          <w:tab w:val="right" w:pos="5670"/>
        </w:tabs>
        <w:spacing w:line="240" w:lineRule="auto"/>
        <w:rPr>
          <w:iCs/>
          <w:lang w:val="sk-SK"/>
        </w:rPr>
      </w:pPr>
      <w:proofErr w:type="spellStart"/>
      <w:r w:rsidRPr="008B6614">
        <w:rPr>
          <w:iCs/>
          <w:lang w:val="sk-SK"/>
        </w:rPr>
        <w:t>Acepromazín</w:t>
      </w:r>
      <w:proofErr w:type="spellEnd"/>
      <w:r w:rsidRPr="008B6614">
        <w:rPr>
          <w:iCs/>
          <w:lang w:val="sk-SK"/>
        </w:rPr>
        <w:t xml:space="preserve"> (ako </w:t>
      </w:r>
      <w:proofErr w:type="spellStart"/>
      <w:r w:rsidRPr="008B6614">
        <w:rPr>
          <w:iCs/>
          <w:lang w:val="sk-SK"/>
        </w:rPr>
        <w:t>acepromazín</w:t>
      </w:r>
      <w:proofErr w:type="spellEnd"/>
      <w:r w:rsidRPr="008B6614">
        <w:rPr>
          <w:iCs/>
          <w:lang w:val="sk-SK"/>
        </w:rPr>
        <w:t xml:space="preserve"> </w:t>
      </w:r>
      <w:proofErr w:type="spellStart"/>
      <w:r w:rsidRPr="008B6614">
        <w:rPr>
          <w:iCs/>
          <w:lang w:val="sk-SK"/>
        </w:rPr>
        <w:t>maleát</w:t>
      </w:r>
      <w:proofErr w:type="spellEnd"/>
      <w:r w:rsidRPr="008B6614">
        <w:rPr>
          <w:iCs/>
          <w:lang w:val="sk-SK"/>
        </w:rPr>
        <w:t>)</w:t>
      </w:r>
      <w:r w:rsidRPr="008B6614">
        <w:rPr>
          <w:iCs/>
          <w:lang w:val="sk-SK"/>
        </w:rPr>
        <w:tab/>
        <w:t>35,0 mg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B6614">
        <w:rPr>
          <w:b/>
          <w:szCs w:val="22"/>
          <w:lang w:val="sk-SK"/>
        </w:rPr>
        <w:t>3.</w:t>
      </w:r>
      <w:r w:rsidRPr="008B6614">
        <w:rPr>
          <w:b/>
          <w:szCs w:val="22"/>
          <w:lang w:val="sk-SK"/>
        </w:rPr>
        <w:tab/>
        <w:t>LIEKOVÁ FORMA</w:t>
      </w:r>
    </w:p>
    <w:p w:rsidR="00A338D1" w:rsidRPr="00410B35" w:rsidRDefault="00A338D1" w:rsidP="00A338D1">
      <w:pPr>
        <w:tabs>
          <w:tab w:val="clear" w:pos="567"/>
          <w:tab w:val="left" w:pos="764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ab/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highlight w:val="lightGray"/>
          <w:lang w:val="sk-SK"/>
        </w:rPr>
      </w:pPr>
      <w:r w:rsidRPr="00410B35">
        <w:rPr>
          <w:snapToGrid w:val="0"/>
          <w:highlight w:val="lightGray"/>
          <w:lang w:val="sk-SK"/>
        </w:rPr>
        <w:t>Perorálny gél</w:t>
      </w:r>
      <w:r>
        <w:rPr>
          <w:snapToGrid w:val="0"/>
          <w:highlight w:val="lightGray"/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4.</w:t>
      </w:r>
      <w:r w:rsidRPr="008B6614">
        <w:rPr>
          <w:b/>
          <w:szCs w:val="22"/>
          <w:lang w:val="sk-SK"/>
        </w:rPr>
        <w:tab/>
        <w:t>VEĽKOSŤ BALENIA</w:t>
      </w:r>
    </w:p>
    <w:p w:rsidR="00A338D1" w:rsidRPr="00410B35" w:rsidRDefault="00A338D1" w:rsidP="00A338D1">
      <w:pPr>
        <w:tabs>
          <w:tab w:val="clear" w:pos="567"/>
          <w:tab w:val="left" w:pos="750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>3 gramy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410B35">
        <w:rPr>
          <w:szCs w:val="22"/>
          <w:highlight w:val="lightGray"/>
          <w:lang w:val="sk-SK"/>
        </w:rPr>
        <w:t>6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410B35">
        <w:rPr>
          <w:szCs w:val="22"/>
          <w:highlight w:val="lightGray"/>
          <w:lang w:val="sk-SK"/>
        </w:rPr>
        <w:t>10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highlight w:val="lightGray"/>
          <w:lang w:val="sk-SK"/>
        </w:rPr>
        <w:t>12 gramov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highlight w:val="lightGray"/>
          <w:lang w:val="sk-SK"/>
        </w:rPr>
      </w:pPr>
      <w:r>
        <w:rPr>
          <w:highlight w:val="lightGray"/>
          <w:lang w:val="sk-SK"/>
        </w:rPr>
        <w:t>12 x 3 </w:t>
      </w:r>
      <w:r w:rsidRPr="00410B35">
        <w:rPr>
          <w:highlight w:val="lightGray"/>
          <w:lang w:val="sk-SK"/>
        </w:rPr>
        <w:t>gramy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highlight w:val="lightGray"/>
          <w:lang w:val="sk-SK"/>
        </w:rPr>
      </w:pPr>
      <w:r w:rsidRPr="00410B35">
        <w:rPr>
          <w:highlight w:val="lightGray"/>
          <w:lang w:val="sk-SK"/>
        </w:rPr>
        <w:t>12 x 6 gramov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highlight w:val="lightGray"/>
          <w:lang w:val="sk-SK"/>
        </w:rPr>
      </w:pPr>
      <w:r w:rsidRPr="00410B35">
        <w:rPr>
          <w:highlight w:val="lightGray"/>
          <w:lang w:val="sk-SK"/>
        </w:rPr>
        <w:t>12 x 10 gramov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highlight w:val="lightGray"/>
          <w:lang w:val="sk-SK"/>
        </w:rPr>
        <w:t>12 x 12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5.</w:t>
      </w:r>
      <w:r w:rsidRPr="008B6614">
        <w:rPr>
          <w:b/>
          <w:szCs w:val="22"/>
          <w:lang w:val="sk-SK"/>
        </w:rPr>
        <w:tab/>
        <w:t>CIEĽOVÉ DRUHY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highlight w:val="lightGray"/>
          <w:lang w:val="sk-SK"/>
        </w:rPr>
        <w:t>Psy a</w:t>
      </w:r>
      <w:r>
        <w:rPr>
          <w:szCs w:val="22"/>
          <w:highlight w:val="lightGray"/>
          <w:lang w:val="sk-SK"/>
        </w:rPr>
        <w:t> </w:t>
      </w:r>
      <w:r w:rsidRPr="00410B35">
        <w:rPr>
          <w:szCs w:val="22"/>
          <w:highlight w:val="lightGray"/>
          <w:lang w:val="sk-SK"/>
        </w:rPr>
        <w:t>kone</w:t>
      </w:r>
      <w:r>
        <w:rPr>
          <w:szCs w:val="22"/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8B6614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8B6614">
        <w:rPr>
          <w:b/>
          <w:szCs w:val="22"/>
          <w:lang w:val="sk-SK"/>
        </w:rPr>
        <w:t>6.</w:t>
      </w:r>
      <w:r w:rsidRPr="008B6614">
        <w:rPr>
          <w:b/>
          <w:szCs w:val="22"/>
          <w:lang w:val="sk-SK"/>
        </w:rPr>
        <w:tab/>
        <w:t>INDIKÁCIA (-IE)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7.</w:t>
      </w:r>
      <w:r w:rsidRPr="008B6614">
        <w:rPr>
          <w:b/>
          <w:szCs w:val="22"/>
          <w:lang w:val="sk-SK"/>
        </w:rPr>
        <w:tab/>
        <w:t>SPÔSOB A CESTA PODANIA LIEKU</w:t>
      </w:r>
    </w:p>
    <w:p w:rsidR="00A338D1" w:rsidRPr="00410B35" w:rsidRDefault="00A338D1" w:rsidP="00A338D1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jc w:val="both"/>
        <w:rPr>
          <w:szCs w:val="22"/>
          <w:lang w:val="sk-SK" w:eastAsia="x-none"/>
        </w:rPr>
      </w:pPr>
    </w:p>
    <w:p w:rsidR="00A338D1" w:rsidRPr="00410B35" w:rsidRDefault="00A338D1" w:rsidP="00A338D1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jc w:val="both"/>
        <w:rPr>
          <w:szCs w:val="22"/>
          <w:lang w:val="sk-SK" w:eastAsia="x-none"/>
        </w:rPr>
      </w:pPr>
      <w:r w:rsidRPr="00410B35">
        <w:rPr>
          <w:szCs w:val="22"/>
          <w:highlight w:val="lightGray"/>
          <w:lang w:val="sk-SK"/>
        </w:rPr>
        <w:t>Na perorálne použitie.</w:t>
      </w:r>
      <w:r w:rsidRPr="00410B35">
        <w:rPr>
          <w:szCs w:val="22"/>
          <w:lang w:val="sk-SK"/>
        </w:rPr>
        <w:t xml:space="preserve"> 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8B6614">
        <w:rPr>
          <w:lang w:val="sk-SK"/>
        </w:rPr>
        <w:t>Pred použitím si prečítajte písomnú informáciu pre používateľov.</w:t>
      </w:r>
    </w:p>
    <w:p w:rsidR="00A338D1" w:rsidRPr="008B661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8B6614">
        <w:rPr>
          <w:b/>
          <w:szCs w:val="22"/>
          <w:lang w:val="sk-SK"/>
        </w:rPr>
        <w:t>8.</w:t>
      </w:r>
      <w:r w:rsidRPr="008B6614">
        <w:rPr>
          <w:b/>
          <w:szCs w:val="22"/>
          <w:lang w:val="sk-SK"/>
        </w:rPr>
        <w:tab/>
        <w:t>OCHRANNÁ(-É) LEHOTA(-Y)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06B52">
        <w:rPr>
          <w:lang w:val="sk-SK"/>
        </w:rPr>
        <w:t xml:space="preserve">Nie je registrovaný na použitie u koní </w:t>
      </w:r>
      <w:r>
        <w:rPr>
          <w:lang w:val="sk-SK"/>
        </w:rPr>
        <w:t>určených</w:t>
      </w:r>
      <w:r w:rsidRPr="00306B52">
        <w:rPr>
          <w:lang w:val="sk-SK"/>
        </w:rPr>
        <w:t xml:space="preserve"> na ľudskú spotrebu</w:t>
      </w:r>
      <w:r>
        <w:rPr>
          <w:lang w:val="sk-SK"/>
        </w:rPr>
        <w:t xml:space="preserve"> </w:t>
      </w:r>
      <w:r w:rsidRPr="008B6614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435A8B">
        <w:rPr>
          <w:b/>
          <w:szCs w:val="22"/>
          <w:lang w:val="sk-SK"/>
        </w:rPr>
        <w:t>9.</w:t>
      </w:r>
      <w:r w:rsidRPr="00435A8B">
        <w:rPr>
          <w:b/>
          <w:szCs w:val="22"/>
          <w:lang w:val="sk-SK"/>
        </w:rPr>
        <w:tab/>
        <w:t>OSOBITNÉ UPOZORNENIE (-A), AK JE POTREBNÉ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spôsobuje </w:t>
      </w:r>
      <w:proofErr w:type="spellStart"/>
      <w:r w:rsidRPr="00410B35">
        <w:rPr>
          <w:lang w:val="sk-SK"/>
        </w:rPr>
        <w:t>sedáciu</w:t>
      </w:r>
      <w:proofErr w:type="spellEnd"/>
      <w:r w:rsidRPr="00410B35">
        <w:rPr>
          <w:lang w:val="sk-SK"/>
        </w:rPr>
        <w:t xml:space="preserve"> a PRI POŽITÍ je NEBEZPEČNÝ. Okamžite po použití znovu nasadiť zasúvacie viečko a striekačku vrátiť späť do pôvodnej škatule. Pred použitím si prečítajte PÍSOMNÚ I</w:t>
      </w:r>
      <w:r>
        <w:rPr>
          <w:lang w:val="sk-SK"/>
        </w:rPr>
        <w:t>NFORMÁCIU PRE POUŽÍVATEĽOV</w:t>
      </w:r>
      <w:r w:rsidRPr="00410B35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10.</w:t>
      </w:r>
      <w:r w:rsidRPr="002C16A7">
        <w:rPr>
          <w:b/>
          <w:szCs w:val="22"/>
          <w:lang w:val="sk-SK"/>
        </w:rPr>
        <w:tab/>
        <w:t>DÁTUM EXSPIRÁCIE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EXP: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Čas použiteľnosti po prvo</w:t>
      </w:r>
      <w:r>
        <w:rPr>
          <w:szCs w:val="22"/>
          <w:lang w:val="sk-SK"/>
        </w:rPr>
        <w:t>m otvorení vnútorného obalu</w:t>
      </w:r>
      <w:r w:rsidRPr="002C16A7">
        <w:rPr>
          <w:szCs w:val="22"/>
          <w:lang w:val="sk-SK"/>
        </w:rPr>
        <w:t>: 56 dní (8 týždňov).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  <w:r w:rsidRPr="002C16A7">
        <w:rPr>
          <w:lang w:val="sk-SK"/>
        </w:rPr>
        <w:t xml:space="preserve">Po prvom prepichnutí zátky, použiť do: …………. 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11.</w:t>
      </w:r>
      <w:r w:rsidRPr="002C16A7">
        <w:rPr>
          <w:b/>
          <w:szCs w:val="22"/>
          <w:lang w:val="sk-SK"/>
        </w:rPr>
        <w:tab/>
        <w:t>OSOBITNÉ PODMIENKY NA UCHOVÁVANIE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iCs/>
          <w:color w:val="000000"/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2C16A7">
        <w:rPr>
          <w:b/>
          <w:szCs w:val="22"/>
          <w:lang w:val="sk-SK"/>
        </w:rPr>
        <w:t>12.</w:t>
      </w:r>
      <w:r w:rsidRPr="002C16A7">
        <w:rPr>
          <w:b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Likvidácia: prečítajte si písomnú informáciu pre používateľov</w:t>
      </w:r>
      <w:r>
        <w:rPr>
          <w:szCs w:val="22"/>
          <w:lang w:val="sk-SK"/>
        </w:rPr>
        <w:t>.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13.</w:t>
      </w:r>
      <w:r w:rsidRPr="002C16A7">
        <w:rPr>
          <w:b/>
          <w:szCs w:val="22"/>
          <w:lang w:val="sk-SK"/>
        </w:rPr>
        <w:tab/>
        <w:t>OZNAČENIE „LEN PRE ZVIERATÁ“ A PODMIENKY ALEBO OBMEDZENIA TÝKAJÚCE SA DODÁVKY A POUŽITIA, ak sa uplatňujú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Len pre zvieratá.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14.</w:t>
      </w:r>
      <w:r w:rsidRPr="002C16A7">
        <w:rPr>
          <w:b/>
          <w:szCs w:val="22"/>
          <w:lang w:val="sk-SK"/>
        </w:rPr>
        <w:tab/>
        <w:t>OZNAČENIE „UCHOVÁVAŤ MIMO DOHĽADU A DOSAHU DETÍ“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Uchovávať mimo dohľadu a dosahu detí</w:t>
      </w:r>
      <w:r>
        <w:rPr>
          <w:szCs w:val="22"/>
          <w:lang w:val="sk-SK"/>
        </w:rPr>
        <w:t>.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15.</w:t>
      </w:r>
      <w:r w:rsidRPr="002C16A7">
        <w:rPr>
          <w:b/>
          <w:szCs w:val="22"/>
          <w:lang w:val="sk-SK"/>
        </w:rPr>
        <w:tab/>
        <w:t>NÁZOV A ADRESA DRŽITEĽA ROZHODNUTIA O REGISTRÁCII</w:t>
      </w:r>
    </w:p>
    <w:p w:rsidR="00A338D1" w:rsidRPr="002C16A7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C16A7">
        <w:rPr>
          <w:szCs w:val="22"/>
          <w:lang w:val="sk-SK"/>
        </w:rPr>
        <w:t>Le</w:t>
      </w:r>
      <w:proofErr w:type="spellEnd"/>
      <w:r w:rsidRPr="002C16A7">
        <w:rPr>
          <w:szCs w:val="22"/>
          <w:lang w:val="sk-SK"/>
        </w:rPr>
        <w:t xml:space="preserve"> </w:t>
      </w:r>
      <w:proofErr w:type="spellStart"/>
      <w:r w:rsidRPr="002C16A7">
        <w:rPr>
          <w:szCs w:val="22"/>
          <w:lang w:val="sk-SK"/>
        </w:rPr>
        <w:t>Vet</w:t>
      </w:r>
      <w:proofErr w:type="spellEnd"/>
      <w:r w:rsidRPr="002C16A7">
        <w:rPr>
          <w:szCs w:val="22"/>
          <w:lang w:val="sk-SK"/>
        </w:rPr>
        <w:t xml:space="preserve"> </w:t>
      </w:r>
      <w:proofErr w:type="spellStart"/>
      <w:r w:rsidRPr="002C16A7">
        <w:rPr>
          <w:szCs w:val="22"/>
          <w:lang w:val="sk-SK"/>
        </w:rPr>
        <w:t>Beheer</w:t>
      </w:r>
      <w:proofErr w:type="spellEnd"/>
      <w:r w:rsidRPr="002C16A7">
        <w:rPr>
          <w:szCs w:val="22"/>
          <w:lang w:val="sk-SK"/>
        </w:rPr>
        <w:t xml:space="preserve"> B.V.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10B35">
        <w:rPr>
          <w:szCs w:val="22"/>
          <w:lang w:val="sk-SK"/>
        </w:rPr>
        <w:t>Wilgenweg</w:t>
      </w:r>
      <w:proofErr w:type="spellEnd"/>
      <w:r w:rsidRPr="00410B35">
        <w:rPr>
          <w:szCs w:val="22"/>
          <w:lang w:val="sk-SK"/>
        </w:rPr>
        <w:t xml:space="preserve"> 7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 xml:space="preserve">3421 TV </w:t>
      </w:r>
      <w:proofErr w:type="spellStart"/>
      <w:r w:rsidRPr="00410B35">
        <w:rPr>
          <w:szCs w:val="22"/>
          <w:lang w:val="sk-SK"/>
        </w:rPr>
        <w:t>Oudewater</w:t>
      </w:r>
      <w:proofErr w:type="spellEnd"/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>Holandsko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16.</w:t>
      </w:r>
      <w:r w:rsidRPr="002C16A7">
        <w:rPr>
          <w:b/>
          <w:szCs w:val="22"/>
          <w:lang w:val="sk-SK"/>
        </w:rPr>
        <w:tab/>
        <w:t xml:space="preserve">REGISTRAČNÉ ČÍSLO </w:t>
      </w:r>
    </w:p>
    <w:p w:rsidR="00A338D1" w:rsidRPr="002C16A7" w:rsidRDefault="00A338D1" w:rsidP="00A338D1">
      <w:pPr>
        <w:tabs>
          <w:tab w:val="clear" w:pos="567"/>
          <w:tab w:val="left" w:pos="0"/>
        </w:tabs>
        <w:rPr>
          <w:snapToGrid w:val="0"/>
          <w:lang w:val="sk-SK"/>
        </w:rPr>
      </w:pPr>
    </w:p>
    <w:p w:rsidR="00A338D1" w:rsidRPr="002C16A7" w:rsidRDefault="00DB389F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96/061/DC/17-S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17.</w:t>
      </w:r>
      <w:r w:rsidRPr="002C16A7">
        <w:rPr>
          <w:b/>
          <w:szCs w:val="22"/>
          <w:lang w:val="sk-SK"/>
        </w:rPr>
        <w:tab/>
        <w:t>ČÍSLO VÝROBNEJ ŠARŽE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C16A7">
        <w:rPr>
          <w:szCs w:val="22"/>
          <w:lang w:val="sk-SK"/>
        </w:rPr>
        <w:t>Lot</w:t>
      </w:r>
      <w:proofErr w:type="spellEnd"/>
      <w:r w:rsidRPr="002C16A7">
        <w:rPr>
          <w:szCs w:val="22"/>
          <w:lang w:val="sk-SK"/>
        </w:rPr>
        <w:t>: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br w:type="page"/>
      </w: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lastRenderedPageBreak/>
        <w:t>MINIMÁLNE ÚDAJE, KTORÉ MAJÚ BYŤ UVEDENÉ NA MALOM VNÚTORNOM OBALE</w:t>
      </w: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600F73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600F73">
        <w:rPr>
          <w:b/>
          <w:szCs w:val="22"/>
          <w:lang w:val="sk-SK"/>
        </w:rPr>
        <w:t>Obal (naplnená perorálna striekačka)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1.</w:t>
      </w:r>
      <w:r w:rsidRPr="002C16A7">
        <w:rPr>
          <w:b/>
          <w:szCs w:val="22"/>
          <w:lang w:val="sk-SK"/>
        </w:rPr>
        <w:tab/>
        <w:t>NÁZOV VETERINÁRNEHO LIEKU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Tranquigel</w:t>
      </w:r>
      <w:proofErr w:type="spellEnd"/>
      <w:r w:rsidRPr="00410B35">
        <w:rPr>
          <w:lang w:val="sk-SK"/>
        </w:rPr>
        <w:t xml:space="preserve"> 35 mg/g perorálny gél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410B35">
        <w:rPr>
          <w:szCs w:val="22"/>
          <w:lang w:val="sk-SK"/>
        </w:rPr>
        <w:t>acepromazín</w:t>
      </w:r>
      <w:proofErr w:type="spellEnd"/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napToGrid w:val="0"/>
          <w:szCs w:val="24"/>
          <w:lang w:val="sk-SK"/>
        </w:rPr>
      </w:pPr>
      <w:r w:rsidRPr="00410B35">
        <w:rPr>
          <w:noProof/>
          <w:snapToGrid w:val="0"/>
          <w:szCs w:val="24"/>
          <w:lang w:val="sk-SK" w:eastAsia="sk-SK"/>
        </w:rPr>
        <w:drawing>
          <wp:inline distT="0" distB="0" distL="0" distR="0" wp14:anchorId="6A3F2E43" wp14:editId="14DEB05C">
            <wp:extent cx="609600" cy="43815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B35">
        <w:rPr>
          <w:noProof/>
          <w:szCs w:val="22"/>
          <w:lang w:val="sk-SK" w:eastAsia="sk-SK"/>
        </w:rPr>
        <w:drawing>
          <wp:inline distT="0" distB="0" distL="0" distR="0" wp14:anchorId="3E20821A" wp14:editId="002C00A2">
            <wp:extent cx="952500" cy="733425"/>
            <wp:effectExtent l="0" t="0" r="0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2.</w:t>
      </w:r>
      <w:r w:rsidRPr="002C16A7">
        <w:rPr>
          <w:b/>
          <w:szCs w:val="22"/>
          <w:lang w:val="sk-SK"/>
        </w:rPr>
        <w:tab/>
        <w:t>MNOŽSTVO ÚČINNEJ LÁTKY (-OK)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  <w:tab w:val="left" w:pos="1701"/>
          <w:tab w:val="right" w:pos="5670"/>
        </w:tabs>
        <w:spacing w:line="240" w:lineRule="auto"/>
        <w:rPr>
          <w:iCs/>
          <w:lang w:val="sk-SK"/>
        </w:rPr>
      </w:pPr>
      <w:proofErr w:type="spellStart"/>
      <w:r w:rsidRPr="00410B35">
        <w:rPr>
          <w:iCs/>
          <w:highlight w:val="lightGray"/>
          <w:lang w:val="sk-SK"/>
        </w:rPr>
        <w:t>Acepromazín</w:t>
      </w:r>
      <w:proofErr w:type="spellEnd"/>
      <w:r w:rsidRPr="00410B35">
        <w:rPr>
          <w:iCs/>
          <w:highlight w:val="lightGray"/>
          <w:lang w:val="sk-SK"/>
        </w:rPr>
        <w:t xml:space="preserve"> (ako </w:t>
      </w:r>
      <w:proofErr w:type="spellStart"/>
      <w:r w:rsidRPr="00410B35">
        <w:rPr>
          <w:iCs/>
          <w:highlight w:val="lightGray"/>
          <w:lang w:val="sk-SK"/>
        </w:rPr>
        <w:t>acepromazín</w:t>
      </w:r>
      <w:proofErr w:type="spellEnd"/>
      <w:r w:rsidRPr="00410B35">
        <w:rPr>
          <w:iCs/>
          <w:highlight w:val="lightGray"/>
          <w:lang w:val="sk-SK"/>
        </w:rPr>
        <w:t xml:space="preserve"> </w:t>
      </w:r>
      <w:proofErr w:type="spellStart"/>
      <w:r w:rsidRPr="00410B35">
        <w:rPr>
          <w:iCs/>
          <w:highlight w:val="lightGray"/>
          <w:lang w:val="sk-SK"/>
        </w:rPr>
        <w:t>maleát</w:t>
      </w:r>
      <w:proofErr w:type="spellEnd"/>
      <w:r w:rsidRPr="00410B35">
        <w:rPr>
          <w:iCs/>
          <w:highlight w:val="lightGray"/>
          <w:lang w:val="sk-SK"/>
        </w:rPr>
        <w:t>)</w:t>
      </w:r>
      <w:r w:rsidRPr="00410B35">
        <w:rPr>
          <w:iCs/>
          <w:highlight w:val="lightGray"/>
          <w:lang w:val="sk-SK"/>
        </w:rPr>
        <w:tab/>
        <w:t>35,0 mg</w:t>
      </w:r>
      <w:r>
        <w:rPr>
          <w:iCs/>
          <w:lang w:val="sk-SK"/>
        </w:rPr>
        <w:t>/g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3.</w:t>
      </w:r>
      <w:r w:rsidRPr="002C16A7">
        <w:rPr>
          <w:b/>
          <w:szCs w:val="22"/>
          <w:lang w:val="sk-SK"/>
        </w:rPr>
        <w:tab/>
        <w:t>OBSAH V HMOTNOSTNÝCH, OBJEMOVÝCH JEDNOTKÁCH ALEBO POČET DÁVOK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lang w:val="sk-SK"/>
        </w:rPr>
        <w:t>3 gramy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410B35">
        <w:rPr>
          <w:szCs w:val="22"/>
          <w:highlight w:val="lightGray"/>
          <w:lang w:val="sk-SK"/>
        </w:rPr>
        <w:t>6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highlight w:val="lightGray"/>
          <w:lang w:val="sk-SK"/>
        </w:rPr>
      </w:pPr>
      <w:r w:rsidRPr="00410B35">
        <w:rPr>
          <w:szCs w:val="22"/>
          <w:highlight w:val="lightGray"/>
          <w:lang w:val="sk-SK"/>
        </w:rPr>
        <w:t>10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highlight w:val="lightGray"/>
          <w:lang w:val="sk-SK"/>
        </w:rPr>
        <w:t>12 gramov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4.</w:t>
      </w:r>
      <w:r w:rsidRPr="002C16A7">
        <w:rPr>
          <w:b/>
          <w:szCs w:val="22"/>
          <w:lang w:val="sk-SK"/>
        </w:rPr>
        <w:tab/>
        <w:t>SPÔSOB(-Y) PODANIA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szCs w:val="22"/>
          <w:highlight w:val="lightGray"/>
          <w:lang w:val="sk-SK"/>
        </w:rPr>
        <w:t>Perorálne použitie</w:t>
      </w:r>
      <w:r>
        <w:rPr>
          <w:szCs w:val="22"/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5.</w:t>
      </w:r>
      <w:r w:rsidRPr="002C16A7">
        <w:rPr>
          <w:b/>
          <w:szCs w:val="22"/>
          <w:lang w:val="sk-SK"/>
        </w:rPr>
        <w:tab/>
        <w:t>OCHRANNÁ(-É) LEHOTA(-Y)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06B52">
        <w:rPr>
          <w:lang w:val="sk-SK"/>
        </w:rPr>
        <w:t xml:space="preserve">Nie je registrovaný na použitie u koní </w:t>
      </w:r>
      <w:r>
        <w:rPr>
          <w:lang w:val="sk-SK"/>
        </w:rPr>
        <w:t>určených</w:t>
      </w:r>
      <w:r w:rsidRPr="00306B52">
        <w:rPr>
          <w:lang w:val="sk-SK"/>
        </w:rPr>
        <w:t xml:space="preserve"> na ľudskú spotrebu</w:t>
      </w:r>
      <w:r w:rsidRPr="002C16A7">
        <w:rPr>
          <w:szCs w:val="22"/>
          <w:lang w:val="sk-SK"/>
        </w:rPr>
        <w:t>.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 w:rsidDel="00B30FAF">
        <w:rPr>
          <w:szCs w:val="22"/>
          <w:highlight w:val="yellow"/>
          <w:lang w:val="sk-SK"/>
        </w:rPr>
        <w:t xml:space="preserve"> </w:t>
      </w: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b/>
          <w:szCs w:val="22"/>
          <w:lang w:val="sk-SK"/>
        </w:rPr>
        <w:t>6.</w:t>
      </w:r>
      <w:r w:rsidRPr="002C16A7">
        <w:rPr>
          <w:b/>
          <w:szCs w:val="22"/>
          <w:lang w:val="sk-SK"/>
        </w:rPr>
        <w:tab/>
        <w:t>ČÍSLO ŠARŽE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C16A7">
        <w:rPr>
          <w:szCs w:val="22"/>
          <w:lang w:val="sk-SK"/>
        </w:rPr>
        <w:t>Lot</w:t>
      </w:r>
      <w:proofErr w:type="spellEnd"/>
      <w:r>
        <w:rPr>
          <w:szCs w:val="22"/>
          <w:lang w:val="sk-SK"/>
        </w:rPr>
        <w:t>: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7.</w:t>
      </w:r>
      <w:r w:rsidRPr="002C16A7">
        <w:rPr>
          <w:b/>
          <w:szCs w:val="22"/>
          <w:lang w:val="sk-SK"/>
        </w:rPr>
        <w:tab/>
        <w:t>DÁTUM EXSPIRÁCIE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EXP: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C16A7">
        <w:rPr>
          <w:szCs w:val="22"/>
          <w:lang w:val="sk-SK"/>
        </w:rPr>
        <w:t>Po prvom prepichnutí zátky, použiť do: ………….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A338D1" w:rsidRPr="002C16A7" w:rsidRDefault="00A338D1" w:rsidP="00A3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C16A7">
        <w:rPr>
          <w:b/>
          <w:szCs w:val="22"/>
          <w:lang w:val="sk-SK"/>
        </w:rPr>
        <w:t>8.</w:t>
      </w:r>
      <w:r w:rsidRPr="002C16A7">
        <w:rPr>
          <w:b/>
          <w:szCs w:val="22"/>
          <w:lang w:val="sk-SK"/>
        </w:rPr>
        <w:tab/>
        <w:t>OZNAČENIE „LEN PRE ZVIERATÁ“</w:t>
      </w:r>
    </w:p>
    <w:p w:rsidR="00A338D1" w:rsidRPr="002C16A7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C16A7">
        <w:rPr>
          <w:szCs w:val="22"/>
          <w:lang w:val="sk-SK"/>
        </w:rPr>
        <w:t>Len pre zvieratá</w:t>
      </w:r>
      <w:r>
        <w:rPr>
          <w:szCs w:val="22"/>
          <w:lang w:val="sk-SK"/>
        </w:rPr>
        <w:t>.</w:t>
      </w: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A338D1" w:rsidRDefault="00A338D1" w:rsidP="00A338D1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3D20A4">
        <w:rPr>
          <w:b/>
          <w:szCs w:val="22"/>
          <w:lang w:val="sk-SK"/>
        </w:rPr>
        <w:lastRenderedPageBreak/>
        <w:t>PÍSOMNÁ INFORMÁCIA PRE POUŽÍVATEĽOV</w:t>
      </w:r>
    </w:p>
    <w:p w:rsidR="00A338D1" w:rsidRPr="00600F73" w:rsidRDefault="00A338D1" w:rsidP="00A338D1">
      <w:pPr>
        <w:tabs>
          <w:tab w:val="clear" w:pos="567"/>
        </w:tabs>
        <w:spacing w:line="240" w:lineRule="auto"/>
        <w:jc w:val="center"/>
        <w:rPr>
          <w:b/>
          <w:lang w:val="sk-SK"/>
        </w:rPr>
      </w:pPr>
      <w:proofErr w:type="spellStart"/>
      <w:r w:rsidRPr="00600F73">
        <w:rPr>
          <w:b/>
          <w:lang w:val="sk-SK"/>
        </w:rPr>
        <w:t>Tranquigel</w:t>
      </w:r>
      <w:proofErr w:type="spellEnd"/>
      <w:r w:rsidRPr="00600F73">
        <w:rPr>
          <w:b/>
          <w:lang w:val="sk-SK"/>
        </w:rPr>
        <w:t xml:space="preserve"> 35 mg/g perorálny gél pre psy a kone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D20A4" w:rsidRDefault="00A338D1" w:rsidP="00A338D1">
      <w:pPr>
        <w:spacing w:line="240" w:lineRule="auto"/>
        <w:ind w:left="567" w:hanging="567"/>
        <w:rPr>
          <w:i/>
          <w:color w:val="000000"/>
          <w:lang w:val="sk-SK"/>
        </w:rPr>
      </w:pPr>
      <w:r w:rsidRPr="003D20A4">
        <w:rPr>
          <w:b/>
          <w:lang w:val="sk-SK"/>
        </w:rPr>
        <w:t>1.</w:t>
      </w:r>
      <w:r w:rsidRPr="003D20A4">
        <w:rPr>
          <w:b/>
          <w:lang w:val="sk-SK"/>
        </w:rPr>
        <w:tab/>
        <w:t>NÁZOV A ADRESA DRŽITEĽA ROZHODNUTIA O REGISTRÁCII A DRŽITEĽA POVOLENIA NA VÝROBU ZODPOVEDNÉHO ZA UVOĽNENIE ŠARŽE, AK NIE SÚ IDENTICKÍ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/>
          <w:color w:val="000000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Cs/>
          <w:color w:val="000000"/>
          <w:szCs w:val="22"/>
          <w:lang w:val="sk-SK"/>
        </w:rPr>
      </w:pPr>
      <w:r w:rsidRPr="003D20A4">
        <w:rPr>
          <w:iCs/>
          <w:color w:val="000000"/>
          <w:szCs w:val="22"/>
          <w:u w:val="single"/>
          <w:lang w:val="sk-SK"/>
        </w:rPr>
        <w:t>Držiteľ rozhodnutia o registrácii: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3D20A4">
        <w:rPr>
          <w:color w:val="000000"/>
          <w:szCs w:val="22"/>
          <w:lang w:val="sk-SK"/>
        </w:rPr>
        <w:t>Le</w:t>
      </w:r>
      <w:proofErr w:type="spellEnd"/>
      <w:r w:rsidRPr="003D20A4">
        <w:rPr>
          <w:color w:val="000000"/>
          <w:szCs w:val="22"/>
          <w:lang w:val="sk-SK"/>
        </w:rPr>
        <w:t xml:space="preserve"> </w:t>
      </w:r>
      <w:proofErr w:type="spellStart"/>
      <w:r w:rsidRPr="003D20A4">
        <w:rPr>
          <w:color w:val="000000"/>
          <w:szCs w:val="22"/>
          <w:lang w:val="sk-SK"/>
        </w:rPr>
        <w:t>Vet</w:t>
      </w:r>
      <w:proofErr w:type="spellEnd"/>
      <w:r w:rsidRPr="003D20A4">
        <w:rPr>
          <w:color w:val="000000"/>
          <w:szCs w:val="22"/>
          <w:lang w:val="sk-SK"/>
        </w:rPr>
        <w:t xml:space="preserve"> </w:t>
      </w:r>
      <w:proofErr w:type="spellStart"/>
      <w:r w:rsidRPr="003D20A4">
        <w:rPr>
          <w:color w:val="000000"/>
          <w:szCs w:val="22"/>
          <w:lang w:val="sk-SK"/>
        </w:rPr>
        <w:t>Beheer</w:t>
      </w:r>
      <w:proofErr w:type="spellEnd"/>
      <w:r w:rsidRPr="003D20A4">
        <w:rPr>
          <w:color w:val="000000"/>
          <w:szCs w:val="22"/>
          <w:lang w:val="sk-SK"/>
        </w:rPr>
        <w:t xml:space="preserve"> B.V.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proofErr w:type="spellStart"/>
      <w:r w:rsidRPr="003D20A4">
        <w:rPr>
          <w:color w:val="000000"/>
          <w:szCs w:val="22"/>
          <w:lang w:val="sk-SK"/>
        </w:rPr>
        <w:t>Wilgenweg</w:t>
      </w:r>
      <w:proofErr w:type="spellEnd"/>
      <w:r w:rsidRPr="003D20A4">
        <w:rPr>
          <w:color w:val="000000"/>
          <w:szCs w:val="22"/>
          <w:lang w:val="sk-SK"/>
        </w:rPr>
        <w:t xml:space="preserve"> 7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D20A4">
        <w:rPr>
          <w:color w:val="000000"/>
          <w:szCs w:val="22"/>
          <w:lang w:val="sk-SK"/>
        </w:rPr>
        <w:t xml:space="preserve">3421 TV </w:t>
      </w:r>
      <w:proofErr w:type="spellStart"/>
      <w:r w:rsidRPr="003D20A4">
        <w:rPr>
          <w:color w:val="000000"/>
          <w:szCs w:val="22"/>
          <w:lang w:val="sk-SK"/>
        </w:rPr>
        <w:t>Oudewater</w:t>
      </w:r>
      <w:proofErr w:type="spellEnd"/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3D20A4">
        <w:rPr>
          <w:color w:val="000000"/>
          <w:szCs w:val="22"/>
          <w:lang w:val="sk-SK"/>
        </w:rPr>
        <w:t>Holandsko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/>
          <w:color w:val="000000"/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  <w:r w:rsidRPr="003D20A4">
        <w:rPr>
          <w:bCs/>
          <w:szCs w:val="22"/>
          <w:u w:val="single"/>
          <w:lang w:val="sk-SK"/>
        </w:rPr>
        <w:t>Výrobca zodpovedný za uvoľnenie šarže:</w:t>
      </w:r>
    </w:p>
    <w:p w:rsidR="00A338D1" w:rsidRPr="00410B35" w:rsidRDefault="00A338D1" w:rsidP="00A338D1">
      <w:pPr>
        <w:tabs>
          <w:tab w:val="clear" w:pos="567"/>
          <w:tab w:val="left" w:pos="0"/>
        </w:tabs>
        <w:rPr>
          <w:snapToGrid w:val="0"/>
          <w:lang w:val="sk-SK"/>
        </w:rPr>
      </w:pPr>
      <w:proofErr w:type="spellStart"/>
      <w:r w:rsidRPr="00410B35">
        <w:rPr>
          <w:snapToGrid w:val="0"/>
          <w:lang w:val="sk-SK"/>
        </w:rPr>
        <w:t>Produlab</w:t>
      </w:r>
      <w:proofErr w:type="spellEnd"/>
      <w:r w:rsidRPr="00410B35">
        <w:rPr>
          <w:snapToGrid w:val="0"/>
          <w:lang w:val="sk-SK"/>
        </w:rPr>
        <w:t xml:space="preserve"> </w:t>
      </w:r>
      <w:proofErr w:type="spellStart"/>
      <w:r w:rsidRPr="00410B35">
        <w:rPr>
          <w:snapToGrid w:val="0"/>
          <w:lang w:val="sk-SK"/>
        </w:rPr>
        <w:t>Pharma</w:t>
      </w:r>
      <w:proofErr w:type="spellEnd"/>
      <w:r w:rsidRPr="00410B35">
        <w:rPr>
          <w:snapToGrid w:val="0"/>
          <w:lang w:val="sk-SK"/>
        </w:rPr>
        <w:t xml:space="preserve"> B.V.</w:t>
      </w:r>
    </w:p>
    <w:p w:rsidR="00A338D1" w:rsidRPr="00410B35" w:rsidRDefault="00A338D1" w:rsidP="00A338D1">
      <w:pPr>
        <w:tabs>
          <w:tab w:val="clear" w:pos="567"/>
          <w:tab w:val="left" w:pos="0"/>
        </w:tabs>
        <w:rPr>
          <w:snapToGrid w:val="0"/>
          <w:lang w:val="sk-SK"/>
        </w:rPr>
      </w:pPr>
      <w:proofErr w:type="spellStart"/>
      <w:r w:rsidRPr="00410B35">
        <w:rPr>
          <w:snapToGrid w:val="0"/>
          <w:lang w:val="sk-SK"/>
        </w:rPr>
        <w:t>Forellenweg</w:t>
      </w:r>
      <w:proofErr w:type="spellEnd"/>
      <w:r w:rsidRPr="00410B35">
        <w:rPr>
          <w:snapToGrid w:val="0"/>
          <w:lang w:val="sk-SK"/>
        </w:rPr>
        <w:t xml:space="preserve"> 16</w:t>
      </w:r>
    </w:p>
    <w:p w:rsidR="00A338D1" w:rsidRPr="00410B35" w:rsidRDefault="00A338D1" w:rsidP="00A338D1">
      <w:pPr>
        <w:tabs>
          <w:tab w:val="clear" w:pos="567"/>
          <w:tab w:val="left" w:pos="0"/>
        </w:tabs>
        <w:rPr>
          <w:snapToGrid w:val="0"/>
          <w:lang w:val="sk-SK"/>
        </w:rPr>
      </w:pPr>
      <w:r w:rsidRPr="00410B35">
        <w:rPr>
          <w:snapToGrid w:val="0"/>
          <w:lang w:val="sk-SK"/>
        </w:rPr>
        <w:t xml:space="preserve">4941 SJ </w:t>
      </w:r>
      <w:proofErr w:type="spellStart"/>
      <w:r w:rsidRPr="00410B35">
        <w:rPr>
          <w:snapToGrid w:val="0"/>
          <w:lang w:val="sk-SK"/>
        </w:rPr>
        <w:t>Raamsdonksveer</w:t>
      </w:r>
      <w:proofErr w:type="spellEnd"/>
    </w:p>
    <w:p w:rsidR="00A338D1" w:rsidRPr="00410B35" w:rsidRDefault="00A338D1" w:rsidP="00A338D1">
      <w:pPr>
        <w:tabs>
          <w:tab w:val="clear" w:pos="567"/>
          <w:tab w:val="left" w:pos="0"/>
        </w:tabs>
        <w:rPr>
          <w:snapToGrid w:val="0"/>
          <w:lang w:val="sk-SK"/>
        </w:rPr>
      </w:pPr>
      <w:r w:rsidRPr="00410B35">
        <w:rPr>
          <w:snapToGrid w:val="0"/>
          <w:lang w:val="sk-SK"/>
        </w:rPr>
        <w:t>Holandsko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t>2.</w:t>
      </w:r>
      <w:r w:rsidRPr="003D20A4">
        <w:rPr>
          <w:b/>
          <w:szCs w:val="22"/>
          <w:lang w:val="sk-SK"/>
        </w:rPr>
        <w:tab/>
        <w:t>NÁZOV VETERINÁRNEHO LIEKU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 w:eastAsia="en-GB"/>
        </w:rPr>
      </w:pPr>
      <w:proofErr w:type="spellStart"/>
      <w:r w:rsidRPr="00410B35">
        <w:rPr>
          <w:color w:val="000000"/>
          <w:szCs w:val="22"/>
          <w:lang w:val="sk-SK"/>
        </w:rPr>
        <w:t>Tranquigel</w:t>
      </w:r>
      <w:proofErr w:type="spellEnd"/>
      <w:r w:rsidRPr="00410B35">
        <w:rPr>
          <w:color w:val="000000"/>
          <w:szCs w:val="22"/>
          <w:lang w:val="sk-SK"/>
        </w:rPr>
        <w:t xml:space="preserve"> 35 mg/g perorálny gél pre psy a kone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color w:val="000000"/>
          <w:szCs w:val="22"/>
          <w:lang w:val="sk-SK" w:eastAsia="en-GB"/>
        </w:rPr>
      </w:pPr>
      <w:proofErr w:type="spellStart"/>
      <w:r w:rsidRPr="00410B35">
        <w:rPr>
          <w:color w:val="000000"/>
          <w:szCs w:val="22"/>
          <w:lang w:val="sk-SK"/>
        </w:rPr>
        <w:t>acepromazín</w:t>
      </w:r>
      <w:proofErr w:type="spellEnd"/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D20A4">
        <w:rPr>
          <w:b/>
          <w:szCs w:val="22"/>
          <w:lang w:val="sk-SK"/>
        </w:rPr>
        <w:t>3.</w:t>
      </w:r>
      <w:r w:rsidRPr="003D20A4">
        <w:rPr>
          <w:b/>
          <w:szCs w:val="22"/>
          <w:lang w:val="sk-SK"/>
        </w:rPr>
        <w:tab/>
        <w:t>OBSAH ÚČINNEJ LÁTKY (-OK) A INEJ LÁTKY (-OK)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1 gram obsahuje: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3D20A4">
        <w:rPr>
          <w:b/>
          <w:lang w:val="sk-SK"/>
        </w:rPr>
        <w:t>Účinn</w:t>
      </w:r>
      <w:r>
        <w:rPr>
          <w:b/>
          <w:lang w:val="sk-SK"/>
        </w:rPr>
        <w:t>á</w:t>
      </w:r>
      <w:r w:rsidRPr="003D20A4">
        <w:rPr>
          <w:b/>
          <w:lang w:val="sk-SK"/>
        </w:rPr>
        <w:t xml:space="preserve"> látk</w:t>
      </w:r>
      <w:r>
        <w:rPr>
          <w:b/>
          <w:lang w:val="sk-SK"/>
        </w:rPr>
        <w:t>a</w:t>
      </w:r>
      <w:r w:rsidRPr="003D20A4">
        <w:rPr>
          <w:b/>
          <w:lang w:val="sk-SK"/>
        </w:rPr>
        <w:t>:</w:t>
      </w:r>
    </w:p>
    <w:p w:rsidR="00A338D1" w:rsidRPr="003D20A4" w:rsidRDefault="00A338D1" w:rsidP="00A338D1">
      <w:pPr>
        <w:tabs>
          <w:tab w:val="clear" w:pos="567"/>
          <w:tab w:val="left" w:pos="1701"/>
          <w:tab w:val="right" w:pos="5670"/>
        </w:tabs>
        <w:spacing w:line="240" w:lineRule="auto"/>
        <w:rPr>
          <w:iCs/>
          <w:lang w:val="sk-SK"/>
        </w:rPr>
      </w:pPr>
      <w:proofErr w:type="spellStart"/>
      <w:r w:rsidRPr="003D20A4">
        <w:rPr>
          <w:iCs/>
          <w:lang w:val="sk-SK"/>
        </w:rPr>
        <w:t>Acepromazín</w:t>
      </w:r>
      <w:proofErr w:type="spellEnd"/>
      <w:r w:rsidRPr="003D20A4">
        <w:rPr>
          <w:iCs/>
          <w:lang w:val="sk-SK"/>
        </w:rPr>
        <w:t xml:space="preserve"> (ako </w:t>
      </w:r>
      <w:proofErr w:type="spellStart"/>
      <w:r w:rsidRPr="003D20A4">
        <w:rPr>
          <w:iCs/>
          <w:lang w:val="sk-SK"/>
        </w:rPr>
        <w:t>acepromazín</w:t>
      </w:r>
      <w:proofErr w:type="spellEnd"/>
      <w:r w:rsidRPr="003D20A4">
        <w:rPr>
          <w:iCs/>
          <w:lang w:val="sk-SK"/>
        </w:rPr>
        <w:t xml:space="preserve"> </w:t>
      </w:r>
      <w:proofErr w:type="spellStart"/>
      <w:r w:rsidRPr="003D20A4">
        <w:rPr>
          <w:iCs/>
          <w:lang w:val="sk-SK"/>
        </w:rPr>
        <w:t>maleát</w:t>
      </w:r>
      <w:proofErr w:type="spellEnd"/>
      <w:r w:rsidRPr="003D20A4">
        <w:rPr>
          <w:iCs/>
          <w:lang w:val="sk-SK"/>
        </w:rPr>
        <w:t>)</w:t>
      </w:r>
      <w:r w:rsidRPr="003D20A4">
        <w:rPr>
          <w:iCs/>
          <w:lang w:val="sk-SK"/>
        </w:rPr>
        <w:tab/>
        <w:t>35,0 mg</w:t>
      </w:r>
    </w:p>
    <w:p w:rsidR="00A338D1" w:rsidRPr="003D20A4" w:rsidRDefault="00A338D1" w:rsidP="00A338D1">
      <w:pPr>
        <w:tabs>
          <w:tab w:val="clear" w:pos="567"/>
          <w:tab w:val="left" w:pos="1701"/>
        </w:tabs>
        <w:spacing w:line="240" w:lineRule="auto"/>
        <w:rPr>
          <w:iCs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b/>
          <w:lang w:val="sk-SK"/>
        </w:rPr>
        <w:t>Pomocné látky:</w:t>
      </w:r>
    </w:p>
    <w:p w:rsidR="00A338D1" w:rsidRPr="003D20A4" w:rsidRDefault="00A338D1" w:rsidP="00A338D1">
      <w:pPr>
        <w:tabs>
          <w:tab w:val="clear" w:pos="567"/>
          <w:tab w:val="right" w:pos="5670"/>
        </w:tabs>
        <w:spacing w:line="240" w:lineRule="auto"/>
        <w:rPr>
          <w:lang w:val="sk-SK"/>
        </w:rPr>
      </w:pPr>
      <w:proofErr w:type="spellStart"/>
      <w:r w:rsidRPr="003D20A4">
        <w:rPr>
          <w:lang w:val="sk-SK"/>
        </w:rPr>
        <w:t>Metylparahydroxybenzoát</w:t>
      </w:r>
      <w:proofErr w:type="spellEnd"/>
      <w:r w:rsidRPr="003D20A4">
        <w:rPr>
          <w:lang w:val="sk-SK"/>
        </w:rPr>
        <w:t xml:space="preserve"> (E218)</w:t>
      </w:r>
      <w:r w:rsidRPr="003D20A4">
        <w:rPr>
          <w:lang w:val="sk-SK"/>
        </w:rPr>
        <w:tab/>
        <w:t>1,04 mg</w:t>
      </w:r>
    </w:p>
    <w:p w:rsidR="00A338D1" w:rsidRPr="003D20A4" w:rsidRDefault="00A338D1" w:rsidP="00A338D1">
      <w:pPr>
        <w:tabs>
          <w:tab w:val="clear" w:pos="567"/>
          <w:tab w:val="right" w:pos="5670"/>
        </w:tabs>
        <w:spacing w:line="240" w:lineRule="auto"/>
        <w:rPr>
          <w:lang w:val="sk-SK"/>
        </w:rPr>
      </w:pPr>
      <w:proofErr w:type="spellStart"/>
      <w:r w:rsidRPr="003D20A4">
        <w:rPr>
          <w:lang w:val="sk-SK"/>
        </w:rPr>
        <w:t>Propylparahydroxybenzoát</w:t>
      </w:r>
      <w:proofErr w:type="spellEnd"/>
      <w:r w:rsidRPr="003D20A4">
        <w:rPr>
          <w:lang w:val="sk-SK"/>
        </w:rPr>
        <w:tab/>
        <w:t>0,104 mg</w:t>
      </w:r>
    </w:p>
    <w:p w:rsidR="00A338D1" w:rsidRPr="003D20A4" w:rsidRDefault="00A338D1" w:rsidP="00A338D1">
      <w:pPr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Číry, hustý, oranžovožltý gél.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D20A4">
        <w:rPr>
          <w:b/>
          <w:szCs w:val="22"/>
          <w:lang w:val="sk-SK"/>
        </w:rPr>
        <w:t>4.</w:t>
      </w:r>
      <w:r w:rsidRPr="003D20A4">
        <w:rPr>
          <w:b/>
          <w:szCs w:val="22"/>
          <w:lang w:val="sk-SK"/>
        </w:rPr>
        <w:tab/>
        <w:t>INDIKÁCIA(-E)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spacing w:line="240" w:lineRule="auto"/>
        <w:jc w:val="both"/>
        <w:rPr>
          <w:szCs w:val="23"/>
          <w:lang w:val="sk-SK"/>
        </w:rPr>
      </w:pPr>
      <w:r w:rsidRPr="003D20A4">
        <w:rPr>
          <w:szCs w:val="23"/>
          <w:lang w:val="sk-SK"/>
        </w:rPr>
        <w:t xml:space="preserve">Na </w:t>
      </w:r>
      <w:proofErr w:type="spellStart"/>
      <w:r w:rsidRPr="003D20A4">
        <w:rPr>
          <w:szCs w:val="23"/>
          <w:lang w:val="sk-SK"/>
        </w:rPr>
        <w:t>sedáciu</w:t>
      </w:r>
      <w:proofErr w:type="spellEnd"/>
      <w:r w:rsidRPr="003D20A4">
        <w:rPr>
          <w:szCs w:val="23"/>
          <w:lang w:val="sk-SK"/>
        </w:rPr>
        <w:t xml:space="preserve"> psov a</w:t>
      </w:r>
      <w:r w:rsidR="00DB389F">
        <w:rPr>
          <w:szCs w:val="23"/>
          <w:lang w:val="sk-SK"/>
        </w:rPr>
        <w:t> </w:t>
      </w:r>
      <w:r w:rsidRPr="003D20A4">
        <w:rPr>
          <w:szCs w:val="23"/>
          <w:lang w:val="sk-SK"/>
        </w:rPr>
        <w:t>koní</w:t>
      </w:r>
      <w:r w:rsidR="00DB389F">
        <w:rPr>
          <w:szCs w:val="23"/>
          <w:lang w:val="sk-SK"/>
        </w:rPr>
        <w:t>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D20A4">
        <w:rPr>
          <w:b/>
          <w:szCs w:val="22"/>
          <w:lang w:val="sk-SK"/>
        </w:rPr>
        <w:t>5.</w:t>
      </w:r>
      <w:r w:rsidRPr="003D20A4">
        <w:rPr>
          <w:b/>
          <w:szCs w:val="22"/>
          <w:lang w:val="sk-SK"/>
        </w:rPr>
        <w:tab/>
        <w:t>KONTRAINDIKÁCIE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 xml:space="preserve">Nepoužívať v prípadoch hypotenzie, </w:t>
      </w:r>
      <w:proofErr w:type="spellStart"/>
      <w:r w:rsidRPr="003D20A4">
        <w:rPr>
          <w:szCs w:val="23"/>
          <w:lang w:val="sk-SK"/>
        </w:rPr>
        <w:t>posttraumatického</w:t>
      </w:r>
      <w:proofErr w:type="spellEnd"/>
      <w:r w:rsidRPr="003D20A4">
        <w:rPr>
          <w:szCs w:val="23"/>
          <w:lang w:val="sk-SK"/>
        </w:rPr>
        <w:t xml:space="preserve"> šoku alebo </w:t>
      </w:r>
      <w:proofErr w:type="spellStart"/>
      <w:r w:rsidRPr="003D20A4">
        <w:rPr>
          <w:szCs w:val="23"/>
          <w:lang w:val="sk-SK"/>
        </w:rPr>
        <w:t>hypovolémie</w:t>
      </w:r>
      <w:proofErr w:type="spellEnd"/>
      <w:r w:rsidRPr="003D20A4">
        <w:rPr>
          <w:szCs w:val="23"/>
          <w:lang w:val="sk-SK"/>
        </w:rPr>
        <w:t>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zvierat v stave silného emocionálneho vzrušenia.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zvierat trpiacich hypotermiou.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zvierat s hematologickými poruchami/</w:t>
      </w:r>
      <w:proofErr w:type="spellStart"/>
      <w:r w:rsidRPr="003D20A4">
        <w:rPr>
          <w:szCs w:val="23"/>
          <w:lang w:val="sk-SK"/>
        </w:rPr>
        <w:t>koagulopatiami</w:t>
      </w:r>
      <w:proofErr w:type="spellEnd"/>
      <w:r w:rsidRPr="003D20A4">
        <w:rPr>
          <w:szCs w:val="23"/>
          <w:lang w:val="sk-SK"/>
        </w:rPr>
        <w:t xml:space="preserve"> alebo anémiou. 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zvierat so zlyhaním srdca alebo pľúc.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zvierat s epilepsiou.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u novorodených zvierat.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3"/>
          <w:lang w:val="sk-SK"/>
        </w:rPr>
      </w:pPr>
      <w:r w:rsidRPr="003D20A4">
        <w:rPr>
          <w:szCs w:val="23"/>
          <w:lang w:val="sk-SK"/>
        </w:rPr>
        <w:t>Nepoužívať v prípadoch precitlivenosti na účinnú látku alebo na niektorú z pomocných látok.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lastRenderedPageBreak/>
        <w:t>6.</w:t>
      </w:r>
      <w:r w:rsidRPr="003D20A4">
        <w:rPr>
          <w:b/>
          <w:szCs w:val="22"/>
          <w:lang w:val="sk-SK"/>
        </w:rPr>
        <w:tab/>
        <w:t>NEŽIADUCE ÚČINKY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410B35">
        <w:rPr>
          <w:u w:val="single"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Hypotenzia (nízky krvný tlak), </w:t>
      </w:r>
      <w:proofErr w:type="spellStart"/>
      <w:r w:rsidRPr="00410B35">
        <w:rPr>
          <w:lang w:val="sk-SK"/>
        </w:rPr>
        <w:t>tachykardia</w:t>
      </w:r>
      <w:proofErr w:type="spellEnd"/>
      <w:r w:rsidRPr="00410B35">
        <w:rPr>
          <w:lang w:val="sk-SK"/>
        </w:rPr>
        <w:t xml:space="preserve"> (zrýchlenie srdcového rytmu), zvýšenie frekvencie dýchania, </w:t>
      </w:r>
      <w:proofErr w:type="spellStart"/>
      <w:r w:rsidRPr="00410B35">
        <w:rPr>
          <w:lang w:val="sk-SK"/>
        </w:rPr>
        <w:t>arytmia</w:t>
      </w:r>
      <w:proofErr w:type="spellEnd"/>
      <w:r w:rsidRPr="00410B35">
        <w:rPr>
          <w:lang w:val="sk-SK"/>
        </w:rPr>
        <w:t xml:space="preserve"> (nepravidelný srdcový rytmus), </w:t>
      </w:r>
      <w:proofErr w:type="spellStart"/>
      <w:r w:rsidRPr="00410B35">
        <w:rPr>
          <w:lang w:val="sk-SK"/>
        </w:rPr>
        <w:t>mióza</w:t>
      </w:r>
      <w:proofErr w:type="spellEnd"/>
      <w:r w:rsidRPr="00410B35">
        <w:rPr>
          <w:lang w:val="sk-SK"/>
        </w:rPr>
        <w:t xml:space="preserve"> (zúženie zrenice), slzenie a </w:t>
      </w:r>
      <w:proofErr w:type="spellStart"/>
      <w:r w:rsidRPr="00410B35">
        <w:rPr>
          <w:lang w:val="sk-SK"/>
        </w:rPr>
        <w:t>ataxia</w:t>
      </w:r>
      <w:proofErr w:type="spellEnd"/>
      <w:r w:rsidRPr="00410B35">
        <w:rPr>
          <w:lang w:val="sk-SK"/>
        </w:rPr>
        <w:t xml:space="preserve"> (</w:t>
      </w:r>
      <w:proofErr w:type="spellStart"/>
      <w:r w:rsidRPr="00410B35">
        <w:rPr>
          <w:lang w:val="sk-SK"/>
        </w:rPr>
        <w:t>nekoordinovanosť</w:t>
      </w:r>
      <w:proofErr w:type="spellEnd"/>
      <w:r w:rsidRPr="00410B35">
        <w:rPr>
          <w:lang w:val="sk-SK"/>
        </w:rPr>
        <w:t>). Môžu sa vyskytnúť protichodné klinické prejavy agresivity a generalizovaná stimulácia CNS.</w:t>
      </w:r>
    </w:p>
    <w:p w:rsidR="00A338D1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410B35">
        <w:rPr>
          <w:u w:val="single"/>
          <w:lang w:val="sk-SK"/>
        </w:rPr>
        <w:t>Kone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Keďže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znižuje tonus sympatického nervového systému, môže sa po podaní vyskytnúť prechodný pokles krvného tlaku.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Inhibícia regulácie telesnej teploty.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V krvnom obraze (výsledky krvných testov) sú možné nasledujúce zvratné zmeny: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- dočasné zníženie počtu erytrocytov (červených krviniek) a koncentrácie hemoglobínu,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- dočasné zníženie počtu trombocytov (krvných doštičiek) a leukocytov (bielych krviniek).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Keďže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môže zvyšovať sekréciu </w:t>
      </w:r>
      <w:proofErr w:type="spellStart"/>
      <w:r w:rsidRPr="00410B35">
        <w:rPr>
          <w:lang w:val="sk-SK"/>
        </w:rPr>
        <w:t>prolaktínu</w:t>
      </w:r>
      <w:proofErr w:type="spellEnd"/>
      <w:r w:rsidRPr="00410B35">
        <w:rPr>
          <w:lang w:val="sk-SK"/>
        </w:rPr>
        <w:t xml:space="preserve">, podávanie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môže viesť k poruchám </w:t>
      </w:r>
      <w:proofErr w:type="spellStart"/>
      <w:r w:rsidRPr="00410B35">
        <w:rPr>
          <w:lang w:val="sk-SK"/>
        </w:rPr>
        <w:t>fertility</w:t>
      </w:r>
      <w:proofErr w:type="spellEnd"/>
      <w:r w:rsidRPr="00410B35">
        <w:rPr>
          <w:lang w:val="sk-SK"/>
        </w:rPr>
        <w:t xml:space="preserve">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Môže sa vyskytnúť </w:t>
      </w:r>
      <w:proofErr w:type="spellStart"/>
      <w:r w:rsidRPr="00410B35">
        <w:rPr>
          <w:lang w:val="sk-SK"/>
        </w:rPr>
        <w:t>prolaps</w:t>
      </w:r>
      <w:proofErr w:type="spellEnd"/>
      <w:r w:rsidRPr="00410B35">
        <w:rPr>
          <w:lang w:val="sk-SK"/>
        </w:rPr>
        <w:t xml:space="preserve"> penisu spôsobený uvoľnením sťahovacích svalov penisu. </w:t>
      </w:r>
      <w:proofErr w:type="spellStart"/>
      <w:r w:rsidRPr="00410B35">
        <w:rPr>
          <w:lang w:val="sk-SK"/>
        </w:rPr>
        <w:t>Retrakcia</w:t>
      </w:r>
      <w:proofErr w:type="spellEnd"/>
      <w:r w:rsidRPr="00410B35">
        <w:rPr>
          <w:lang w:val="sk-SK"/>
        </w:rPr>
        <w:t xml:space="preserve"> penisu musí byť viditeľná do dvoch až troch hodín. Ak k tomu nedôjde, odporúča sa kontaktovať veterinárneho lekára. Chýbajúca </w:t>
      </w:r>
      <w:proofErr w:type="spellStart"/>
      <w:r w:rsidRPr="00410B35">
        <w:rPr>
          <w:lang w:val="sk-SK"/>
        </w:rPr>
        <w:t>retrakcia</w:t>
      </w:r>
      <w:proofErr w:type="spellEnd"/>
      <w:r w:rsidRPr="00410B35">
        <w:rPr>
          <w:lang w:val="sk-SK"/>
        </w:rPr>
        <w:t xml:space="preserve"> sa týka najmä plemenných žrebcov. Podávanie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spôsobilo </w:t>
      </w:r>
      <w:proofErr w:type="spellStart"/>
      <w:r w:rsidRPr="00410B35">
        <w:rPr>
          <w:lang w:val="sk-SK"/>
        </w:rPr>
        <w:t>parafimózu</w:t>
      </w:r>
      <w:proofErr w:type="spellEnd"/>
      <w:r w:rsidRPr="00410B35">
        <w:rPr>
          <w:lang w:val="sk-SK"/>
        </w:rPr>
        <w:t xml:space="preserve"> (predkožka sa nevráti so normálnej pozície) niekedy ako následok </w:t>
      </w:r>
      <w:proofErr w:type="spellStart"/>
      <w:r w:rsidRPr="00410B35">
        <w:rPr>
          <w:lang w:val="sk-SK"/>
        </w:rPr>
        <w:t>priapizmu</w:t>
      </w:r>
      <w:proofErr w:type="spellEnd"/>
      <w:r w:rsidRPr="00410B35">
        <w:rPr>
          <w:lang w:val="sk-SK"/>
        </w:rPr>
        <w:t xml:space="preserve"> (pretrvávajúcej erekcie).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Môžu sa vyskytnúť protichodné klinické prejavy agresivity a generalizovaná stimulácia CNS.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Prolaps</w:t>
      </w:r>
      <w:proofErr w:type="spellEnd"/>
      <w:r w:rsidRPr="00410B35">
        <w:rPr>
          <w:lang w:val="sk-SK"/>
        </w:rPr>
        <w:t xml:space="preserve"> membrány </w:t>
      </w:r>
      <w:proofErr w:type="spellStart"/>
      <w:r w:rsidRPr="00410B35">
        <w:rPr>
          <w:lang w:val="sk-SK"/>
        </w:rPr>
        <w:t>nictitans</w:t>
      </w:r>
      <w:proofErr w:type="spellEnd"/>
      <w:r w:rsidRPr="00410B35">
        <w:rPr>
          <w:lang w:val="sk-SK"/>
        </w:rPr>
        <w:t xml:space="preserve"> (tretieho očného viečka) bol tiež uvádzaný ako možný nežiaduci účinok u koní.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Ak zistíte akékoľvek nežiaduce účinky, aj tie, ktoré nie sú uvedené v tejto písomnej informácii pre používateľov, alebo si myslíte, že liek je neúčinný, informujte vášho veterinárneho lekára.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t>7.</w:t>
      </w:r>
      <w:r w:rsidRPr="003D20A4">
        <w:rPr>
          <w:b/>
          <w:szCs w:val="22"/>
          <w:lang w:val="sk-SK"/>
        </w:rPr>
        <w:tab/>
        <w:t>CIEĽOVÝ DRUH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Psy a</w:t>
      </w:r>
      <w:r>
        <w:rPr>
          <w:lang w:val="sk-SK"/>
        </w:rPr>
        <w:t> </w:t>
      </w:r>
      <w:r w:rsidRPr="003D20A4">
        <w:rPr>
          <w:lang w:val="sk-SK"/>
        </w:rPr>
        <w:t>kone</w:t>
      </w:r>
      <w:r>
        <w:rPr>
          <w:lang w:val="sk-SK"/>
        </w:rPr>
        <w:t>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t>8.</w:t>
      </w:r>
      <w:r w:rsidRPr="003D20A4">
        <w:rPr>
          <w:b/>
          <w:szCs w:val="22"/>
          <w:lang w:val="sk-SK"/>
        </w:rPr>
        <w:tab/>
        <w:t>DÁVKOVANIE PRE KAŽDÝ DRUH, CESTA(-Y) A SPÔSOB PODANIA LIEKU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Cs/>
          <w:color w:val="000000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Na perorálne použitie.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410B35">
        <w:rPr>
          <w:u w:val="single"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right="-132" w:hanging="567"/>
        <w:rPr>
          <w:lang w:val="sk-SK"/>
        </w:rPr>
      </w:pPr>
      <w:r w:rsidRPr="00410B35">
        <w:rPr>
          <w:lang w:val="sk-SK"/>
        </w:rPr>
        <w:t xml:space="preserve">Ľahká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0,5 - 1,0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0,14 - 0,29 g lieku na 10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ind w:left="567" w:right="-274" w:hanging="567"/>
        <w:rPr>
          <w:rFonts w:cs="Arial"/>
          <w:lang w:val="sk-SK"/>
        </w:rPr>
      </w:pPr>
      <w:r w:rsidRPr="00410B35">
        <w:rPr>
          <w:lang w:val="sk-SK"/>
        </w:rPr>
        <w:t xml:space="preserve">Hlbšia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1,0 - 2,0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0,29 - 0,57 g lieku na 10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u w:val="single"/>
          <w:lang w:val="sk-SK"/>
        </w:rPr>
        <w:t>Kone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410B35">
        <w:rPr>
          <w:lang w:val="sk-SK"/>
        </w:rPr>
        <w:t xml:space="preserve">Stredná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0,150 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0,43 g lieku na 100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ind w:left="567" w:hanging="567"/>
        <w:rPr>
          <w:rFonts w:cs="Arial"/>
          <w:lang w:val="sk-SK"/>
        </w:rPr>
      </w:pPr>
      <w:r w:rsidRPr="00410B35">
        <w:rPr>
          <w:lang w:val="sk-SK"/>
        </w:rPr>
        <w:t xml:space="preserve">Hlbšia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: 0,225 mg </w:t>
      </w:r>
      <w:proofErr w:type="spellStart"/>
      <w:r w:rsidRPr="00410B35">
        <w:rPr>
          <w:lang w:val="sk-SK"/>
        </w:rPr>
        <w:t>acepromazínu</w:t>
      </w:r>
      <w:proofErr w:type="spellEnd"/>
      <w:r w:rsidRPr="00410B35">
        <w:rPr>
          <w:lang w:val="sk-SK"/>
        </w:rPr>
        <w:t xml:space="preserve"> / 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 (zodpovedá to 0,64 g lieku na 100 kg </w:t>
      </w:r>
      <w:r>
        <w:rPr>
          <w:lang w:val="sk-SK"/>
        </w:rPr>
        <w:t>živej</w:t>
      </w:r>
      <w:r w:rsidRPr="00410B35">
        <w:rPr>
          <w:lang w:val="sk-SK"/>
        </w:rPr>
        <w:t xml:space="preserve"> hmotnosti)</w:t>
      </w:r>
      <w:r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Vyššie uvedené informácie o dávke sú poskytnuté ako smernica a majú sa upraviť pre každé zviera s uvážením viacerých faktorov (napr. temperament, plemeno, nervozita atď.), ktoré môžu ovplyvniť citlivosť na sedatíva.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Použitie tohto veterinárneho lieku na ľahkú </w:t>
      </w:r>
      <w:proofErr w:type="spellStart"/>
      <w:r w:rsidRPr="00410B35">
        <w:rPr>
          <w:lang w:val="sk-SK"/>
        </w:rPr>
        <w:t>sedáciu</w:t>
      </w:r>
      <w:proofErr w:type="spellEnd"/>
      <w:r w:rsidRPr="00410B35">
        <w:rPr>
          <w:lang w:val="sk-SK"/>
        </w:rPr>
        <w:t xml:space="preserve"> u psov s telesnou hmotnosťou menej ako 17,5 kg </w:t>
      </w:r>
      <w:r w:rsidRPr="00066A2D">
        <w:rPr>
          <w:lang w:val="sk-SK"/>
        </w:rPr>
        <w:t>sa má zakladať na dôkladnom vyhodnotení prínosu/rizika lieku zodpovedným veterinárnym lekárom. Pozri tiež časť 12 „Osobitné upozornenia”.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b/>
          <w:lang w:val="sk-SK"/>
        </w:rPr>
        <w:t>Osobitné bezpečnostné op</w:t>
      </w:r>
      <w:r w:rsidR="006C29EC">
        <w:rPr>
          <w:b/>
          <w:lang w:val="sk-SK"/>
        </w:rPr>
        <w:t>atrenia na používanie u zvierat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Nasledujúce tabuľky sú určen</w:t>
      </w:r>
      <w:r>
        <w:rPr>
          <w:lang w:val="sk-SK"/>
        </w:rPr>
        <w:t>é</w:t>
      </w:r>
      <w:r w:rsidRPr="00410B35">
        <w:rPr>
          <w:lang w:val="sk-SK"/>
        </w:rPr>
        <w:t xml:space="preserve"> ako pomôck</w:t>
      </w:r>
      <w:r>
        <w:rPr>
          <w:lang w:val="sk-SK"/>
        </w:rPr>
        <w:t>y</w:t>
      </w:r>
      <w:r w:rsidRPr="00410B35">
        <w:rPr>
          <w:lang w:val="sk-SK"/>
        </w:rPr>
        <w:t xml:space="preserve"> pri podávaní tohto veterinárneho lieku v odporúč</w:t>
      </w:r>
      <w:r>
        <w:rPr>
          <w:lang w:val="sk-SK"/>
        </w:rPr>
        <w:t>aných</w:t>
      </w:r>
      <w:r w:rsidRPr="00410B35">
        <w:rPr>
          <w:lang w:val="sk-SK"/>
        </w:rPr>
        <w:t xml:space="preserve"> výškach dávok. Otočte pohyblivý krúžok proti smeru hodinových ručičiek, až kým sa ľavá strana krúžku nezarovná s váhou perorálneho gélu, ktorý sa má podať.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52"/>
        <w:gridCol w:w="1174"/>
        <w:gridCol w:w="1294"/>
        <w:gridCol w:w="1130"/>
        <w:gridCol w:w="1152"/>
        <w:gridCol w:w="1294"/>
        <w:gridCol w:w="1176"/>
      </w:tblGrid>
      <w:tr w:rsidR="00A338D1" w:rsidRPr="00410B35" w:rsidTr="00DB389F">
        <w:trPr>
          <w:trHeight w:val="414"/>
        </w:trPr>
        <w:tc>
          <w:tcPr>
            <w:tcW w:w="5000" w:type="pct"/>
            <w:gridSpan w:val="7"/>
            <w:shd w:val="clear" w:color="auto" w:fill="00000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4"/>
                <w:szCs w:val="24"/>
                <w:lang w:val="sk-SK"/>
              </w:rPr>
              <w:t>Tranquigel pre psy</w:t>
            </w:r>
          </w:p>
        </w:tc>
      </w:tr>
      <w:tr w:rsidR="00A338D1" w:rsidRPr="00410B35" w:rsidTr="00DB389F">
        <w:trPr>
          <w:trHeight w:val="414"/>
        </w:trPr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</w:p>
        </w:tc>
        <w:tc>
          <w:tcPr>
            <w:tcW w:w="1983" w:type="pct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Ľahká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0,5 - 1,0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  <w:tc>
          <w:tcPr>
            <w:tcW w:w="1996" w:type="pct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Hlbšia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1,0 - 2,0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</w:tr>
      <w:tr w:rsidR="00A338D1" w:rsidRPr="00410B35" w:rsidTr="00DB389F">
        <w:trPr>
          <w:trHeight w:val="414"/>
        </w:trPr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Živá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 xml:space="preserve"> hmotnosť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 kg – 17,5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8,75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0,50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1,00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17,5 kg – 20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 – 0,88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 – 1,31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20 kg – 25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25 kg – 30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0,70 – 0,58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1,46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30 kg – 40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0,66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1,31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40 kg – 50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0,70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70,00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1,40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50 kg – 60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0,73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1,46</w:t>
            </w:r>
          </w:p>
        </w:tc>
      </w:tr>
      <w:tr w:rsidR="00A338D1" w:rsidRPr="00410B35" w:rsidTr="00DB389F">
        <w:tc>
          <w:tcPr>
            <w:tcW w:w="1021" w:type="pct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60 kg – 70 kg</w:t>
            </w:r>
          </w:p>
        </w:tc>
        <w:tc>
          <w:tcPr>
            <w:tcW w:w="647" w:type="pc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62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0,88 – 0,75</w:t>
            </w:r>
          </w:p>
        </w:tc>
        <w:tc>
          <w:tcPr>
            <w:tcW w:w="635" w:type="pc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3,00</w:t>
            </w:r>
          </w:p>
        </w:tc>
        <w:tc>
          <w:tcPr>
            <w:tcW w:w="713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105,00</w:t>
            </w:r>
          </w:p>
        </w:tc>
        <w:tc>
          <w:tcPr>
            <w:tcW w:w="648" w:type="pct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 – 1,31</w:t>
            </w:r>
          </w:p>
        </w:tc>
      </w:tr>
    </w:tbl>
    <w:p w:rsidR="00A338D1" w:rsidRPr="00410B35" w:rsidRDefault="00A338D1" w:rsidP="00A338D1">
      <w:pPr>
        <w:tabs>
          <w:tab w:val="clear" w:pos="567"/>
        </w:tabs>
        <w:spacing w:after="160" w:line="259" w:lineRule="auto"/>
        <w:rPr>
          <w:lang w:val="sk-SK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898"/>
        <w:gridCol w:w="1203"/>
        <w:gridCol w:w="1326"/>
        <w:gridCol w:w="1159"/>
        <w:gridCol w:w="1181"/>
        <w:gridCol w:w="1326"/>
        <w:gridCol w:w="1205"/>
        <w:gridCol w:w="24"/>
      </w:tblGrid>
      <w:tr w:rsidR="00A338D1" w:rsidRPr="00410B35" w:rsidTr="00DB389F">
        <w:trPr>
          <w:trHeight w:val="378"/>
        </w:trPr>
        <w:tc>
          <w:tcPr>
            <w:tcW w:w="9322" w:type="dxa"/>
            <w:gridSpan w:val="8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color w:val="FFFFFF"/>
                <w:sz w:val="24"/>
                <w:szCs w:val="24"/>
                <w:lang w:val="sk-SK"/>
              </w:rPr>
            </w:pPr>
            <w:r w:rsidRPr="00410B35">
              <w:rPr>
                <w:b/>
                <w:bCs/>
                <w:iCs/>
                <w:noProof/>
                <w:color w:val="FFFFFF"/>
                <w:sz w:val="24"/>
                <w:szCs w:val="24"/>
                <w:lang w:val="sk-SK"/>
              </w:rPr>
              <w:t>Tranquigel pre kone</w:t>
            </w:r>
          </w:p>
        </w:tc>
      </w:tr>
      <w:tr w:rsidR="00A338D1" w:rsidRPr="00410B35" w:rsidTr="00DB389F">
        <w:trPr>
          <w:gridAfter w:val="1"/>
          <w:wAfter w:w="24" w:type="dxa"/>
          <w:trHeight w:val="414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Stredná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0,150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  <w:tc>
          <w:tcPr>
            <w:tcW w:w="3712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20"/>
                <w:lang w:val="sk-SK"/>
              </w:rPr>
              <w:t>Hlbšia sedácia</w:t>
            </w:r>
          </w:p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sk-SK"/>
              </w:rPr>
            </w:pP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0,225 mg/kg </w:t>
            </w:r>
            <w:r>
              <w:rPr>
                <w:bCs/>
                <w:iCs/>
                <w:noProof/>
                <w:sz w:val="20"/>
                <w:lang w:val="sk-SK"/>
              </w:rPr>
              <w:t>živej</w:t>
            </w:r>
            <w:r w:rsidRPr="00410B35">
              <w:rPr>
                <w:bCs/>
                <w:iCs/>
                <w:noProof/>
                <w:sz w:val="20"/>
                <w:lang w:val="sk-SK"/>
              </w:rPr>
              <w:t xml:space="preserve"> hmotnosti</w:t>
            </w:r>
          </w:p>
        </w:tc>
      </w:tr>
      <w:tr w:rsidR="00A338D1" w:rsidRPr="00410B35" w:rsidTr="00DB389F">
        <w:trPr>
          <w:gridAfter w:val="1"/>
          <w:wAfter w:w="24" w:type="dxa"/>
          <w:trHeight w:val="414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Živá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 xml:space="preserve"> hmotnosť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Dávka gélu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(gram)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/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Acepromazín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(mg)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lang w:val="sk-SK"/>
              </w:rPr>
            </w:pP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t>Rozsah dávok</w:t>
            </w:r>
            <w:r w:rsidRPr="00410B35">
              <w:rPr>
                <w:b/>
                <w:bCs/>
                <w:iCs/>
                <w:noProof/>
                <w:sz w:val="18"/>
                <w:szCs w:val="18"/>
                <w:lang w:val="sk-SK"/>
              </w:rPr>
              <w:br/>
              <w:t>(mg/kg)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100 kg – 150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17,50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0,12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0,18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150 kg – 200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26,25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0,13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0,23 – 0,18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200 kg – 250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35,00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0,14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0,21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250 kg – 300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1,25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43,75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61,25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0,20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300 kg – 350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52,50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2,25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78,75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0,23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  <w:vAlign w:val="center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350 kg – 400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1,75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61,25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0,22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400 kg – 500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70,00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0,14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3,00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105,00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0,26 – 0,21</w:t>
            </w:r>
          </w:p>
        </w:tc>
      </w:tr>
      <w:tr w:rsidR="00A338D1" w:rsidRPr="00410B35" w:rsidTr="00DB389F">
        <w:trPr>
          <w:gridAfter w:val="1"/>
          <w:wAfter w:w="24" w:type="dxa"/>
        </w:trPr>
        <w:tc>
          <w:tcPr>
            <w:tcW w:w="1898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&gt; 500 kg – 600 kg</w:t>
            </w:r>
          </w:p>
        </w:tc>
        <w:tc>
          <w:tcPr>
            <w:tcW w:w="120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2,50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87,50</w:t>
            </w:r>
          </w:p>
        </w:tc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0,18 – 0,15</w:t>
            </w:r>
          </w:p>
        </w:tc>
        <w:tc>
          <w:tcPr>
            <w:tcW w:w="118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3,50</w:t>
            </w:r>
          </w:p>
        </w:tc>
        <w:tc>
          <w:tcPr>
            <w:tcW w:w="132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122,50</w:t>
            </w:r>
          </w:p>
        </w:tc>
        <w:tc>
          <w:tcPr>
            <w:tcW w:w="120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D9D9D9"/>
          </w:tcPr>
          <w:p w:rsidR="00A338D1" w:rsidRPr="00410B35" w:rsidRDefault="00A338D1" w:rsidP="00DB389F">
            <w:pPr>
              <w:tabs>
                <w:tab w:val="clear" w:pos="567"/>
              </w:tabs>
              <w:spacing w:line="240" w:lineRule="auto"/>
              <w:jc w:val="right"/>
              <w:rPr>
                <w:bCs/>
                <w:iCs/>
                <w:noProof/>
                <w:sz w:val="18"/>
                <w:szCs w:val="18"/>
                <w:lang w:val="sk-SK"/>
              </w:rPr>
            </w:pPr>
            <w:r w:rsidRPr="00410B35">
              <w:rPr>
                <w:bCs/>
                <w:iCs/>
                <w:noProof/>
                <w:sz w:val="18"/>
                <w:szCs w:val="18"/>
                <w:lang w:val="sk-SK"/>
              </w:rPr>
              <w:t>0,25 – 0,20</w:t>
            </w:r>
          </w:p>
        </w:tc>
      </w:tr>
    </w:tbl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U psov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začína po 1 hodine a trvá 8 - 12 hodín, u koní začína </w:t>
      </w: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po 15 - 20 minútach a trvá 6 - 7 hodín.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Pre dlhšie použitie u psov sa tieto dávky môžu zopakovať jedenkrát po 12 hodinách.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D20A4">
        <w:rPr>
          <w:b/>
          <w:szCs w:val="22"/>
          <w:lang w:val="sk-SK"/>
        </w:rPr>
        <w:t>9.</w:t>
      </w:r>
      <w:r w:rsidRPr="003D20A4">
        <w:rPr>
          <w:b/>
          <w:szCs w:val="22"/>
          <w:lang w:val="sk-SK"/>
        </w:rPr>
        <w:tab/>
        <w:t>POKYN O SPRÁVNOM PODANÍ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 xml:space="preserve">3 a 6-gramové striekačky majú dávkovací krúžok odstupňovaný každých 0,25 g. 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 xml:space="preserve">10 a 12-gramové striekačky majú dávkovací krúžok odstupňovaný každých 0,5 g. 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 xml:space="preserve">Na zaistenie presného dávkovania sa má zvoliť najvhodnejšia striekačka. 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Umiestnite krúžok na vyžadovanú dávku otočením proti smeru hodinových ručičiek. Vsuňte naplnenú perorálnu striekačku do úst zvieraťa a vytlačte požadovanú dávku na zadnú časť jazyka u psov alebo do lícneho vrecka u koní.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t>10.</w:t>
      </w:r>
      <w:r w:rsidRPr="003D20A4">
        <w:rPr>
          <w:b/>
          <w:szCs w:val="22"/>
          <w:lang w:val="sk-SK"/>
        </w:rPr>
        <w:tab/>
        <w:t>OCHRANNÁ LEHOTA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306B52">
        <w:rPr>
          <w:lang w:val="sk-SK"/>
        </w:rPr>
        <w:t xml:space="preserve">Nie je registrovaný na použitie u koní </w:t>
      </w:r>
      <w:r>
        <w:rPr>
          <w:lang w:val="sk-SK"/>
        </w:rPr>
        <w:t>určených</w:t>
      </w:r>
      <w:r w:rsidRPr="00306B52">
        <w:rPr>
          <w:lang w:val="sk-SK"/>
        </w:rPr>
        <w:t xml:space="preserve"> na ľudskú spotrebu</w:t>
      </w:r>
      <w:r w:rsidRPr="003D20A4">
        <w:rPr>
          <w:lang w:val="sk-SK"/>
        </w:rPr>
        <w:t xml:space="preserve">. 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b/>
          <w:szCs w:val="22"/>
          <w:lang w:val="sk-SK"/>
        </w:rPr>
        <w:lastRenderedPageBreak/>
        <w:t>11.</w:t>
      </w:r>
      <w:r w:rsidRPr="003D20A4">
        <w:rPr>
          <w:b/>
          <w:szCs w:val="22"/>
          <w:lang w:val="sk-SK"/>
        </w:rPr>
        <w:tab/>
        <w:t>OSOBITNÉ BEZPEČNOSTNÉ OPATRENIA NA UCHOVÁVANIE</w:t>
      </w:r>
    </w:p>
    <w:p w:rsidR="00A338D1" w:rsidRPr="003D20A4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szCs w:val="22"/>
          <w:lang w:val="sk-SK"/>
        </w:rPr>
        <w:t>Uchovávať mimo dohľadu a dosahu detí.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ind w:right="-318"/>
        <w:rPr>
          <w:lang w:val="sk-SK"/>
        </w:rPr>
      </w:pPr>
      <w:r w:rsidRPr="003D20A4">
        <w:rPr>
          <w:noProof/>
          <w:lang w:val="sk-SK"/>
        </w:rPr>
        <w:t>Tento veterinárny liek nevyžaduje žiadne zvláštne podmienky na uchovávanie.</w:t>
      </w:r>
    </w:p>
    <w:p w:rsidR="00A338D1" w:rsidRPr="003D20A4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D20A4">
        <w:rPr>
          <w:lang w:val="sk-SK"/>
        </w:rPr>
        <w:t>Čas použiteľnosti po p</w:t>
      </w:r>
      <w:r>
        <w:rPr>
          <w:lang w:val="sk-SK"/>
        </w:rPr>
        <w:t>rvom otvorení vnútorného obalu</w:t>
      </w:r>
      <w:r w:rsidRPr="003D20A4">
        <w:rPr>
          <w:lang w:val="sk-SK"/>
        </w:rPr>
        <w:t xml:space="preserve">: 56 dní (8 týždňov). </w:t>
      </w:r>
    </w:p>
    <w:p w:rsidR="00A338D1" w:rsidRPr="003D20A4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szCs w:val="22"/>
          <w:lang w:val="sk-SK"/>
        </w:rPr>
        <w:t xml:space="preserve">Nepoužívať tento veterinárny liek po dátume exspirácie uvedenom na obale po EXP. </w:t>
      </w:r>
    </w:p>
    <w:p w:rsidR="00A338D1" w:rsidRPr="003D20A4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D20A4">
        <w:rPr>
          <w:szCs w:val="22"/>
          <w:lang w:val="sk-SK"/>
        </w:rPr>
        <w:t>Dátum exspirácie sa vzťahuje na posledný deň v uvedenom mesiaci.</w:t>
      </w:r>
    </w:p>
    <w:p w:rsidR="00A338D1" w:rsidRPr="003D20A4" w:rsidRDefault="00A338D1" w:rsidP="00A338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keepNext/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D20A4">
        <w:rPr>
          <w:b/>
          <w:szCs w:val="22"/>
          <w:lang w:val="sk-SK"/>
        </w:rPr>
        <w:t>12.</w:t>
      </w:r>
      <w:r w:rsidRPr="003D20A4">
        <w:rPr>
          <w:b/>
          <w:szCs w:val="22"/>
          <w:lang w:val="sk-SK"/>
        </w:rPr>
        <w:tab/>
        <w:t>OSOBITNÉ UPOZORNENIA</w:t>
      </w: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D20A4">
        <w:rPr>
          <w:szCs w:val="22"/>
          <w:u w:val="single"/>
          <w:lang w:val="sk-SK"/>
        </w:rPr>
        <w:t>Osobitné bezpečnostné opatrenia pre každý cieľový druh:</w:t>
      </w:r>
    </w:p>
    <w:p w:rsidR="00A338D1" w:rsidRDefault="00A338D1" w:rsidP="00A338D1">
      <w:pPr>
        <w:spacing w:line="240" w:lineRule="auto"/>
        <w:rPr>
          <w:u w:val="single"/>
          <w:lang w:val="sk-SK"/>
        </w:rPr>
      </w:pPr>
    </w:p>
    <w:p w:rsidR="00A338D1" w:rsidRPr="00600F73" w:rsidRDefault="00A338D1" w:rsidP="00A338D1">
      <w:pPr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Psy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>
        <w:rPr>
          <w:lang w:val="sk-SK"/>
        </w:rPr>
        <w:t>Nie sú.</w:t>
      </w:r>
    </w:p>
    <w:p w:rsidR="00A338D1" w:rsidRDefault="00A338D1" w:rsidP="00A338D1">
      <w:pPr>
        <w:spacing w:line="240" w:lineRule="auto"/>
        <w:rPr>
          <w:u w:val="single"/>
          <w:lang w:val="sk-SK"/>
        </w:rPr>
      </w:pPr>
    </w:p>
    <w:p w:rsidR="00A338D1" w:rsidRPr="00600F73" w:rsidRDefault="00A338D1" w:rsidP="00A338D1">
      <w:pPr>
        <w:spacing w:line="240" w:lineRule="auto"/>
        <w:rPr>
          <w:lang w:val="sk-SK"/>
        </w:rPr>
      </w:pPr>
      <w:r w:rsidRPr="00600F73">
        <w:rPr>
          <w:b/>
          <w:lang w:val="sk-SK"/>
        </w:rPr>
        <w:t>Kone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Sedácia</w:t>
      </w:r>
      <w:proofErr w:type="spellEnd"/>
      <w:r w:rsidRPr="00410B35">
        <w:rPr>
          <w:lang w:val="sk-SK"/>
        </w:rPr>
        <w:t xml:space="preserve"> trvá približne šesť hodín, avšak aktuálna doba a hĺbka </w:t>
      </w:r>
      <w:proofErr w:type="spellStart"/>
      <w:r w:rsidRPr="00410B35">
        <w:rPr>
          <w:lang w:val="sk-SK"/>
        </w:rPr>
        <w:t>sedácie</w:t>
      </w:r>
      <w:proofErr w:type="spellEnd"/>
      <w:r w:rsidRPr="00410B35">
        <w:rPr>
          <w:lang w:val="sk-SK"/>
        </w:rPr>
        <w:t xml:space="preserve"> veľmi závisia od stavu jednotlivého zvieraťa. 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 xml:space="preserve">Zvýšenie dávky nad odporúčanú dávku má za následok predĺžený účinok a vedľajšie účinky, nie však vyššiu </w:t>
      </w:r>
      <w:proofErr w:type="spellStart"/>
      <w:r w:rsidRPr="00410B35">
        <w:rPr>
          <w:lang w:val="sk-SK"/>
        </w:rPr>
        <w:t>sedáciu</w:t>
      </w:r>
      <w:proofErr w:type="spellEnd"/>
      <w:r w:rsidRPr="00410B35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D20A4">
        <w:rPr>
          <w:szCs w:val="22"/>
          <w:u w:val="single"/>
          <w:lang w:val="sk-SK"/>
        </w:rPr>
        <w:t>Osobitné bezpečnostné opatrenia na používanie u zvierat: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Tento veterinárny liek sa má používať opatrne a v zníženej dávke v prípade ochorenia pečene alebo u oslabených zvierat.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má zanedbateľné analgetické účinky. Pri manipulácii s uspanými zvieratami sa treba vyhnúť aktivitám spôsobujúcim bolesť, ak neboli podané vhodné analgetiká.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Po podaní tohto veterinárneho lieku majú byť zvieratá ponechané na pokojnom mieste a podľa možností sa treba vyhnúť senzorickej stimulácii.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600F73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Psy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Použitie tohto veterinárneho lieku u psov s telesnou hmotnosťou menej ako 17,5 kg sa má zakladať na dôkladnom vyhodnotení prínosu/rizika zodpovedným veterinárnym lekárom.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Kvôli obmedzeniam pomôcky na dávkovanie pri podávaní malých dávok sa použitie u malých (menej ako 17,5 kg) psov pri ľahkej </w:t>
      </w:r>
      <w:proofErr w:type="spellStart"/>
      <w:r w:rsidRPr="00410B35">
        <w:rPr>
          <w:lang w:val="sk-SK"/>
        </w:rPr>
        <w:t>sedácii</w:t>
      </w:r>
      <w:proofErr w:type="spellEnd"/>
      <w:r w:rsidRPr="00410B35">
        <w:rPr>
          <w:lang w:val="sk-SK"/>
        </w:rPr>
        <w:t xml:space="preserve"> u citlivých zvierat a plemien neodporúča.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U psov s mutáciou ABCB1-1Δ (tiež nazývanou MDR1) má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sklon k spôsobovaniu hlbšej a predĺženej </w:t>
      </w:r>
      <w:proofErr w:type="spellStart"/>
      <w:r w:rsidRPr="00410B35">
        <w:rPr>
          <w:lang w:val="sk-SK"/>
        </w:rPr>
        <w:t>sedácie</w:t>
      </w:r>
      <w:proofErr w:type="spellEnd"/>
      <w:r w:rsidRPr="00410B35">
        <w:rPr>
          <w:lang w:val="sk-SK"/>
        </w:rPr>
        <w:t xml:space="preserve">. U týchto psov sa má dávka znížiť o 25 % - 50 %. 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U niektorých psov, hlavne u boxerov a iných </w:t>
      </w:r>
      <w:proofErr w:type="spellStart"/>
      <w:r w:rsidRPr="00410B35">
        <w:rPr>
          <w:lang w:val="sk-SK"/>
        </w:rPr>
        <w:t>krátkonosých</w:t>
      </w:r>
      <w:proofErr w:type="spellEnd"/>
      <w:r w:rsidRPr="00410B35">
        <w:rPr>
          <w:lang w:val="sk-SK"/>
        </w:rPr>
        <w:t xml:space="preserve"> plemien, sa môže vyskytnúť spontánne omdlievanie alebo synkopa kvôli </w:t>
      </w:r>
      <w:proofErr w:type="spellStart"/>
      <w:r w:rsidRPr="00410B35">
        <w:rPr>
          <w:lang w:val="sk-SK"/>
        </w:rPr>
        <w:t>sinoatriálnej</w:t>
      </w:r>
      <w:proofErr w:type="spellEnd"/>
      <w:r w:rsidRPr="00410B35">
        <w:rPr>
          <w:lang w:val="sk-SK"/>
        </w:rPr>
        <w:t xml:space="preserve"> blokáde spôsobenej nadmerným </w:t>
      </w:r>
      <w:proofErr w:type="spellStart"/>
      <w:r w:rsidRPr="00410B35">
        <w:rPr>
          <w:lang w:val="sk-SK"/>
        </w:rPr>
        <w:t>vagálnym</w:t>
      </w:r>
      <w:proofErr w:type="spellEnd"/>
      <w:r w:rsidRPr="00410B35">
        <w:rPr>
          <w:lang w:val="sk-SK"/>
        </w:rPr>
        <w:t xml:space="preserve"> tonusom a môže sa urýchliť atak spôsobený </w:t>
      </w:r>
      <w:proofErr w:type="spellStart"/>
      <w:r w:rsidRPr="00410B35">
        <w:rPr>
          <w:lang w:val="sk-SK"/>
        </w:rPr>
        <w:t>acepromazínom</w:t>
      </w:r>
      <w:proofErr w:type="spellEnd"/>
      <w:r w:rsidRPr="00410B35">
        <w:rPr>
          <w:lang w:val="sk-SK"/>
        </w:rPr>
        <w:t xml:space="preserve">. Preto sa má použiť nízka dávka. Keď sa v anamnéze vyskytuje takýto typ synkopy alebo keď existuje podozrenie na takýto typ synkopy z dôvodu nadmernej sínusovej </w:t>
      </w:r>
      <w:proofErr w:type="spellStart"/>
      <w:r w:rsidRPr="00410B35">
        <w:rPr>
          <w:lang w:val="sk-SK"/>
        </w:rPr>
        <w:t>arytmie</w:t>
      </w:r>
      <w:proofErr w:type="spellEnd"/>
      <w:r w:rsidRPr="00410B35">
        <w:rPr>
          <w:lang w:val="sk-SK"/>
        </w:rPr>
        <w:t xml:space="preserve">, môže byť výhodné kontrolovať </w:t>
      </w:r>
      <w:proofErr w:type="spellStart"/>
      <w:r w:rsidRPr="00410B35">
        <w:rPr>
          <w:lang w:val="sk-SK"/>
        </w:rPr>
        <w:t>dysrytmiu</w:t>
      </w:r>
      <w:proofErr w:type="spellEnd"/>
      <w:r w:rsidRPr="00410B35">
        <w:rPr>
          <w:lang w:val="sk-SK"/>
        </w:rPr>
        <w:t xml:space="preserve"> atropínom podaným tesne pred </w:t>
      </w:r>
      <w:proofErr w:type="spellStart"/>
      <w:r w:rsidRPr="00410B35">
        <w:rPr>
          <w:lang w:val="sk-SK"/>
        </w:rPr>
        <w:t>acepromazínom</w:t>
      </w:r>
      <w:proofErr w:type="spellEnd"/>
      <w:r w:rsidRPr="00410B35">
        <w:rPr>
          <w:lang w:val="sk-SK"/>
        </w:rPr>
        <w:t>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Veľké plemená: zaznamenalo sa, že veľké plemená psov sú obzvlášť citlivé na </w:t>
      </w: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a u týchto plemien sa má použiť minimálna možná dávka.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trike/>
          <w:lang w:val="sk-SK"/>
        </w:rPr>
      </w:pPr>
      <w:proofErr w:type="spellStart"/>
      <w:r w:rsidRPr="00410B35">
        <w:rPr>
          <w:lang w:val="sk-SK"/>
        </w:rPr>
        <w:t>Acepromazín</w:t>
      </w:r>
      <w:proofErr w:type="spellEnd"/>
      <w:r w:rsidRPr="00410B35">
        <w:rPr>
          <w:lang w:val="sk-SK"/>
        </w:rPr>
        <w:t xml:space="preserve"> sa má používať opatrne ako kontrolná látka u agresívnych psov, keďže môže u zvieraťa viesť k vyššej náchylnosti vyplašenia a reakcie na zvuky alebo iné senzorické impulzy.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600F73" w:rsidRDefault="00A338D1" w:rsidP="00A338D1">
      <w:pPr>
        <w:tabs>
          <w:tab w:val="clear" w:pos="567"/>
        </w:tabs>
        <w:spacing w:line="240" w:lineRule="auto"/>
        <w:rPr>
          <w:b/>
          <w:lang w:val="sk-SK"/>
        </w:rPr>
      </w:pPr>
      <w:r w:rsidRPr="00600F73">
        <w:rPr>
          <w:b/>
          <w:lang w:val="sk-SK"/>
        </w:rPr>
        <w:t>Kone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 xml:space="preserve">U žrebcov je indikovaný najnižší rozsah dávok na minimalizáciu </w:t>
      </w:r>
      <w:proofErr w:type="spellStart"/>
      <w:r w:rsidRPr="00410B35">
        <w:rPr>
          <w:lang w:val="sk-SK"/>
        </w:rPr>
        <w:t>prolapsu</w:t>
      </w:r>
      <w:proofErr w:type="spellEnd"/>
      <w:r w:rsidRPr="00410B35">
        <w:rPr>
          <w:lang w:val="sk-SK"/>
        </w:rPr>
        <w:t xml:space="preserve"> penisu.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  <w:r w:rsidRPr="00410B35">
        <w:rPr>
          <w:lang w:val="sk-SK"/>
        </w:rPr>
        <w:t>Použitie tohto veterinárneho lieku u koní s telesnou hmotnosťou menej ako 100 kg sa má zakladať na dôkladnom vyhodnotení prínosu/rizika zodpovedným veterinárnym lekárom.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3D20A4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D20A4">
        <w:rPr>
          <w:szCs w:val="22"/>
          <w:u w:val="single"/>
          <w:lang w:val="sk-SK"/>
        </w:rPr>
        <w:t>Osobitné bezpečnostné opatrenia, ktoré má urobiť osoba podávajúca liek zvieratám:</w:t>
      </w:r>
    </w:p>
    <w:p w:rsidR="00A338D1" w:rsidRPr="003D20A4" w:rsidRDefault="00A338D1" w:rsidP="00A338D1">
      <w:pPr>
        <w:spacing w:line="240" w:lineRule="auto"/>
        <w:rPr>
          <w:lang w:val="sk-SK"/>
        </w:rPr>
      </w:pPr>
      <w:proofErr w:type="spellStart"/>
      <w:r w:rsidRPr="003D20A4">
        <w:rPr>
          <w:lang w:val="sk-SK"/>
        </w:rPr>
        <w:t>Acepromazín</w:t>
      </w:r>
      <w:proofErr w:type="spellEnd"/>
      <w:r w:rsidRPr="003D20A4">
        <w:rPr>
          <w:lang w:val="sk-SK"/>
        </w:rPr>
        <w:t xml:space="preserve"> môže spôsobiť </w:t>
      </w:r>
      <w:proofErr w:type="spellStart"/>
      <w:r w:rsidRPr="003D20A4">
        <w:rPr>
          <w:lang w:val="sk-SK"/>
        </w:rPr>
        <w:t>sedáciu</w:t>
      </w:r>
      <w:proofErr w:type="spellEnd"/>
      <w:r w:rsidRPr="003D20A4">
        <w:rPr>
          <w:lang w:val="sk-SK"/>
        </w:rPr>
        <w:t xml:space="preserve">. </w:t>
      </w:r>
      <w:r>
        <w:rPr>
          <w:lang w:val="sk-SK"/>
        </w:rPr>
        <w:t>D</w:t>
      </w:r>
      <w:r w:rsidRPr="003D20A4">
        <w:rPr>
          <w:lang w:val="sk-SK"/>
        </w:rPr>
        <w:t xml:space="preserve">održiavať opatrnosť, aby sa zabránilo náhodnému požitiu. Okamžite po použití znovu nasadiť viečko. Pri nasadzovaní viečka musí byť počuteľné "kliknutie", </w:t>
      </w:r>
      <w:r w:rsidRPr="003D20A4">
        <w:rPr>
          <w:lang w:val="sk-SK"/>
        </w:rPr>
        <w:lastRenderedPageBreak/>
        <w:t>aby sa zabezpečilo riadne uzavretie. Prepichnutú perorálnu striekačku uchovávať v pôvodnej škatuli a zaistiť, aby bola škatuľa poriadne zatvorená. Vždy uchovávať balenie mimo dohľadu a dosahu detí. V prípade náhodného požitia vyhľadať ihneď lekársku pomoc a ukázať písomnú informáciu pre používateľov alebo obal lekárovi, avšak NERIADIŤ</w:t>
      </w:r>
      <w:r>
        <w:rPr>
          <w:lang w:val="sk-SK"/>
        </w:rPr>
        <w:t xml:space="preserve"> MOTOROVÉ VOZIDLO</w:t>
      </w:r>
      <w:r w:rsidRPr="003D20A4">
        <w:rPr>
          <w:lang w:val="sk-SK"/>
        </w:rPr>
        <w:t>, pretože môže dôjsť k </w:t>
      </w:r>
      <w:proofErr w:type="spellStart"/>
      <w:r w:rsidRPr="003D20A4">
        <w:rPr>
          <w:lang w:val="sk-SK"/>
        </w:rPr>
        <w:t>sedácii</w:t>
      </w:r>
      <w:proofErr w:type="spellEnd"/>
      <w:r w:rsidRPr="003D20A4">
        <w:rPr>
          <w:lang w:val="sk-SK"/>
        </w:rPr>
        <w:t>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3D20A4">
        <w:rPr>
          <w:lang w:val="sk-SK"/>
        </w:rPr>
        <w:t>Po použití si dôkladne si umyť ruky a exponovanú kožu.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Ľudia s citlivou pokožkou alebo v nepretržitom kontakte s týmto veterinárnym liekom majú nosiť nepriepustné rukavice.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Vyhýbať sa kontaktu s očami.</w:t>
      </w:r>
    </w:p>
    <w:p w:rsidR="00A338D1" w:rsidRPr="00410B35" w:rsidRDefault="00A338D1" w:rsidP="00A338D1">
      <w:pPr>
        <w:spacing w:line="240" w:lineRule="auto"/>
        <w:rPr>
          <w:lang w:val="sk-SK"/>
        </w:rPr>
      </w:pPr>
      <w:r w:rsidRPr="00410B35">
        <w:rPr>
          <w:lang w:val="sk-SK"/>
        </w:rPr>
        <w:t>Ak dôjde k náhodnému kontaktu s očami, jemne vypláchnuť pod tečúcou vodou po dobu 15 minút a ak podráždenie pretrváva, vyhľadať lekársku pomoc.</w:t>
      </w:r>
    </w:p>
    <w:p w:rsidR="00A338D1" w:rsidRPr="00410B35" w:rsidRDefault="00A338D1" w:rsidP="00A338D1">
      <w:pPr>
        <w:spacing w:line="240" w:lineRule="auto"/>
        <w:rPr>
          <w:szCs w:val="22"/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A583A">
        <w:rPr>
          <w:szCs w:val="22"/>
          <w:u w:val="single"/>
          <w:lang w:val="sk-SK"/>
        </w:rPr>
        <w:t>Gravidita a laktácia:</w:t>
      </w:r>
    </w:p>
    <w:p w:rsidR="00A338D1" w:rsidRPr="00CA583A" w:rsidRDefault="00A338D1" w:rsidP="00A338D1">
      <w:pPr>
        <w:rPr>
          <w:lang w:val="sk-SK"/>
        </w:rPr>
      </w:pPr>
      <w:r w:rsidRPr="00CA583A">
        <w:rPr>
          <w:szCs w:val="22"/>
          <w:lang w:val="sk-SK"/>
        </w:rPr>
        <w:t>Bezpečnosť veterinárneho lieku nebola u cieľových druhov skúmaná počas gravidity a laktácie. Použiť len po zhodnotení prínosu/rizika zodpovedným veterinárnym lekárom.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CA583A">
        <w:rPr>
          <w:lang w:val="sk-SK"/>
        </w:rPr>
        <w:t xml:space="preserve">Pozri tiež časť o nežiaducich účinkoch týkajúcu sa porúch </w:t>
      </w:r>
      <w:proofErr w:type="spellStart"/>
      <w:r w:rsidRPr="00CA583A">
        <w:rPr>
          <w:lang w:val="sk-SK"/>
        </w:rPr>
        <w:t>fertility</w:t>
      </w:r>
      <w:proofErr w:type="spellEnd"/>
      <w:r w:rsidRPr="00CA583A">
        <w:rPr>
          <w:lang w:val="sk-SK"/>
        </w:rPr>
        <w:t xml:space="preserve"> u kobýl.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A583A">
        <w:rPr>
          <w:szCs w:val="22"/>
          <w:u w:val="single"/>
          <w:lang w:val="sk-SK"/>
        </w:rPr>
        <w:t>Liekové interakcie a iné formy vzájomného pôsobenia:</w:t>
      </w:r>
    </w:p>
    <w:p w:rsidR="00A338D1" w:rsidRPr="00CA583A" w:rsidRDefault="00A338D1" w:rsidP="00A338D1">
      <w:pPr>
        <w:spacing w:line="240" w:lineRule="auto"/>
        <w:rPr>
          <w:lang w:val="sk-SK"/>
        </w:rPr>
      </w:pPr>
      <w:proofErr w:type="spellStart"/>
      <w:r w:rsidRPr="00CA583A">
        <w:rPr>
          <w:lang w:val="sk-SK"/>
        </w:rPr>
        <w:t>Acepromazín</w:t>
      </w:r>
      <w:proofErr w:type="spellEnd"/>
      <w:r w:rsidRPr="00CA583A">
        <w:rPr>
          <w:lang w:val="sk-SK"/>
        </w:rPr>
        <w:t xml:space="preserve"> zosilňuje účinok centrálne utlmujúcich liekov.</w:t>
      </w:r>
    </w:p>
    <w:p w:rsidR="00A338D1" w:rsidRPr="00CA583A" w:rsidRDefault="00A338D1" w:rsidP="00A338D1">
      <w:pPr>
        <w:spacing w:line="240" w:lineRule="auto"/>
        <w:rPr>
          <w:lang w:val="sk-SK"/>
        </w:rPr>
      </w:pPr>
      <w:r w:rsidRPr="00CA583A">
        <w:rPr>
          <w:lang w:val="sk-SK"/>
        </w:rPr>
        <w:t xml:space="preserve">Má sa vyhnúť súbežnému podávaniu alebo podávaniu zvieratám nedávno liečeným organofosfátmi alebo </w:t>
      </w:r>
      <w:proofErr w:type="spellStart"/>
      <w:r w:rsidRPr="00CA583A">
        <w:rPr>
          <w:lang w:val="sk-SK"/>
        </w:rPr>
        <w:t>prokaínhydrochloridom</w:t>
      </w:r>
      <w:proofErr w:type="spellEnd"/>
      <w:r w:rsidRPr="00CA583A">
        <w:rPr>
          <w:lang w:val="sk-SK"/>
        </w:rPr>
        <w:t xml:space="preserve"> (lokálne anestetikum), pretože tieto molekuly zvyšujú toxický účinok </w:t>
      </w:r>
      <w:proofErr w:type="spellStart"/>
      <w:r w:rsidRPr="00CA583A">
        <w:rPr>
          <w:lang w:val="sk-SK"/>
        </w:rPr>
        <w:t>acepromazínu</w:t>
      </w:r>
      <w:proofErr w:type="spellEnd"/>
      <w:r w:rsidRPr="00CA583A">
        <w:rPr>
          <w:lang w:val="sk-SK"/>
        </w:rPr>
        <w:t xml:space="preserve">. </w:t>
      </w:r>
    </w:p>
    <w:p w:rsidR="00A338D1" w:rsidRPr="00CA583A" w:rsidRDefault="00A338D1" w:rsidP="00A338D1">
      <w:pPr>
        <w:spacing w:line="240" w:lineRule="auto"/>
        <w:rPr>
          <w:lang w:val="sk-SK"/>
        </w:rPr>
      </w:pPr>
      <w:r w:rsidRPr="00CA583A">
        <w:rPr>
          <w:lang w:val="sk-SK"/>
        </w:rPr>
        <w:t xml:space="preserve">Keďže </w:t>
      </w:r>
      <w:proofErr w:type="spellStart"/>
      <w:r w:rsidRPr="00CA583A">
        <w:rPr>
          <w:lang w:val="sk-SK"/>
        </w:rPr>
        <w:t>acepromazín</w:t>
      </w:r>
      <w:proofErr w:type="spellEnd"/>
      <w:r w:rsidRPr="00CA583A">
        <w:rPr>
          <w:lang w:val="sk-SK"/>
        </w:rPr>
        <w:t xml:space="preserve"> znižuje tonus sympatického nervového systému, nemá sa prevádzať súbežná liečba liekmi znižujúcimi krvný tlak. </w:t>
      </w:r>
    </w:p>
    <w:p w:rsidR="00A338D1" w:rsidRPr="00CA583A" w:rsidRDefault="00A338D1" w:rsidP="00A338D1">
      <w:pPr>
        <w:spacing w:line="240" w:lineRule="auto"/>
        <w:rPr>
          <w:lang w:val="sk-SK"/>
        </w:rPr>
      </w:pPr>
      <w:proofErr w:type="spellStart"/>
      <w:r w:rsidRPr="00CA583A">
        <w:rPr>
          <w:lang w:val="sk-SK"/>
        </w:rPr>
        <w:t>Antacidá</w:t>
      </w:r>
      <w:proofErr w:type="spellEnd"/>
      <w:r w:rsidRPr="00CA583A">
        <w:rPr>
          <w:lang w:val="sk-SK"/>
        </w:rPr>
        <w:t xml:space="preserve"> môžu spôsobiť zníženie </w:t>
      </w:r>
      <w:proofErr w:type="spellStart"/>
      <w:r w:rsidRPr="00CA583A">
        <w:rPr>
          <w:lang w:val="sk-SK"/>
        </w:rPr>
        <w:t>gastrointestinálnej</w:t>
      </w:r>
      <w:proofErr w:type="spellEnd"/>
      <w:r w:rsidRPr="00CA583A">
        <w:rPr>
          <w:lang w:val="sk-SK"/>
        </w:rPr>
        <w:t xml:space="preserve"> absorpcie </w:t>
      </w:r>
      <w:proofErr w:type="spellStart"/>
      <w:r w:rsidRPr="00CA583A">
        <w:rPr>
          <w:lang w:val="sk-SK"/>
        </w:rPr>
        <w:t>acepromazínu</w:t>
      </w:r>
      <w:proofErr w:type="spellEnd"/>
      <w:r w:rsidRPr="00CA583A">
        <w:rPr>
          <w:lang w:val="sk-SK"/>
        </w:rPr>
        <w:t xml:space="preserve"> po perorálnom podaní. </w:t>
      </w:r>
    </w:p>
    <w:p w:rsidR="00A338D1" w:rsidRPr="00CA583A" w:rsidRDefault="00A338D1" w:rsidP="00A338D1">
      <w:pPr>
        <w:spacing w:line="240" w:lineRule="auto"/>
        <w:rPr>
          <w:lang w:val="sk-SK"/>
        </w:rPr>
      </w:pPr>
      <w:r w:rsidRPr="00CA583A">
        <w:rPr>
          <w:lang w:val="sk-SK"/>
        </w:rPr>
        <w:t xml:space="preserve">Opiáty a adrenalín môžu zvýšiť </w:t>
      </w:r>
      <w:proofErr w:type="spellStart"/>
      <w:r w:rsidRPr="00CA583A">
        <w:rPr>
          <w:lang w:val="sk-SK"/>
        </w:rPr>
        <w:t>hypotenzné</w:t>
      </w:r>
      <w:proofErr w:type="spellEnd"/>
      <w:r w:rsidRPr="00CA583A">
        <w:rPr>
          <w:lang w:val="sk-SK"/>
        </w:rPr>
        <w:t xml:space="preserve"> účinky </w:t>
      </w:r>
      <w:proofErr w:type="spellStart"/>
      <w:r w:rsidRPr="00CA583A">
        <w:rPr>
          <w:lang w:val="sk-SK"/>
        </w:rPr>
        <w:t>acepromazínu</w:t>
      </w:r>
      <w:proofErr w:type="spellEnd"/>
      <w:r w:rsidRPr="00CA583A">
        <w:rPr>
          <w:lang w:val="sk-SK"/>
        </w:rPr>
        <w:t>.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A583A">
        <w:rPr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CA583A">
        <w:rPr>
          <w:szCs w:val="22"/>
          <w:u w:val="single"/>
          <w:lang w:val="sk-SK"/>
        </w:rPr>
        <w:t>antidotá</w:t>
      </w:r>
      <w:proofErr w:type="spellEnd"/>
      <w:r w:rsidRPr="00CA583A">
        <w:rPr>
          <w:szCs w:val="22"/>
          <w:u w:val="single"/>
          <w:lang w:val="sk-SK"/>
        </w:rPr>
        <w:t>):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410B35">
        <w:rPr>
          <w:lang w:val="sk-SK"/>
        </w:rPr>
        <w:t xml:space="preserve">Predávkovanie má za následok skorší začiatok </w:t>
      </w:r>
      <w:proofErr w:type="spellStart"/>
      <w:r w:rsidRPr="00410B35">
        <w:rPr>
          <w:lang w:val="sk-SK"/>
        </w:rPr>
        <w:t>sedačných</w:t>
      </w:r>
      <w:proofErr w:type="spellEnd"/>
      <w:r w:rsidRPr="00410B35">
        <w:rPr>
          <w:lang w:val="sk-SK"/>
        </w:rPr>
        <w:t xml:space="preserve"> príznakov a predĺžený účinok. Toxické účinky sú </w:t>
      </w:r>
      <w:proofErr w:type="spellStart"/>
      <w:r w:rsidRPr="00410B35">
        <w:rPr>
          <w:lang w:val="sk-SK"/>
        </w:rPr>
        <w:t>ataxia</w:t>
      </w:r>
      <w:proofErr w:type="spellEnd"/>
      <w:r w:rsidRPr="00410B35">
        <w:rPr>
          <w:lang w:val="sk-SK"/>
        </w:rPr>
        <w:t>, hypotenzia, hypotermia a účinky na centrálny nervový systém (</w:t>
      </w:r>
      <w:proofErr w:type="spellStart"/>
      <w:r w:rsidRPr="00410B35">
        <w:rPr>
          <w:lang w:val="sk-SK"/>
        </w:rPr>
        <w:t>extrapyramidálne</w:t>
      </w:r>
      <w:proofErr w:type="spellEnd"/>
      <w:r w:rsidRPr="00410B35">
        <w:rPr>
          <w:lang w:val="sk-SK"/>
        </w:rPr>
        <w:t xml:space="preserve">). Na neutralizáciu kardiovaskulárnych účinkov sa môže použiť </w:t>
      </w:r>
      <w:proofErr w:type="spellStart"/>
      <w:r w:rsidRPr="00410B35">
        <w:rPr>
          <w:lang w:val="sk-SK"/>
        </w:rPr>
        <w:t>noradrenalín</w:t>
      </w:r>
      <w:proofErr w:type="spellEnd"/>
      <w:r w:rsidRPr="00410B35">
        <w:rPr>
          <w:lang w:val="sk-SK"/>
        </w:rPr>
        <w:t>, nie však adrenalín.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ind w:left="567" w:hanging="567"/>
        <w:rPr>
          <w:i/>
          <w:color w:val="000000"/>
          <w:lang w:val="sk-SK"/>
        </w:rPr>
      </w:pPr>
      <w:r w:rsidRPr="00CA583A">
        <w:rPr>
          <w:b/>
          <w:szCs w:val="22"/>
          <w:lang w:val="sk-SK"/>
        </w:rPr>
        <w:t>13.</w:t>
      </w:r>
      <w:r w:rsidRPr="00CA583A">
        <w:rPr>
          <w:b/>
          <w:szCs w:val="22"/>
          <w:lang w:val="sk-SK"/>
        </w:rPr>
        <w:tab/>
        <w:t>OSOBITNÉ BEZPEČNOSTNÉ OPATRENIA NA ZNEŠKODNENIE NEPOUŽITÉHO LIEKU(-OV) ALEBO ODPADOVÉHO MATERIÁLU, V PRÍPADE POTREBY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ind w:left="567" w:hanging="567"/>
        <w:rPr>
          <w:color w:val="000000"/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ind w:right="-318"/>
        <w:jc w:val="both"/>
        <w:rPr>
          <w:i/>
          <w:color w:val="000000"/>
          <w:lang w:val="sk-SK"/>
        </w:rPr>
      </w:pPr>
      <w:r w:rsidRPr="00CA583A">
        <w:rPr>
          <w:color w:val="000000"/>
          <w:lang w:val="sk-SK"/>
        </w:rPr>
        <w:t>Každý nepoužitý veterinárny liek alebo odpadové materiály z tohto veterinárneho lieku musia byť zlikvidované v súlade s miestnymi požiadavkami.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ind w:right="-318"/>
        <w:rPr>
          <w:snapToGrid w:val="0"/>
          <w:color w:val="000000"/>
          <w:lang w:val="sk-SK"/>
        </w:rPr>
      </w:pPr>
    </w:p>
    <w:p w:rsidR="00A338D1" w:rsidRPr="00CA583A" w:rsidRDefault="00A338D1" w:rsidP="00A338D1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A583A">
        <w:rPr>
          <w:b/>
          <w:szCs w:val="22"/>
          <w:lang w:val="sk-SK"/>
        </w:rPr>
        <w:t>14.</w:t>
      </w:r>
      <w:r w:rsidRPr="00CA583A">
        <w:rPr>
          <w:b/>
          <w:szCs w:val="22"/>
          <w:lang w:val="sk-SK"/>
        </w:rPr>
        <w:tab/>
        <w:t>DÁTUM POSLEDNÉHO SCHVÁLENIA TEXTU V PÍSOMNEJ INFORMÁCII PRE POUŽÍVATEĽOV</w:t>
      </w: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CA583A" w:rsidRDefault="00A338D1" w:rsidP="00A338D1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338D1" w:rsidRPr="00410B35" w:rsidRDefault="00A338D1" w:rsidP="00A338D1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CA583A">
        <w:rPr>
          <w:b/>
          <w:szCs w:val="22"/>
          <w:lang w:val="sk-SK"/>
        </w:rPr>
        <w:t>15.</w:t>
      </w:r>
      <w:r w:rsidRPr="00CA583A">
        <w:rPr>
          <w:b/>
          <w:szCs w:val="22"/>
          <w:lang w:val="sk-SK"/>
        </w:rPr>
        <w:tab/>
        <w:t>ĎALŠIE INFORMÁCIE</w:t>
      </w:r>
    </w:p>
    <w:p w:rsidR="00A338D1" w:rsidRPr="00410B35" w:rsidRDefault="00A338D1" w:rsidP="00A338D1">
      <w:pPr>
        <w:tabs>
          <w:tab w:val="clear" w:pos="567"/>
        </w:tabs>
        <w:spacing w:line="240" w:lineRule="auto"/>
        <w:rPr>
          <w:lang w:val="sk-SK"/>
        </w:rPr>
      </w:pP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after="248" w:line="259" w:lineRule="auto"/>
        <w:ind w:left="-15" w:right="-15"/>
        <w:rPr>
          <w:lang w:val="sk-SK"/>
        </w:rPr>
      </w:pPr>
      <w:r w:rsidRPr="00410B35">
        <w:rPr>
          <w:lang w:val="sk-SK"/>
        </w:rPr>
        <w:t>Biela LLDPE (lineárny polyetylén s nízkou hustotou) naplnená perorálna striekačka v rôznych veľkostiach: 4 ml obsah</w:t>
      </w:r>
      <w:r w:rsidR="00E64017">
        <w:rPr>
          <w:lang w:val="sk-SK"/>
        </w:rPr>
        <w:t>ujúce 3 gramy, 8 ml obsahujúce 6 gramov, 14 ml obsahujúce 10 gramov a 14 ml obsahujúce</w:t>
      </w:r>
      <w:r w:rsidRPr="00410B35">
        <w:rPr>
          <w:lang w:val="sk-SK"/>
        </w:rPr>
        <w:t xml:space="preserve"> 12 gramov. 3 a 6-gramové striekačky majú dávkovací krúžok odstupňovaný každých 0,25, 0,5 a 1 gram. 10 a 12-gramové striekačky majú dávkovací krúžok odstupňovaný každých 0,5 a 1 gram. Striekačky sú tesne uzavreté LLDPE viečkom. Každá naplnená perorálna striekačka je zabalená v kartónovej škatuli.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u w:val="single"/>
          <w:lang w:val="sk-SK"/>
        </w:rPr>
      </w:pPr>
      <w:r w:rsidRPr="00410B35">
        <w:rPr>
          <w:u w:val="single"/>
          <w:lang w:val="sk-SK"/>
        </w:rPr>
        <w:t>Veľkosti balenia: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410B35">
        <w:rPr>
          <w:lang w:val="sk-SK"/>
        </w:rPr>
        <w:t>Škatuľa s 1 naplnenou perorálnou striekačkou obsahujúcou 3 g, 6 </w:t>
      </w:r>
      <w:r>
        <w:rPr>
          <w:lang w:val="sk-SK"/>
        </w:rPr>
        <w:t>g</w:t>
      </w:r>
      <w:r w:rsidRPr="00410B35">
        <w:rPr>
          <w:lang w:val="sk-SK"/>
        </w:rPr>
        <w:t>, 10 g alebo 12 g.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proofErr w:type="spellStart"/>
      <w:r w:rsidRPr="00410B35">
        <w:rPr>
          <w:lang w:val="sk-SK"/>
        </w:rPr>
        <w:lastRenderedPageBreak/>
        <w:t>Multibalenie</w:t>
      </w:r>
      <w:proofErr w:type="spellEnd"/>
      <w:r w:rsidRPr="00410B35">
        <w:rPr>
          <w:lang w:val="sk-SK"/>
        </w:rPr>
        <w:t xml:space="preserve"> s 12 škatuľami, z ktorých každá obsahuje 1 naplnenú orálnu striekačku obsahujúcu 3 g, 6 g, 10 g alebo 12 g.</w:t>
      </w:r>
    </w:p>
    <w:p w:rsidR="00A338D1" w:rsidRPr="00410B35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p w:rsid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 w:rsidRPr="00CA583A">
        <w:rPr>
          <w:lang w:val="sk-SK"/>
        </w:rPr>
        <w:t>Nie všetky veľkosti balenia sa musia uvádzať na trh.</w:t>
      </w:r>
    </w:p>
    <w:p w:rsid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</w:p>
    <w:p w:rsid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>
        <w:rPr>
          <w:lang w:val="sk-SK"/>
        </w:rPr>
        <w:t>Len pre zvieratá.</w:t>
      </w:r>
    </w:p>
    <w:p w:rsidR="001E7479" w:rsidRPr="00A338D1" w:rsidRDefault="00A338D1" w:rsidP="00A338D1">
      <w:pPr>
        <w:tabs>
          <w:tab w:val="center" w:pos="4536"/>
          <w:tab w:val="center" w:pos="8556"/>
          <w:tab w:val="right" w:pos="9350"/>
        </w:tabs>
        <w:spacing w:line="259" w:lineRule="auto"/>
        <w:ind w:left="-17" w:right="-17"/>
        <w:rPr>
          <w:lang w:val="sk-SK"/>
        </w:rPr>
      </w:pPr>
      <w:r>
        <w:rPr>
          <w:lang w:val="sk-SK"/>
        </w:rPr>
        <w:t>Výdaj lieku je viazaný na veterinárny predpis.</w:t>
      </w:r>
    </w:p>
    <w:sectPr w:rsidR="001E7479" w:rsidRPr="00A338D1" w:rsidSect="00386E90">
      <w:footerReference w:type="default" r:id="rId8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8AD" w:rsidRDefault="002728AD" w:rsidP="00A338D1">
      <w:pPr>
        <w:spacing w:line="240" w:lineRule="auto"/>
      </w:pPr>
      <w:r>
        <w:separator/>
      </w:r>
    </w:p>
  </w:endnote>
  <w:endnote w:type="continuationSeparator" w:id="0">
    <w:p w:rsidR="002728AD" w:rsidRDefault="002728AD" w:rsidP="00A33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7270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B389F" w:rsidRPr="00747A6C" w:rsidRDefault="00DB389F">
        <w:pPr>
          <w:pStyle w:val="Pta"/>
          <w:jc w:val="center"/>
          <w:rPr>
            <w:sz w:val="20"/>
          </w:rPr>
        </w:pPr>
        <w:r w:rsidRPr="00747A6C">
          <w:rPr>
            <w:sz w:val="20"/>
          </w:rPr>
          <w:fldChar w:fldCharType="begin"/>
        </w:r>
        <w:r w:rsidRPr="00747A6C">
          <w:rPr>
            <w:sz w:val="20"/>
          </w:rPr>
          <w:instrText>PAGE   \* MERGEFORMAT</w:instrText>
        </w:r>
        <w:r w:rsidRPr="00747A6C">
          <w:rPr>
            <w:sz w:val="20"/>
          </w:rPr>
          <w:fldChar w:fldCharType="separate"/>
        </w:r>
        <w:r w:rsidR="00545F13" w:rsidRPr="00545F13">
          <w:rPr>
            <w:noProof/>
            <w:sz w:val="20"/>
            <w:lang w:val="sk-SK"/>
          </w:rPr>
          <w:t>6</w:t>
        </w:r>
        <w:r w:rsidRPr="00747A6C">
          <w:rPr>
            <w:sz w:val="20"/>
          </w:rPr>
          <w:fldChar w:fldCharType="end"/>
        </w:r>
      </w:p>
    </w:sdtContent>
  </w:sdt>
  <w:p w:rsidR="00DB389F" w:rsidRDefault="00DB38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8AD" w:rsidRDefault="002728AD" w:rsidP="00A338D1">
      <w:pPr>
        <w:spacing w:line="240" w:lineRule="auto"/>
      </w:pPr>
      <w:r>
        <w:separator/>
      </w:r>
    </w:p>
  </w:footnote>
  <w:footnote w:type="continuationSeparator" w:id="0">
    <w:p w:rsidR="002728AD" w:rsidRDefault="002728AD" w:rsidP="00A338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D1"/>
    <w:rsid w:val="001E7479"/>
    <w:rsid w:val="002728AD"/>
    <w:rsid w:val="00386E90"/>
    <w:rsid w:val="00455D50"/>
    <w:rsid w:val="00545F13"/>
    <w:rsid w:val="006C29EC"/>
    <w:rsid w:val="00747A6C"/>
    <w:rsid w:val="00A338D1"/>
    <w:rsid w:val="00C93363"/>
    <w:rsid w:val="00DA4B68"/>
    <w:rsid w:val="00DB389F"/>
    <w:rsid w:val="00E64017"/>
    <w:rsid w:val="00F2010B"/>
    <w:rsid w:val="00FD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8298"/>
  <w15:chartTrackingRefBased/>
  <w15:docId w15:val="{95BA5DD6-72D0-4526-9CBA-A8124F42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38D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A338D1"/>
    <w:rPr>
      <w:sz w:val="16"/>
    </w:rPr>
  </w:style>
  <w:style w:type="paragraph" w:styleId="Zarkazkladnhotextu">
    <w:name w:val="Body Text Indent"/>
    <w:basedOn w:val="Normlny"/>
    <w:link w:val="ZarkazkladnhotextuChar"/>
    <w:rsid w:val="00A338D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A338D1"/>
    <w:rPr>
      <w:rFonts w:ascii="Times New Roman" w:eastAsia="Times New Roman" w:hAnsi="Times New Roman" w:cs="Times New Roman"/>
      <w:b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338D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D1"/>
    <w:rPr>
      <w:rFonts w:ascii="Times New Roman" w:eastAsia="Times New Roman" w:hAnsi="Times New Roman" w:cs="Times New Roman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A338D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D1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dcterms:created xsi:type="dcterms:W3CDTF">2018-02-02T13:45:00Z</dcterms:created>
  <dcterms:modified xsi:type="dcterms:W3CDTF">2022-01-28T10:07:00Z</dcterms:modified>
</cp:coreProperties>
</file>