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8A" w:rsidRDefault="0018338A" w:rsidP="0018338A">
      <w:pPr>
        <w:spacing w:after="0" w:line="259" w:lineRule="auto"/>
        <w:ind w:left="0" w:right="1930" w:firstLine="0"/>
        <w:jc w:val="righ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SÚHRN CHARAKTERISTICKÝCH VLASTNOSTÍ LIEKU </w:t>
      </w:r>
    </w:p>
    <w:p w:rsidR="0018338A" w:rsidRDefault="0018338A" w:rsidP="0018338A">
      <w:pPr>
        <w:spacing w:after="0" w:line="259" w:lineRule="auto"/>
        <w:ind w:left="0" w:right="1930" w:firstLine="0"/>
        <w:jc w:val="right"/>
        <w:rPr>
          <w:noProof/>
          <w:lang w:val="sk-SK"/>
        </w:rPr>
      </w:pPr>
    </w:p>
    <w:p w:rsidR="0018338A" w:rsidRPr="00F044A7" w:rsidRDefault="0018338A" w:rsidP="0018338A">
      <w:pPr>
        <w:spacing w:after="0" w:line="259" w:lineRule="auto"/>
        <w:ind w:left="0" w:right="193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1. </w:t>
      </w:r>
      <w:r w:rsidRPr="00F044A7">
        <w:rPr>
          <w:b/>
          <w:noProof/>
          <w:lang w:val="sk-SK"/>
        </w:rPr>
        <w:tab/>
        <w:t xml:space="preserve">NÁZOV VETERINÁRNEHO LIEKU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STENOROL CRYPTO 0,5 mg/ml perorálny roztok pre teľatá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3081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2. </w:t>
      </w:r>
      <w:r w:rsidRPr="00F044A7">
        <w:rPr>
          <w:noProof/>
          <w:lang w:val="sk-SK"/>
        </w:rPr>
        <w:tab/>
        <w:t>KVALITATÍVNE A KVANTITATÍVNE ZLOŽENIE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>Jeden ml obsahuje: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4" w:line="251" w:lineRule="auto"/>
        <w:ind w:left="-4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>Účinná látka:</w:t>
      </w:r>
    </w:p>
    <w:p w:rsidR="0018338A" w:rsidRPr="00F044A7" w:rsidRDefault="0018338A" w:rsidP="0018338A">
      <w:pPr>
        <w:tabs>
          <w:tab w:val="left" w:pos="3119"/>
        </w:tabs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Halofuginón (ako laktát)</w:t>
      </w:r>
      <w:r>
        <w:rPr>
          <w:noProof/>
          <w:lang w:val="sk-SK"/>
        </w:rPr>
        <w:tab/>
      </w:r>
      <w:r w:rsidRPr="00F044A7">
        <w:rPr>
          <w:noProof/>
          <w:lang w:val="sk-SK"/>
        </w:rPr>
        <w:t>0,50 mg</w:t>
      </w:r>
    </w:p>
    <w:p w:rsidR="0018338A" w:rsidRPr="00F044A7" w:rsidRDefault="0018338A" w:rsidP="0018338A">
      <w:pPr>
        <w:tabs>
          <w:tab w:val="left" w:pos="3119"/>
        </w:tabs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Ekvivalent 0,6086 mg halofuginón-laktátu </w:t>
      </w:r>
    </w:p>
    <w:p w:rsidR="0018338A" w:rsidRPr="00F044A7" w:rsidRDefault="0018338A" w:rsidP="0018338A">
      <w:pPr>
        <w:tabs>
          <w:tab w:val="left" w:pos="3119"/>
        </w:tabs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left" w:pos="3119"/>
        </w:tabs>
        <w:spacing w:after="4" w:line="251" w:lineRule="auto"/>
        <w:ind w:left="-4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Pomocné látky: </w:t>
      </w:r>
    </w:p>
    <w:p w:rsidR="0018338A" w:rsidRPr="00F044A7" w:rsidRDefault="0018338A" w:rsidP="0018338A">
      <w:pPr>
        <w:tabs>
          <w:tab w:val="left" w:pos="3119"/>
        </w:tabs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Kyselina benzoová (E 210)</w:t>
      </w:r>
      <w:r w:rsidRPr="00F044A7">
        <w:rPr>
          <w:noProof/>
          <w:lang w:val="sk-SK"/>
        </w:rPr>
        <w:tab/>
        <w:t xml:space="preserve">1,00 mg </w:t>
      </w:r>
    </w:p>
    <w:p w:rsidR="0018338A" w:rsidRPr="00F044A7" w:rsidRDefault="0018338A" w:rsidP="0018338A">
      <w:pPr>
        <w:tabs>
          <w:tab w:val="left" w:pos="3119"/>
        </w:tabs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>Tartrazín (E 102)</w:t>
      </w:r>
      <w:r w:rsidRPr="00F044A7">
        <w:rPr>
          <w:noProof/>
          <w:lang w:val="sk-SK"/>
        </w:rPr>
        <w:tab/>
        <w:t>0,03 mg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Úplný zoznam pomocných látok je uvedený v časti 6.1.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560"/>
        </w:tabs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3. </w:t>
      </w:r>
      <w:r w:rsidRPr="00F044A7">
        <w:rPr>
          <w:noProof/>
          <w:lang w:val="sk-SK"/>
        </w:rPr>
        <w:tab/>
        <w:t>LIEKOVÁ FORMA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Perorálny roztok.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Priehľadný roztok intenzívnej zeleno-žltej farby.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552"/>
        </w:tabs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4. </w:t>
      </w:r>
      <w:r w:rsidRPr="00F044A7">
        <w:rPr>
          <w:noProof/>
          <w:lang w:val="sk-SK"/>
        </w:rPr>
        <w:tab/>
        <w:t>KLINICKÉ ÚDAJE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Cieľové druhy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Hovädzí dobytok (novonarodené teľatá). 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Indikácie na použitie so špecifikovaním cieľových druhov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943"/>
        <w:rPr>
          <w:noProof/>
          <w:lang w:val="sk-SK"/>
        </w:rPr>
      </w:pPr>
      <w:r w:rsidRPr="00F044A7">
        <w:rPr>
          <w:noProof/>
          <w:lang w:val="sk-SK"/>
        </w:rPr>
        <w:t>U novo</w:t>
      </w:r>
      <w:r>
        <w:rPr>
          <w:noProof/>
          <w:lang w:val="sk-SK"/>
        </w:rPr>
        <w:t>na</w:t>
      </w:r>
      <w:r w:rsidRPr="00F044A7">
        <w:rPr>
          <w:noProof/>
          <w:lang w:val="sk-SK"/>
        </w:rPr>
        <w:t>rodených teliat:</w:t>
      </w:r>
    </w:p>
    <w:p w:rsidR="0018338A" w:rsidRPr="00F044A7" w:rsidRDefault="0018338A" w:rsidP="0018338A">
      <w:pPr>
        <w:pStyle w:val="Odsekzoznamu"/>
        <w:numPr>
          <w:ilvl w:val="0"/>
          <w:numId w:val="3"/>
        </w:numPr>
        <w:ind w:right="943"/>
        <w:rPr>
          <w:noProof/>
          <w:lang w:val="sk-SK"/>
        </w:rPr>
      </w:pPr>
      <w:r w:rsidRPr="00F044A7">
        <w:rPr>
          <w:noProof/>
          <w:lang w:val="sk-SK"/>
        </w:rPr>
        <w:t xml:space="preserve">Prevencia hnačky spôsobenej diagnostikovanou kokcídiou </w:t>
      </w:r>
      <w:r w:rsidRPr="00F044A7">
        <w:rPr>
          <w:i/>
          <w:noProof/>
          <w:lang w:val="sk-SK"/>
        </w:rPr>
        <w:t>Cryptosporidium parvum</w:t>
      </w:r>
      <w:r w:rsidRPr="00F044A7">
        <w:rPr>
          <w:noProof/>
          <w:lang w:val="sk-SK"/>
        </w:rPr>
        <w:t xml:space="preserve">, na farmách s anamnézou  kryptosporidiózy. </w:t>
      </w:r>
    </w:p>
    <w:p w:rsidR="0018338A" w:rsidRPr="0018338A" w:rsidRDefault="0018338A" w:rsidP="0018338A">
      <w:pPr>
        <w:ind w:right="11" w:firstLine="696"/>
        <w:rPr>
          <w:noProof/>
          <w:lang w:val="sk-SK"/>
        </w:rPr>
      </w:pPr>
      <w:r w:rsidRPr="00F044A7">
        <w:rPr>
          <w:noProof/>
          <w:lang w:val="sk-SK"/>
        </w:rPr>
        <w:t xml:space="preserve">Podávanie má začať v prvých 24-48 hodinách života. </w:t>
      </w:r>
    </w:p>
    <w:p w:rsidR="0018338A" w:rsidRPr="00F044A7" w:rsidRDefault="0018338A" w:rsidP="0018338A">
      <w:pPr>
        <w:pStyle w:val="Odsekzoznamu"/>
        <w:numPr>
          <w:ilvl w:val="0"/>
          <w:numId w:val="3"/>
        </w:numPr>
        <w:ind w:right="286"/>
        <w:rPr>
          <w:noProof/>
          <w:lang w:val="sk-SK"/>
        </w:rPr>
      </w:pPr>
      <w:r w:rsidRPr="00F044A7">
        <w:rPr>
          <w:noProof/>
          <w:lang w:val="sk-SK"/>
        </w:rPr>
        <w:t xml:space="preserve">Zníženie výskytu hnačiek spôsobených diagnostikovanou kokcídiou </w:t>
      </w:r>
      <w:r w:rsidRPr="00F044A7">
        <w:rPr>
          <w:i/>
          <w:noProof/>
          <w:lang w:val="sk-SK"/>
        </w:rPr>
        <w:t xml:space="preserve">Cryptosporidium parvum </w:t>
      </w:r>
      <w:r w:rsidRPr="00F044A7">
        <w:rPr>
          <w:noProof/>
          <w:lang w:val="sk-SK"/>
        </w:rPr>
        <w:t xml:space="preserve"> Podávanie má začať do 24 hodín po vypuknutí hnačky.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 oboch prípadoch sa preukázalo zníženie vylučovania oocýst. 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Kontraindikácie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Nepoužívať, ak je žalúdok prázdny.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Nepoužívať v prípadoch hnačky trvajúcej viac než 24 hodín a u slabých zvierat.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Nepoužívať v prípadoch precitlivenosti na účinnú látku alebo na niektorú z pomocných látok.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Osobitné upozornenia pre každý cieľový druh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Nie sú. 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Osobitné bezpečnostné opatrenia na používanie </w:t>
      </w:r>
    </w:p>
    <w:p w:rsidR="0018338A" w:rsidRPr="00F044A7" w:rsidRDefault="0018338A" w:rsidP="0018338A">
      <w:pPr>
        <w:spacing w:after="0" w:line="259" w:lineRule="auto"/>
        <w:ind w:left="2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lastRenderedPageBreak/>
        <w:t xml:space="preserve"> </w:t>
      </w:r>
    </w:p>
    <w:p w:rsidR="0018338A" w:rsidRPr="00F044A7" w:rsidRDefault="0018338A" w:rsidP="0018338A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Osobitné bezpečnostné opatrenia na používanie u zvierat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Aplikovať </w:t>
      </w:r>
      <w:r>
        <w:rPr>
          <w:noProof/>
          <w:lang w:val="sk-SK"/>
        </w:rPr>
        <w:t xml:space="preserve">len </w:t>
      </w:r>
      <w:r w:rsidRPr="00F044A7">
        <w:rPr>
          <w:noProof/>
          <w:lang w:val="sk-SK"/>
        </w:rPr>
        <w:t>po kŕmení kolostrom alebo mliekom alebo po kŕmení mliečnou náhra</w:t>
      </w:r>
      <w:r>
        <w:rPr>
          <w:noProof/>
          <w:lang w:val="sk-SK"/>
        </w:rPr>
        <w:t>dou</w:t>
      </w:r>
      <w:r w:rsidRPr="00F044A7">
        <w:rPr>
          <w:noProof/>
          <w:lang w:val="sk-SK"/>
        </w:rPr>
        <w:t xml:space="preserve"> použitím vhodnej pomôcky na perorálne podanie. Pri liečbe anorektických teliat sa má liek podávať v pol litri elektrolytov</w:t>
      </w:r>
      <w:r>
        <w:rPr>
          <w:noProof/>
          <w:lang w:val="sk-SK"/>
        </w:rPr>
        <w:t>ého</w:t>
      </w:r>
      <w:r w:rsidRPr="00F044A7">
        <w:rPr>
          <w:noProof/>
          <w:lang w:val="sk-SK"/>
        </w:rPr>
        <w:t xml:space="preserve"> roztoku. Zvieratá majú dostať dostatočné množstvo kolostra podľa správnej chovateľskej praxe. 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Osobitné bezpečnostné opatrenia, ktoré má urobiť osoba podávajúca liek zvieratám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Tento veterinárny liek obsahuje halofuginón, ktorý môže u niektorých ľudí spôsobiť alergickú reakciu. </w:t>
      </w:r>
      <w:r w:rsidRPr="00F044A7">
        <w:rPr>
          <w:lang w:val="sk-SK"/>
        </w:rPr>
        <w:t xml:space="preserve">Ľudia so známou precitlivenosťou na </w:t>
      </w:r>
      <w:proofErr w:type="spellStart"/>
      <w:r w:rsidRPr="00F044A7">
        <w:rPr>
          <w:lang w:val="sk-SK"/>
        </w:rPr>
        <w:t>halofuginón</w:t>
      </w:r>
      <w:proofErr w:type="spellEnd"/>
      <w:r w:rsidRPr="00F044A7">
        <w:rPr>
          <w:lang w:val="sk-SK"/>
        </w:rPr>
        <w:t xml:space="preserve"> alebo ktorúkoľvek z pomocných látok, by mali veterinárny liek podávať s opatrnosťou.</w:t>
      </w:r>
      <w:r w:rsidRPr="00F044A7">
        <w:rPr>
          <w:noProof/>
          <w:lang w:val="sk-SK"/>
        </w:rPr>
        <w:t xml:space="preserve"> Opakovaný kontakt s liekom môže viesť ku kožným alergiám. 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Tento veterinárny liek môže dráždiť pokožku a oči a nie je možné vylúčiť systémovú toxicitu v prípade kontaktu s pokožkou.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Vyhýbať sa kontaktu lieku s pokožkou, okom alebo sliznicou.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Pri manipulácii s veterinárnym liekom používať osobné ochranné pomôcky skladajúce sa z ochranných rukavíc.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Po použití si umyť ruky.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V prípade kontaktu s pokožkou alebo očami, postihnuté miesto dôkladne </w:t>
      </w:r>
      <w:r>
        <w:rPr>
          <w:noProof/>
          <w:lang w:val="sk-SK"/>
        </w:rPr>
        <w:t>u</w:t>
      </w:r>
      <w:r w:rsidRPr="00F044A7">
        <w:rPr>
          <w:noProof/>
          <w:lang w:val="sk-SK"/>
        </w:rPr>
        <w:t>myť čistou vodou. Ak sa u vás po expozícii vyvinú príznaky ako napríklad kožná vyrážka alebo podráždenie očí, je nutné vyhľadať lekársku pomoc a lekárovi ukázať toto upouornenie. Opuch tváre, pier a očí alebo ťažkosti pri dýchaní sú závažnejšie príznaky a vyžadujú neodkladnú lekársku starostlivosť.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Nežiaduce účinky (frekvencia výskytu a závažnosť)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Vo veľmi zriedkavých prípadoch sa u ošetrených zvierat môže pozorovať zvýšenie intenzity hnačiek.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Frekvencia výskytu nežiaducich účinkov sa definuje použitím nasledujúceho pravidla: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veľmi časté (nežiaduce účinky sa prejavili u viac ako 1 z 10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časté (u viac ako 1 ale menej ako 10 zo 100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menej časté (u viac ako 1 ale menej ako 10 z 1 000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zriedkavé (u viac ako 1 ale menej ako 10 z 10 000 liečených 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veľmi zriedkavé (u menej ako 1 z 10 000 liečených zvierat, vrátane ojedinelých hlásení).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>Použitie počas gravidity,  laktácie, znášky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Neuplatňuje sa.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Liekové interakcie a iné formy vzájomného pôsobenia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Nie sú známe. </w:t>
      </w:r>
    </w:p>
    <w:p w:rsidR="0018338A" w:rsidRPr="00F044A7" w:rsidRDefault="0018338A" w:rsidP="0018338A">
      <w:pPr>
        <w:spacing w:after="6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numPr>
          <w:ilvl w:val="1"/>
          <w:numId w:val="2"/>
        </w:numPr>
        <w:spacing w:after="4" w:line="251" w:lineRule="auto"/>
        <w:ind w:left="720" w:hanging="720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Dávkovanie a spôsob podania lieku 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>
        <w:rPr>
          <w:noProof/>
          <w:lang w:val="sk-SK"/>
        </w:rPr>
        <w:t>Na</w:t>
      </w:r>
      <w:r w:rsidRPr="00F044A7">
        <w:rPr>
          <w:noProof/>
          <w:lang w:val="sk-SK"/>
        </w:rPr>
        <w:t xml:space="preserve"> perorálne po</w:t>
      </w:r>
      <w:r>
        <w:rPr>
          <w:noProof/>
          <w:lang w:val="sk-SK"/>
        </w:rPr>
        <w:t>danie</w:t>
      </w:r>
      <w:r w:rsidRPr="00F044A7">
        <w:rPr>
          <w:noProof/>
          <w:lang w:val="sk-SK"/>
        </w:rPr>
        <w:t xml:space="preserve"> u teliat po kŕmení.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Dávkovanie je: 100 µg halofuginónu/kg ž.hm./ jedenkrát denne počas 7 nasledujúcich dní t.j. 2 ml veterinárneho lieku/10 kg ž.hm./ jedenkrát denne počas 7 nasledujúcich dní.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Na zaistenie správnej dávky je nevyhnutné použiť buď striekačku alebo vhodnú pomôcku na perorálne podanie. 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C41C0B" w:rsidP="0018338A">
      <w:pPr>
        <w:ind w:left="-4" w:right="11"/>
        <w:rPr>
          <w:noProof/>
          <w:lang w:val="sk-SK"/>
        </w:rPr>
      </w:pPr>
      <w:r>
        <w:rPr>
          <w:noProof/>
          <w:lang w:val="sk-SK"/>
        </w:rPr>
        <w:t>Na</w:t>
      </w:r>
      <w:r w:rsidR="0018338A" w:rsidRPr="00F044A7">
        <w:rPr>
          <w:noProof/>
          <w:lang w:val="sk-SK"/>
        </w:rPr>
        <w:t xml:space="preserve">sledujúca liečba sa má vykonať každý deň v rovnakom čase.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lastRenderedPageBreak/>
        <w:t xml:space="preserve">Po liečbe prvého teľaťa musia byť liečené všetky ďalšie narodené teľatá. Musia byť liečené systematicky  tak dlho, kým pretrváva riziko hnačiek spôsobených </w:t>
      </w:r>
      <w:r w:rsidRPr="00F044A7">
        <w:rPr>
          <w:i/>
          <w:noProof/>
          <w:lang w:val="sk-SK"/>
        </w:rPr>
        <w:t>C. parvum</w:t>
      </w:r>
      <w:r w:rsidRPr="00F044A7">
        <w:rPr>
          <w:noProof/>
          <w:lang w:val="sk-SK"/>
        </w:rPr>
        <w:t xml:space="preserve">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ind w:left="-4"/>
        <w:rPr>
          <w:noProof/>
          <w:lang w:val="sk-SK"/>
        </w:rPr>
      </w:pPr>
      <w:r w:rsidRPr="00F044A7">
        <w:rPr>
          <w:noProof/>
          <w:lang w:val="sk-SK"/>
        </w:rPr>
        <w:t>4.10 Predávkovanie (príznaky, núdzové postupy, antidotá), ak sú potrebné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lang w:val="sk-SK"/>
        </w:rPr>
      </w:pPr>
      <w:r w:rsidRPr="00F044A7">
        <w:rPr>
          <w:lang w:val="sk-SK"/>
        </w:rPr>
        <w:t xml:space="preserve">Pretože príznaky toxicity sa môžu vyskytnúť pri dvojnásobnej terapeutickej dávke, je nevyhnutné prísne dodržiavať odporučené dávkovanie. Príznaky toxicity zahŕňajú hnačku, krv prítomnú vo fekáliách, pokles spotreby mlieka, dehydratáciu, apatiu a </w:t>
      </w:r>
      <w:proofErr w:type="spellStart"/>
      <w:r w:rsidRPr="00F044A7">
        <w:rPr>
          <w:lang w:val="sk-SK"/>
        </w:rPr>
        <w:t>prostráciu</w:t>
      </w:r>
      <w:proofErr w:type="spellEnd"/>
      <w:r w:rsidRPr="00F044A7">
        <w:rPr>
          <w:lang w:val="sk-SK"/>
        </w:rPr>
        <w:t xml:space="preserve">. Ak sa vyskytnú klinické príznaky pri predávkovaní, liečba musí byť ihneď zastavená a zviera nakŕmené </w:t>
      </w:r>
      <w:proofErr w:type="spellStart"/>
      <w:r w:rsidRPr="00F044A7">
        <w:rPr>
          <w:lang w:val="sk-SK"/>
        </w:rPr>
        <w:t>nemedikovaným</w:t>
      </w:r>
      <w:proofErr w:type="spellEnd"/>
      <w:r w:rsidRPr="00F044A7">
        <w:rPr>
          <w:lang w:val="sk-SK"/>
        </w:rPr>
        <w:t xml:space="preserve"> mliekom alebo mliečnou náhradou. Môže byť potrebná rehydratácia.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4" w:line="251" w:lineRule="auto"/>
        <w:ind w:left="-4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>4.11 Ochranná  lehota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Mäso a vnútornosti: 13 dní. 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2383"/>
        </w:tabs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5. </w:t>
      </w:r>
      <w:r w:rsidRPr="00F044A7">
        <w:rPr>
          <w:noProof/>
          <w:lang w:val="sk-SK"/>
        </w:rPr>
        <w:tab/>
        <w:t xml:space="preserve">FARMAKOLOGICKÉ VLASTNOSTI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Farmakoterapeutická skupina: Antiprotozoiká, liečivá proti protozoálnym ochoreniam</w:t>
      </w:r>
      <w:r>
        <w:rPr>
          <w:noProof/>
          <w:lang w:val="sk-SK"/>
        </w:rPr>
        <w:t>.</w:t>
      </w:r>
      <w:r w:rsidRPr="00F044A7">
        <w:rPr>
          <w:noProof/>
          <w:lang w:val="sk-SK"/>
        </w:rPr>
        <w:t xml:space="preserve"> 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ATCvet kód: QP51AX08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ind w:left="-4"/>
        <w:rPr>
          <w:noProof/>
          <w:lang w:val="sk-SK"/>
        </w:rPr>
      </w:pPr>
      <w:r w:rsidRPr="00F044A7">
        <w:rPr>
          <w:noProof/>
          <w:lang w:val="sk-SK"/>
        </w:rPr>
        <w:t xml:space="preserve">5.1  Farmakodynamické vlastnosti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Účinná látka halofuginón je antiprotozoálne liečivo zo skupiny chinazolónových derivátov (dusíkových heterocyklických zlúčenín). Laktát halofuginonu je soľ, ktorej antiprotozoálne vlastnosti a účinnosť proti </w:t>
      </w:r>
      <w:r w:rsidRPr="00F044A7">
        <w:rPr>
          <w:i/>
          <w:noProof/>
          <w:lang w:val="sk-SK"/>
        </w:rPr>
        <w:t>Cryptosporidium parvum</w:t>
      </w:r>
      <w:r w:rsidRPr="00F044A7">
        <w:rPr>
          <w:noProof/>
          <w:lang w:val="sk-SK"/>
        </w:rPr>
        <w:t xml:space="preserve"> boli dokázané </w:t>
      </w:r>
      <w:r>
        <w:rPr>
          <w:noProof/>
          <w:lang w:val="sk-SK"/>
        </w:rPr>
        <w:t>tak</w:t>
      </w:r>
      <w:r w:rsidRPr="00F044A7">
        <w:rPr>
          <w:noProof/>
          <w:lang w:val="sk-SK"/>
        </w:rPr>
        <w:t xml:space="preserve"> v podmienkach </w:t>
      </w:r>
      <w:r w:rsidRPr="00F044A7">
        <w:rPr>
          <w:i/>
          <w:noProof/>
          <w:lang w:val="sk-SK"/>
        </w:rPr>
        <w:t>in vitro</w:t>
      </w:r>
      <w:r>
        <w:rPr>
          <w:i/>
          <w:noProof/>
          <w:lang w:val="sk-SK"/>
        </w:rPr>
        <w:t xml:space="preserve">, </w:t>
      </w:r>
      <w:r>
        <w:rPr>
          <w:noProof/>
          <w:lang w:val="sk-SK"/>
        </w:rPr>
        <w:t xml:space="preserve">ako aj v prípade </w:t>
      </w:r>
      <w:r w:rsidRPr="00F044A7">
        <w:rPr>
          <w:noProof/>
          <w:lang w:val="sk-SK"/>
        </w:rPr>
        <w:t xml:space="preserve">umelých a prirodzených infekcií. Látka má kryptosporidiostatický účinok proti </w:t>
      </w:r>
      <w:r w:rsidRPr="00F044A7">
        <w:rPr>
          <w:i/>
          <w:noProof/>
          <w:lang w:val="sk-SK"/>
        </w:rPr>
        <w:t xml:space="preserve">Cryptosporidium parvum. </w:t>
      </w:r>
      <w:r w:rsidRPr="00F044A7">
        <w:rPr>
          <w:noProof/>
          <w:lang w:val="sk-SK"/>
        </w:rPr>
        <w:t>Je účinná najmä proti voľným štádiám parazita (sporozoit, merozoit). V </w:t>
      </w:r>
      <w:r w:rsidRPr="00D1034B">
        <w:rPr>
          <w:i/>
          <w:noProof/>
          <w:lang w:val="sk-SK"/>
        </w:rPr>
        <w:t>in vitro</w:t>
      </w:r>
      <w:r w:rsidRPr="00F044A7">
        <w:rPr>
          <w:noProof/>
          <w:lang w:val="sk-SK"/>
        </w:rPr>
        <w:t xml:space="preserve"> testoch bolo stanovené, že 50 % parazitov inhibuje koncentrácia IC</w:t>
      </w:r>
      <w:r w:rsidRPr="00F044A7">
        <w:rPr>
          <w:noProof/>
          <w:vertAlign w:val="subscript"/>
          <w:lang w:val="sk-SK"/>
        </w:rPr>
        <w:t xml:space="preserve">50  </w:t>
      </w:r>
      <w:r w:rsidRPr="00F044A7">
        <w:rPr>
          <w:noProof/>
          <w:u w:val="single" w:color="000000"/>
          <w:lang w:val="sk-SK"/>
        </w:rPr>
        <w:t>&lt; </w:t>
      </w:r>
      <w:r w:rsidRPr="00F044A7">
        <w:rPr>
          <w:noProof/>
          <w:lang w:val="sk-SK"/>
        </w:rPr>
        <w:t>0,1 µg/ml a 90 % parazitov inhibuje koncentrácia IC</w:t>
      </w:r>
      <w:r w:rsidRPr="00F044A7">
        <w:rPr>
          <w:noProof/>
          <w:vertAlign w:val="subscript"/>
          <w:lang w:val="sk-SK"/>
        </w:rPr>
        <w:t>90  </w:t>
      </w:r>
      <w:r w:rsidRPr="00F044A7">
        <w:rPr>
          <w:noProof/>
          <w:u w:val="single" w:color="000000"/>
          <w:lang w:val="sk-SK"/>
        </w:rPr>
        <w:t>&lt;</w:t>
      </w:r>
      <w:r w:rsidRPr="00F044A7">
        <w:rPr>
          <w:noProof/>
          <w:lang w:val="sk-SK"/>
        </w:rPr>
        <w:t> 4,5 µg/ml.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ind w:left="-4"/>
        <w:rPr>
          <w:noProof/>
          <w:lang w:val="sk-SK"/>
        </w:rPr>
      </w:pPr>
      <w:r w:rsidRPr="00F044A7">
        <w:rPr>
          <w:noProof/>
          <w:lang w:val="sk-SK"/>
        </w:rPr>
        <w:t xml:space="preserve">5.2  Farmakokinetické vlastnosti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Biologická dostupnosť lieku po jednorazovom perorálnom podaní u teľaťa je okolo 80 %. Čas potrebný na dosiahnutie maximálnej koncentrácie T</w:t>
      </w:r>
      <w:r w:rsidRPr="00F044A7">
        <w:rPr>
          <w:noProof/>
          <w:vertAlign w:val="subscript"/>
          <w:lang w:val="sk-SK"/>
        </w:rPr>
        <w:t>max</w:t>
      </w:r>
      <w:r w:rsidRPr="00F044A7">
        <w:rPr>
          <w:noProof/>
          <w:lang w:val="sk-SK"/>
        </w:rPr>
        <w:t xml:space="preserve"> je 11 hodín. Maximálna koncentrácia v plazme C</w:t>
      </w:r>
      <w:r w:rsidRPr="00F044A7">
        <w:rPr>
          <w:noProof/>
          <w:vertAlign w:val="subscript"/>
          <w:lang w:val="sk-SK"/>
        </w:rPr>
        <w:t>max</w:t>
      </w:r>
      <w:r w:rsidRPr="00F044A7">
        <w:rPr>
          <w:noProof/>
          <w:lang w:val="sk-SK"/>
        </w:rPr>
        <w:t xml:space="preserve"> je 4 ng/ml. Zjavný distribučný objem je 10 l/kg. Plazmatické koncentrácie halofuginónu po opakovaných perorálnych podaniach sú porovnateľné s farmakokinetickou vzorkou po jednorazovej perorálnej liečbe. Nezmenený halofuginón je väčšinová zložka v tkanivách. Najvyššie hodnoty boli nájdené v pečeni a obličkách. Liek je vylučovaný najmä močom. Terminálny eliminačný polčas je 11,7 hodiny po i.v. aplikácii a 30,84 hodiny po jednorazovom perorálnom podaní.   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 </w:t>
      </w:r>
    </w:p>
    <w:p w:rsidR="0018338A" w:rsidRPr="00F044A7" w:rsidRDefault="0018338A" w:rsidP="0018338A">
      <w:pPr>
        <w:pStyle w:val="Nadpis1"/>
        <w:tabs>
          <w:tab w:val="center" w:pos="1958"/>
        </w:tabs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6. </w:t>
      </w:r>
      <w:r w:rsidRPr="00F044A7">
        <w:rPr>
          <w:noProof/>
          <w:lang w:val="sk-SK"/>
        </w:rPr>
        <w:tab/>
        <w:t xml:space="preserve">FARMACEUTICKÉ  ÚDAJE  </w:t>
      </w:r>
    </w:p>
    <w:p w:rsidR="0018338A" w:rsidRPr="00F044A7" w:rsidRDefault="0018338A" w:rsidP="0018338A">
      <w:pPr>
        <w:keepNext/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tabs>
          <w:tab w:val="center" w:pos="1759"/>
        </w:tabs>
        <w:ind w:left="-14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6.1 </w:t>
      </w:r>
      <w:r w:rsidRPr="00F044A7">
        <w:rPr>
          <w:noProof/>
          <w:lang w:val="sk-SK"/>
        </w:rPr>
        <w:tab/>
        <w:t xml:space="preserve">Zoznam pomocných látok </w:t>
      </w:r>
    </w:p>
    <w:p w:rsidR="0018338A" w:rsidRPr="00F044A7" w:rsidRDefault="0018338A" w:rsidP="0018338A">
      <w:pPr>
        <w:keepNext/>
        <w:spacing w:after="5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keepNext/>
        <w:tabs>
          <w:tab w:val="center" w:pos="5221"/>
        </w:tabs>
        <w:ind w:left="-14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Kyselina benzoová (E 210) </w:t>
      </w:r>
    </w:p>
    <w:p w:rsidR="0018338A" w:rsidRPr="00F044A7" w:rsidRDefault="0018338A" w:rsidP="0018338A">
      <w:pPr>
        <w:tabs>
          <w:tab w:val="center" w:pos="2161"/>
          <w:tab w:val="center" w:pos="2881"/>
          <w:tab w:val="center" w:pos="3601"/>
          <w:tab w:val="center" w:pos="4321"/>
          <w:tab w:val="center" w:pos="5041"/>
        </w:tabs>
        <w:ind w:left="-14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Tartrazín (E 102)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Kyselina mliečna (E 270)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Voda na injekci</w:t>
      </w:r>
      <w:r>
        <w:rPr>
          <w:noProof/>
          <w:lang w:val="sk-SK"/>
        </w:rPr>
        <w:t>u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center" w:pos="1694"/>
        </w:tabs>
        <w:spacing w:after="4" w:line="251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6.2 </w:t>
      </w:r>
      <w:r w:rsidRPr="00F044A7">
        <w:rPr>
          <w:b/>
          <w:noProof/>
          <w:lang w:val="sk-SK"/>
        </w:rPr>
        <w:tab/>
        <w:t xml:space="preserve">Závažné inkompatibility 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lang w:val="sk-SK"/>
        </w:rPr>
        <w:t>Z dôvodu chýbania štúdií kompatibility sa tento veterinárny liek nesmie miešať s inými veterinárnymi liekmi.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tabs>
          <w:tab w:val="center" w:pos="1366"/>
        </w:tabs>
        <w:ind w:left="-14" w:firstLine="0"/>
        <w:rPr>
          <w:noProof/>
          <w:lang w:val="sk-SK"/>
        </w:rPr>
      </w:pPr>
      <w:r w:rsidRPr="00F044A7">
        <w:rPr>
          <w:noProof/>
          <w:lang w:val="sk-SK"/>
        </w:rPr>
        <w:lastRenderedPageBreak/>
        <w:t xml:space="preserve">6.3 </w:t>
      </w:r>
      <w:r w:rsidRPr="00F044A7">
        <w:rPr>
          <w:noProof/>
          <w:lang w:val="sk-SK"/>
        </w:rPr>
        <w:tab/>
        <w:t xml:space="preserve">Čas použiteľnosti 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09"/>
        <w:rPr>
          <w:noProof/>
          <w:lang w:val="sk-SK"/>
        </w:rPr>
      </w:pPr>
      <w:r w:rsidRPr="00F044A7">
        <w:rPr>
          <w:noProof/>
          <w:lang w:val="sk-SK"/>
        </w:rPr>
        <w:t xml:space="preserve">Čas použiteľnosti veterinárneho lieku zabaleného v neporušenom obale: </w:t>
      </w:r>
      <w:r w:rsidR="005F0C3D">
        <w:rPr>
          <w:noProof/>
          <w:lang w:val="sk-SK"/>
        </w:rPr>
        <w:t>2 roky</w:t>
      </w:r>
      <w:r w:rsidRPr="00F044A7">
        <w:rPr>
          <w:noProof/>
          <w:lang w:val="sk-SK"/>
        </w:rPr>
        <w:t xml:space="preserve">. </w:t>
      </w:r>
    </w:p>
    <w:p w:rsidR="0018338A" w:rsidRPr="00F044A7" w:rsidRDefault="0018338A" w:rsidP="0018338A">
      <w:pPr>
        <w:ind w:left="-4" w:right="2191"/>
        <w:rPr>
          <w:noProof/>
          <w:lang w:val="sk-SK"/>
        </w:rPr>
      </w:pPr>
      <w:r w:rsidRPr="00F044A7">
        <w:rPr>
          <w:noProof/>
          <w:lang w:val="sk-SK"/>
        </w:rPr>
        <w:t xml:space="preserve">Čas použiteľnosti po prvom otvorení vnútorného </w:t>
      </w:r>
      <w:r>
        <w:rPr>
          <w:noProof/>
          <w:lang w:val="sk-SK"/>
        </w:rPr>
        <w:t>obalu</w:t>
      </w:r>
      <w:r w:rsidRPr="00F044A7">
        <w:rPr>
          <w:noProof/>
          <w:lang w:val="sk-SK"/>
        </w:rPr>
        <w:t>:</w:t>
      </w:r>
      <w:r w:rsidR="005F0C3D">
        <w:rPr>
          <w:noProof/>
          <w:lang w:val="sk-SK"/>
        </w:rPr>
        <w:t xml:space="preserve"> 6 mesiacov</w:t>
      </w:r>
      <w:r w:rsidRPr="00F044A7">
        <w:rPr>
          <w:noProof/>
          <w:lang w:val="sk-SK"/>
        </w:rPr>
        <w:t xml:space="preserve">. 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center" w:pos="2896"/>
        </w:tabs>
        <w:spacing w:after="4" w:line="251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6.4 </w:t>
      </w:r>
      <w:r w:rsidRPr="00F044A7">
        <w:rPr>
          <w:b/>
          <w:noProof/>
          <w:lang w:val="sk-SK"/>
        </w:rPr>
        <w:tab/>
        <w:t xml:space="preserve">Osobitné bezpečnostné opatrenia na uchovávanie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lang w:val="sk-SK"/>
        </w:rPr>
      </w:pPr>
      <w:r w:rsidRPr="00F044A7">
        <w:rPr>
          <w:lang w:val="sk-SK"/>
        </w:rPr>
        <w:t>Uchovávať pri teplote neprevyšujúcej 25°C. Uchovávať v pôvodnom obale, aby bol chránený pred svetlom.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2"/>
        <w:tabs>
          <w:tab w:val="center" w:pos="2382"/>
        </w:tabs>
        <w:ind w:left="-14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6.5 </w:t>
      </w:r>
      <w:r w:rsidRPr="00F044A7">
        <w:rPr>
          <w:noProof/>
          <w:lang w:val="sk-SK"/>
        </w:rPr>
        <w:tab/>
        <w:t xml:space="preserve">Charakter a zloženie vnútorného obalu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Biela fľaša z polyetylénu z vysokou hustotou so skrutkovacím bezpečnostným uzáverom.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</w:p>
    <w:p w:rsidR="0018338A" w:rsidRPr="00F044A7" w:rsidRDefault="0018338A" w:rsidP="0018338A">
      <w:pPr>
        <w:ind w:left="-4" w:right="11"/>
        <w:rPr>
          <w:noProof/>
          <w:u w:val="single"/>
          <w:lang w:val="sk-SK"/>
        </w:rPr>
      </w:pPr>
      <w:r w:rsidRPr="00F044A7">
        <w:rPr>
          <w:noProof/>
          <w:u w:val="single"/>
          <w:lang w:val="sk-SK"/>
        </w:rPr>
        <w:t>Veľkosti balení: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500</w:t>
      </w:r>
      <w:r>
        <w:rPr>
          <w:noProof/>
          <w:lang w:val="sk-SK"/>
        </w:rPr>
        <w:t xml:space="preserve"> </w:t>
      </w:r>
      <w:r w:rsidRPr="00F044A7">
        <w:rPr>
          <w:noProof/>
          <w:lang w:val="sk-SK"/>
        </w:rPr>
        <w:t>ml fľaša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1</w:t>
      </w:r>
      <w:r>
        <w:rPr>
          <w:noProof/>
          <w:lang w:val="sk-SK"/>
        </w:rPr>
        <w:t xml:space="preserve"> </w:t>
      </w:r>
      <w:r w:rsidRPr="00F044A7">
        <w:rPr>
          <w:noProof/>
          <w:lang w:val="sk-SK"/>
        </w:rPr>
        <w:t>l fľaša</w:t>
      </w:r>
    </w:p>
    <w:p w:rsidR="0018338A" w:rsidRPr="00F044A7" w:rsidRDefault="0018338A" w:rsidP="0018338A">
      <w:pPr>
        <w:ind w:left="-4" w:right="2777"/>
        <w:rPr>
          <w:noProof/>
          <w:lang w:val="sk-SK"/>
        </w:rPr>
      </w:pPr>
    </w:p>
    <w:p w:rsidR="0018338A" w:rsidRPr="00F044A7" w:rsidRDefault="0018338A" w:rsidP="0018338A">
      <w:pPr>
        <w:ind w:left="-4" w:right="2777"/>
        <w:rPr>
          <w:noProof/>
          <w:lang w:val="sk-SK"/>
        </w:rPr>
      </w:pPr>
      <w:r w:rsidRPr="00F044A7">
        <w:rPr>
          <w:noProof/>
          <w:lang w:val="sk-SK"/>
        </w:rPr>
        <w:t xml:space="preserve">Nie všetky veľkosti balenia sa musia uvádzať na trh. </w:t>
      </w:r>
    </w:p>
    <w:p w:rsidR="0018338A" w:rsidRPr="00F044A7" w:rsidRDefault="0018338A" w:rsidP="0018338A">
      <w:pPr>
        <w:ind w:left="0" w:right="2777" w:firstLine="0"/>
        <w:rPr>
          <w:noProof/>
          <w:lang w:val="sk-SK"/>
        </w:rPr>
      </w:pPr>
    </w:p>
    <w:p w:rsidR="0018338A" w:rsidRPr="00F044A7" w:rsidRDefault="0018338A" w:rsidP="0018338A">
      <w:pPr>
        <w:spacing w:after="4" w:line="251" w:lineRule="auto"/>
        <w:ind w:left="526" w:hanging="54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6.6 </w:t>
      </w:r>
      <w:r w:rsidRPr="00F044A7">
        <w:rPr>
          <w:b/>
          <w:noProof/>
          <w:lang w:val="sk-SK"/>
        </w:rPr>
        <w:tab/>
        <w:t xml:space="preserve">Osobitné bezpečnostné opatrenia pre zneškodňovanie nepoužitých veterinárnych liekov,  prípadne odpadových materiálov vytvorených pri používaní týchto liekov.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>
        <w:rPr>
          <w:noProof/>
          <w:lang w:val="sk-SK"/>
        </w:rPr>
        <w:t>Tento veterinárny liek</w:t>
      </w:r>
      <w:r w:rsidRPr="00F044A7">
        <w:rPr>
          <w:noProof/>
          <w:lang w:val="sk-SK"/>
        </w:rPr>
        <w:t xml:space="preserve"> </w:t>
      </w:r>
      <w:r w:rsidRPr="00F044A7">
        <w:rPr>
          <w:lang w:val="sk-SK"/>
        </w:rPr>
        <w:t xml:space="preserve">nesmie kontaminovať vodné toky, pretože môže byť nebezpečný pre ryby a iné vodné organizmy. </w:t>
      </w:r>
      <w:r w:rsidRPr="00F044A7">
        <w:rPr>
          <w:noProof/>
          <w:lang w:val="sk-SK"/>
        </w:rPr>
        <w:t xml:space="preserve">Každý nepoužitý veterinárny liek alebo odpadové materiály z tohto veterinárneho lieku musia byť zlikvidované v súlade s miestnymi požiadavkami. 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pStyle w:val="Nadpis1"/>
        <w:tabs>
          <w:tab w:val="center" w:pos="2786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7. </w:t>
      </w:r>
      <w:r w:rsidRPr="00F044A7">
        <w:rPr>
          <w:noProof/>
          <w:lang w:val="sk-SK"/>
        </w:rPr>
        <w:tab/>
        <w:t>DRŽITEĽ ROZHODNUTIA O REGISTRÁCII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left" w:pos="-589"/>
          <w:tab w:val="left" w:pos="0"/>
          <w:tab w:val="left" w:pos="510"/>
          <w:tab w:val="left" w:pos="1440"/>
        </w:tabs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Huvepharma</w:t>
      </w:r>
      <w:proofErr w:type="spellEnd"/>
      <w:r w:rsidRPr="00F044A7">
        <w:rPr>
          <w:lang w:val="sk-SK"/>
        </w:rPr>
        <w:t xml:space="preserve"> NV</w:t>
      </w:r>
    </w:p>
    <w:p w:rsidR="0018338A" w:rsidRPr="00F044A7" w:rsidRDefault="0018338A" w:rsidP="0018338A">
      <w:pPr>
        <w:tabs>
          <w:tab w:val="left" w:pos="-589"/>
          <w:tab w:val="left" w:pos="0"/>
          <w:tab w:val="left" w:pos="510"/>
          <w:tab w:val="left" w:pos="1440"/>
        </w:tabs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Uitbreidingstraat</w:t>
      </w:r>
      <w:proofErr w:type="spellEnd"/>
      <w:r w:rsidRPr="00F044A7">
        <w:rPr>
          <w:lang w:val="sk-SK"/>
        </w:rPr>
        <w:t xml:space="preserve"> 80</w:t>
      </w:r>
    </w:p>
    <w:p w:rsidR="0018338A" w:rsidRPr="00F044A7" w:rsidRDefault="0018338A" w:rsidP="0018338A">
      <w:pPr>
        <w:tabs>
          <w:tab w:val="left" w:pos="-589"/>
          <w:tab w:val="left" w:pos="0"/>
          <w:tab w:val="left" w:pos="510"/>
          <w:tab w:val="left" w:pos="1440"/>
        </w:tabs>
        <w:spacing w:line="240" w:lineRule="auto"/>
        <w:rPr>
          <w:lang w:val="sk-SK"/>
        </w:rPr>
      </w:pPr>
      <w:r w:rsidRPr="00F044A7">
        <w:rPr>
          <w:lang w:val="sk-SK"/>
        </w:rPr>
        <w:t xml:space="preserve">2600 </w:t>
      </w:r>
      <w:proofErr w:type="spellStart"/>
      <w:r w:rsidRPr="00F044A7">
        <w:rPr>
          <w:lang w:val="sk-SK"/>
        </w:rPr>
        <w:t>Antwerpen</w:t>
      </w:r>
      <w:proofErr w:type="spellEnd"/>
    </w:p>
    <w:p w:rsidR="0018338A" w:rsidRPr="00F044A7" w:rsidRDefault="0018338A" w:rsidP="0018338A">
      <w:pPr>
        <w:tabs>
          <w:tab w:val="left" w:pos="-589"/>
          <w:tab w:val="left" w:pos="0"/>
          <w:tab w:val="left" w:pos="510"/>
          <w:tab w:val="left" w:pos="1440"/>
        </w:tabs>
        <w:spacing w:line="240" w:lineRule="auto"/>
        <w:rPr>
          <w:lang w:val="sk-SK"/>
        </w:rPr>
      </w:pPr>
      <w:r w:rsidRPr="00F044A7">
        <w:rPr>
          <w:lang w:val="sk-SK"/>
        </w:rPr>
        <w:t>Belgicko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 </w:t>
      </w:r>
    </w:p>
    <w:p w:rsidR="0018338A" w:rsidRPr="00F044A7" w:rsidRDefault="0018338A" w:rsidP="0018338A">
      <w:pPr>
        <w:tabs>
          <w:tab w:val="center" w:pos="1870"/>
        </w:tabs>
        <w:spacing w:after="4" w:line="251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8. </w:t>
      </w:r>
      <w:r w:rsidRPr="00F044A7">
        <w:rPr>
          <w:b/>
          <w:noProof/>
          <w:lang w:val="sk-SK"/>
        </w:rPr>
        <w:tab/>
        <w:t>REGISTRAČNÉ ČÍSLO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7224C7" w:rsidRDefault="007224C7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7224C7">
        <w:rPr>
          <w:noProof/>
          <w:lang w:val="sk-SK"/>
        </w:rPr>
        <w:t>96/028/DC/20-S</w:t>
      </w:r>
      <w:r w:rsidR="0018338A" w:rsidRPr="007224C7">
        <w:rPr>
          <w:noProof/>
          <w:lang w:val="sk-SK"/>
        </w:rPr>
        <w:t xml:space="preserve"> </w:t>
      </w:r>
    </w:p>
    <w:p w:rsidR="007224C7" w:rsidRPr="00F044A7" w:rsidRDefault="007224C7" w:rsidP="0018338A">
      <w:pPr>
        <w:spacing w:after="6" w:line="259" w:lineRule="auto"/>
        <w:ind w:left="1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pStyle w:val="Nadpis1"/>
        <w:tabs>
          <w:tab w:val="center" w:pos="3686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9. </w:t>
      </w:r>
      <w:r w:rsidRPr="00F044A7">
        <w:rPr>
          <w:noProof/>
          <w:lang w:val="sk-SK"/>
        </w:rPr>
        <w:tab/>
        <w:t xml:space="preserve">DÁTUM PRVEJ REGISTRÁCIE </w:t>
      </w:r>
      <w:r>
        <w:rPr>
          <w:noProof/>
          <w:lang w:val="sk-SK"/>
        </w:rPr>
        <w:t>/</w:t>
      </w:r>
      <w:r w:rsidRPr="00F044A7">
        <w:rPr>
          <w:noProof/>
          <w:lang w:val="sk-SK"/>
        </w:rPr>
        <w:t xml:space="preserve"> PREDĹŽENIA REGISTRÁCIE </w:t>
      </w:r>
    </w:p>
    <w:p w:rsidR="0018338A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</w:p>
    <w:p w:rsidR="001F3005" w:rsidRPr="00BD4E94" w:rsidRDefault="001F3005" w:rsidP="001F3005">
      <w:pPr>
        <w:tabs>
          <w:tab w:val="left" w:pos="284"/>
        </w:tabs>
        <w:ind w:left="0"/>
        <w:rPr>
          <w:lang w:val="sk-SK" w:eastAsia="sl-SI"/>
        </w:rPr>
      </w:pPr>
      <w:r w:rsidRPr="00BD4E94">
        <w:rPr>
          <w:lang w:val="sk-SK" w:eastAsia="sl-SI"/>
        </w:rPr>
        <w:t xml:space="preserve">Dátum prvej registrácie: </w:t>
      </w:r>
      <w:r>
        <w:rPr>
          <w:lang w:val="sk-SK" w:eastAsia="sl-SI"/>
        </w:rPr>
        <w:t>10</w:t>
      </w:r>
      <w:r w:rsidRPr="00BD4E94">
        <w:rPr>
          <w:lang w:val="sk-SK" w:eastAsia="sl-SI"/>
        </w:rPr>
        <w:t>/</w:t>
      </w:r>
      <w:r>
        <w:rPr>
          <w:lang w:val="sk-SK" w:eastAsia="sl-SI"/>
        </w:rPr>
        <w:t>08</w:t>
      </w:r>
      <w:r w:rsidRPr="00BD4E94">
        <w:rPr>
          <w:lang w:val="sk-SK" w:eastAsia="sl-SI"/>
        </w:rPr>
        <w:t>/</w:t>
      </w:r>
      <w:r>
        <w:rPr>
          <w:lang w:val="sk-SK" w:eastAsia="sl-SI"/>
        </w:rPr>
        <w:t>2020</w:t>
      </w:r>
      <w:bookmarkStart w:id="0" w:name="_GoBack"/>
      <w:bookmarkEnd w:id="0"/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855"/>
        </w:tabs>
        <w:ind w:left="-14" w:right="0" w:firstLine="0"/>
        <w:rPr>
          <w:noProof/>
          <w:lang w:val="sk-SK"/>
        </w:rPr>
      </w:pPr>
      <w:r w:rsidRPr="00F044A7">
        <w:rPr>
          <w:noProof/>
          <w:lang w:val="sk-SK"/>
        </w:rPr>
        <w:t xml:space="preserve">10. </w:t>
      </w:r>
      <w:r w:rsidRPr="00F044A7">
        <w:rPr>
          <w:noProof/>
          <w:lang w:val="sk-SK"/>
        </w:rPr>
        <w:tab/>
        <w:t xml:space="preserve">DÁTUM REVÍZIE TEXTU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line="240" w:lineRule="auto"/>
        <w:jc w:val="center"/>
        <w:rPr>
          <w:b/>
          <w:lang w:val="sk-SK"/>
        </w:rPr>
      </w:pPr>
    </w:p>
    <w:p w:rsidR="0018338A" w:rsidRPr="00F044A7" w:rsidRDefault="0018338A" w:rsidP="0018338A">
      <w:pPr>
        <w:spacing w:after="0" w:line="259" w:lineRule="auto"/>
        <w:ind w:left="0" w:firstLine="0"/>
        <w:rPr>
          <w:b/>
          <w:noProof/>
          <w:lang w:val="sk-SK"/>
        </w:rPr>
      </w:pPr>
    </w:p>
    <w:p w:rsidR="0018338A" w:rsidRPr="0018338A" w:rsidRDefault="0018338A" w:rsidP="0018338A">
      <w:pPr>
        <w:spacing w:after="160" w:line="259" w:lineRule="auto"/>
        <w:ind w:left="0" w:firstLine="0"/>
        <w:jc w:val="left"/>
        <w:rPr>
          <w:b/>
          <w:noProof/>
          <w:lang w:val="sk-SK"/>
        </w:rPr>
      </w:pPr>
    </w:p>
    <w:tbl>
      <w:tblPr>
        <w:tblStyle w:val="TableGrid"/>
        <w:tblW w:w="10293" w:type="dxa"/>
        <w:tblInd w:w="-112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10287"/>
        <w:gridCol w:w="6"/>
      </w:tblGrid>
      <w:tr w:rsidR="0018338A" w:rsidRPr="00F044A7" w:rsidTr="00D1034B">
        <w:trPr>
          <w:trHeight w:val="809"/>
        </w:trPr>
        <w:tc>
          <w:tcPr>
            <w:tcW w:w="10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ÚDAJE, KTORÉ MAJÚ BYŤ UVEDENÉ NA VNÚTORNOM OBALE </w:t>
            </w:r>
          </w:p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>HDPE fľaša</w:t>
            </w:r>
          </w:p>
        </w:tc>
      </w:tr>
      <w:tr w:rsidR="0018338A" w:rsidRPr="00F044A7" w:rsidTr="00D1034B">
        <w:trPr>
          <w:gridAfter w:val="1"/>
          <w:wAfter w:w="6" w:type="dxa"/>
          <w:trHeight w:val="264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 </w:t>
            </w:r>
          </w:p>
        </w:tc>
      </w:tr>
      <w:tr w:rsidR="0018338A" w:rsidRPr="00F044A7" w:rsidTr="00D1034B">
        <w:trPr>
          <w:gridAfter w:val="1"/>
          <w:wAfter w:w="6" w:type="dxa"/>
          <w:trHeight w:val="302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1. </w:t>
            </w:r>
            <w:r w:rsidRPr="00F044A7">
              <w:rPr>
                <w:b/>
                <w:noProof/>
                <w:lang w:val="sk-SK"/>
              </w:rPr>
              <w:tab/>
              <w:t xml:space="preserve">NÁZOV VETERINÁRNEHO LIEKU </w:t>
            </w:r>
          </w:p>
        </w:tc>
      </w:tr>
      <w:tr w:rsidR="0018338A" w:rsidRPr="00F044A7" w:rsidTr="00D1034B">
        <w:trPr>
          <w:gridAfter w:val="1"/>
          <w:wAfter w:w="6" w:type="dxa"/>
          <w:trHeight w:val="1022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spacing w:after="0" w:line="259" w:lineRule="auto"/>
              <w:ind w:left="113" w:right="-825" w:firstLine="0"/>
              <w:jc w:val="left"/>
              <w:rPr>
                <w:noProof/>
                <w:lang w:val="sk-SK"/>
              </w:rPr>
            </w:pPr>
            <w:r w:rsidRPr="00F044A7">
              <w:rPr>
                <w:lang w:val="sk-SK"/>
              </w:rPr>
              <w:t>STENOROL CRYPTO</w:t>
            </w:r>
            <w:r w:rsidRPr="00F044A7">
              <w:rPr>
                <w:noProof/>
                <w:lang w:val="sk-SK"/>
              </w:rPr>
              <w:t xml:space="preserve"> 0,5 mg/ml perorálny roztok pre teľatá </w:t>
            </w:r>
          </w:p>
          <w:p w:rsidR="0018338A" w:rsidRPr="00F044A7" w:rsidRDefault="0018338A" w:rsidP="0018338A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>Halofuginón vo forme laktátu</w:t>
            </w:r>
          </w:p>
        </w:tc>
      </w:tr>
      <w:tr w:rsidR="0018338A" w:rsidRPr="00F044A7" w:rsidTr="00D1034B">
        <w:trPr>
          <w:gridAfter w:val="1"/>
          <w:wAfter w:w="6" w:type="dxa"/>
          <w:trHeight w:val="302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2. </w:t>
            </w:r>
            <w:r w:rsidRPr="00F044A7">
              <w:rPr>
                <w:b/>
                <w:noProof/>
                <w:lang w:val="sk-SK"/>
              </w:rPr>
              <w:tab/>
              <w:t xml:space="preserve">ÚČINNÉ LÁTKY  </w:t>
            </w:r>
          </w:p>
        </w:tc>
      </w:tr>
      <w:tr w:rsidR="0018338A" w:rsidRPr="00F044A7" w:rsidTr="00D1034B">
        <w:trPr>
          <w:gridAfter w:val="1"/>
          <w:wAfter w:w="6" w:type="dxa"/>
          <w:trHeight w:val="1022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3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tabs>
                <w:tab w:val="center" w:pos="5153"/>
              </w:tabs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>Jeden ml obsahuje:</w:t>
            </w:r>
          </w:p>
          <w:p w:rsidR="0018338A" w:rsidRPr="00F044A7" w:rsidRDefault="0018338A" w:rsidP="00D1034B">
            <w:pPr>
              <w:tabs>
                <w:tab w:val="center" w:pos="5153"/>
              </w:tabs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>Halofuginón (ako laktát) 0,50 mg</w:t>
            </w:r>
          </w:p>
          <w:p w:rsidR="0018338A" w:rsidRPr="00F044A7" w:rsidRDefault="0018338A" w:rsidP="00D1034B">
            <w:pPr>
              <w:tabs>
                <w:tab w:val="center" w:pos="5153"/>
              </w:tabs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>Ekvivalent 0,6086 mg halofuginón laktátu</w:t>
            </w:r>
          </w:p>
          <w:p w:rsidR="0018338A" w:rsidRPr="00F044A7" w:rsidRDefault="0018338A" w:rsidP="00D1034B">
            <w:pPr>
              <w:spacing w:after="0" w:line="259" w:lineRule="auto"/>
              <w:ind w:left="430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 </w:t>
            </w:r>
          </w:p>
        </w:tc>
      </w:tr>
      <w:tr w:rsidR="0018338A" w:rsidRPr="00F044A7" w:rsidTr="00D1034B">
        <w:trPr>
          <w:gridAfter w:val="1"/>
          <w:wAfter w:w="6" w:type="dxa"/>
          <w:trHeight w:val="302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3. </w:t>
            </w:r>
            <w:r w:rsidRPr="00F044A7">
              <w:rPr>
                <w:b/>
                <w:noProof/>
                <w:lang w:val="sk-SK"/>
              </w:rPr>
              <w:tab/>
              <w:t xml:space="preserve">LIEKOVÁ FORMA  </w:t>
            </w:r>
          </w:p>
        </w:tc>
      </w:tr>
      <w:tr w:rsidR="0018338A" w:rsidRPr="00F044A7" w:rsidTr="00D1034B">
        <w:trPr>
          <w:gridAfter w:val="1"/>
          <w:wAfter w:w="6" w:type="dxa"/>
          <w:trHeight w:val="1022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3F5D37">
              <w:rPr>
                <w:noProof/>
                <w:lang w:val="sk-SK"/>
              </w:rPr>
              <w:t>Perorálny roztok.</w:t>
            </w:r>
            <w:r w:rsidRPr="00F044A7">
              <w:rPr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</w:p>
        </w:tc>
      </w:tr>
      <w:tr w:rsidR="0018338A" w:rsidRPr="00F044A7" w:rsidTr="00D1034B">
        <w:trPr>
          <w:gridAfter w:val="1"/>
          <w:wAfter w:w="6" w:type="dxa"/>
          <w:trHeight w:val="302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4. </w:t>
            </w:r>
            <w:r w:rsidRPr="00F044A7">
              <w:rPr>
                <w:b/>
                <w:noProof/>
                <w:lang w:val="sk-SK"/>
              </w:rPr>
              <w:tab/>
              <w:t xml:space="preserve">VEĽKOSŤ BALENIA </w:t>
            </w:r>
          </w:p>
        </w:tc>
      </w:tr>
      <w:tr w:rsidR="0018338A" w:rsidRPr="00F044A7" w:rsidTr="00D1034B">
        <w:trPr>
          <w:gridAfter w:val="1"/>
          <w:wAfter w:w="6" w:type="dxa"/>
          <w:trHeight w:val="947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 </w:t>
            </w:r>
          </w:p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t xml:space="preserve">500 ml roztoku  </w:t>
            </w:r>
          </w:p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shd w:val="clear" w:color="auto" w:fill="C0C0C0"/>
                <w:lang w:val="sk-SK"/>
              </w:rPr>
              <w:t>1 l</w:t>
            </w:r>
            <w:r w:rsidRPr="00F044A7">
              <w:rPr>
                <w:noProof/>
                <w:lang w:val="sk-SK"/>
              </w:rPr>
              <w:t xml:space="preserve"> </w:t>
            </w:r>
          </w:p>
        </w:tc>
      </w:tr>
      <w:tr w:rsidR="0018338A" w:rsidRPr="00F044A7" w:rsidTr="00D1034B">
        <w:trPr>
          <w:gridAfter w:val="1"/>
          <w:wAfter w:w="6" w:type="dxa"/>
          <w:trHeight w:val="305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>5.</w:t>
            </w:r>
            <w:r w:rsidRPr="00F044A7">
              <w:rPr>
                <w:rFonts w:ascii="Arial" w:eastAsia="Arial" w:hAnsi="Arial" w:cs="Arial"/>
                <w:b/>
                <w:noProof/>
                <w:lang w:val="sk-SK"/>
              </w:rPr>
              <w:t xml:space="preserve"> </w:t>
            </w:r>
            <w:r w:rsidRPr="00F044A7">
              <w:rPr>
                <w:rFonts w:ascii="Arial" w:eastAsia="Arial" w:hAnsi="Arial" w:cs="Arial"/>
                <w:b/>
                <w:noProof/>
                <w:lang w:val="sk-SK"/>
              </w:rPr>
              <w:tab/>
            </w:r>
            <w:r w:rsidRPr="00F044A7">
              <w:rPr>
                <w:b/>
                <w:noProof/>
                <w:lang w:val="sk-SK"/>
              </w:rPr>
              <w:t xml:space="preserve">CIEĽOVÉ DRUHY </w:t>
            </w:r>
          </w:p>
        </w:tc>
      </w:tr>
      <w:tr w:rsidR="0018338A" w:rsidRPr="00F044A7" w:rsidTr="00D1034B">
        <w:trPr>
          <w:gridAfter w:val="1"/>
          <w:wAfter w:w="6" w:type="dxa"/>
          <w:trHeight w:val="856"/>
        </w:trPr>
        <w:tc>
          <w:tcPr>
            <w:tcW w:w="10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 </w:t>
            </w:r>
          </w:p>
          <w:p w:rsidR="0018338A" w:rsidRPr="009F4B87" w:rsidRDefault="0018338A" w:rsidP="00D1034B">
            <w:pPr>
              <w:spacing w:line="240" w:lineRule="auto"/>
              <w:rPr>
                <w:bCs/>
                <w:lang w:val="sk-SK"/>
              </w:rPr>
            </w:pPr>
            <w:r w:rsidRPr="00F044A7">
              <w:rPr>
                <w:bCs/>
                <w:lang w:val="sk-SK"/>
              </w:rPr>
              <w:t>Hovädzí dobytok (novonarodené teľatá).</w:t>
            </w:r>
          </w:p>
        </w:tc>
      </w:tr>
      <w:tr w:rsidR="0018338A" w:rsidRPr="00F044A7" w:rsidTr="00D1034B">
        <w:trPr>
          <w:gridAfter w:val="1"/>
          <w:wAfter w:w="6" w:type="dxa"/>
          <w:trHeight w:val="305"/>
        </w:trPr>
        <w:tc>
          <w:tcPr>
            <w:tcW w:w="10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16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6. </w:t>
            </w:r>
            <w:r w:rsidRPr="00F044A7">
              <w:rPr>
                <w:b/>
                <w:noProof/>
                <w:lang w:val="sk-SK"/>
              </w:rPr>
              <w:tab/>
              <w:t xml:space="preserve">INDIKÁCIA (-IE)  </w:t>
            </w:r>
          </w:p>
        </w:tc>
      </w:tr>
    </w:tbl>
    <w:p w:rsidR="0018338A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tbl>
      <w:tblPr>
        <w:tblStyle w:val="TableGrid"/>
        <w:tblW w:w="10313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660"/>
      </w:tblGrid>
      <w:tr w:rsidR="0018338A" w:rsidRPr="00F044A7" w:rsidTr="00D1034B">
        <w:trPr>
          <w:trHeight w:val="3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7. </w:t>
            </w:r>
          </w:p>
        </w:tc>
        <w:tc>
          <w:tcPr>
            <w:tcW w:w="9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SPÔSOB A CESTA PODANIA LIEKU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>
        <w:rPr>
          <w:noProof/>
          <w:lang w:val="sk-SK"/>
        </w:rPr>
        <w:t>Na</w:t>
      </w:r>
      <w:r w:rsidRPr="00F044A7">
        <w:rPr>
          <w:noProof/>
          <w:lang w:val="sk-SK"/>
        </w:rPr>
        <w:t xml:space="preserve"> perorálne po</w:t>
      </w:r>
      <w:r>
        <w:rPr>
          <w:noProof/>
          <w:lang w:val="sk-SK"/>
        </w:rPr>
        <w:t>danie</w:t>
      </w:r>
      <w:r w:rsidRPr="00F044A7">
        <w:rPr>
          <w:noProof/>
          <w:lang w:val="sk-SK"/>
        </w:rPr>
        <w:t xml:space="preserve"> u teliat po kŕmení.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Pred použitím si prečítajte písomnú informáciu pre používateľov.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8.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OCHRANNÁ LEHOTA(-Y)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Mäso a vnútornosti: 13 dní.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noProof/>
                <w:lang w:val="sk-SK"/>
              </w:rPr>
              <w:lastRenderedPageBreak/>
              <w:t xml:space="preserve"> </w:t>
            </w:r>
            <w:r w:rsidRPr="00F044A7">
              <w:rPr>
                <w:b/>
                <w:noProof/>
                <w:lang w:val="sk-SK"/>
              </w:rPr>
              <w:t xml:space="preserve">9.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OSOBITNÉ UPOZORNENIE (-A), AK JE POTREBNÉ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Pred použitím si prečítajte písomnú informáciu pre používateľov.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10.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DÁTUM EXSPIRÁCIE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18338A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Exp:</w:t>
      </w:r>
    </w:p>
    <w:p w:rsidR="0018338A" w:rsidRPr="0018338A" w:rsidRDefault="0018338A" w:rsidP="0018338A">
      <w:pPr>
        <w:ind w:left="-4" w:right="11"/>
        <w:rPr>
          <w:b/>
          <w:noProof/>
          <w:lang w:val="sk-SK"/>
        </w:rPr>
      </w:pPr>
      <w:r w:rsidRPr="00F044A7">
        <w:rPr>
          <w:lang w:val="sk-SK"/>
        </w:rPr>
        <w:t>Po</w:t>
      </w:r>
      <w:r w:rsidRPr="00E1768A">
        <w:rPr>
          <w:lang w:val="sk-SK"/>
        </w:rPr>
        <w:t xml:space="preserve"> prvom</w:t>
      </w:r>
      <w:r w:rsidRPr="00F044A7">
        <w:rPr>
          <w:lang w:val="sk-SK"/>
        </w:rPr>
        <w:t xml:space="preserve"> otvorení použiť do….</w:t>
      </w: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Čas použiteľnosti po prvom otvorení obalu: </w:t>
      </w:r>
      <w:r w:rsidR="005F0C3D">
        <w:rPr>
          <w:noProof/>
          <w:lang w:val="sk-SK"/>
        </w:rPr>
        <w:t>6 mesiacov</w:t>
      </w:r>
      <w:r w:rsidRPr="00F044A7">
        <w:rPr>
          <w:noProof/>
          <w:lang w:val="sk-SK"/>
        </w:rPr>
        <w:t xml:space="preserve">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11.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OSOBITNÉ PODMIENKY NA UCHOVÁVANIE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lang w:val="sk-SK"/>
        </w:rPr>
        <w:t>Uchovávať pri teplote neprevyšujúcej 25 °C. Uchovávať v pôvodnom obale, aby bol chránený pred svetlom.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tbl>
      <w:tblPr>
        <w:tblStyle w:val="TableGrid"/>
        <w:tblW w:w="9828" w:type="dxa"/>
        <w:tblInd w:w="-112" w:type="dxa"/>
        <w:tblCellMar>
          <w:top w:w="78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E1768A" w:rsidTr="00D1034B">
        <w:trPr>
          <w:trHeight w:val="5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12.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OSOBITNÉ BEZPEČNOSTNÉ OPATRENIA NA ZNEŠKODNENIE NEPOUŽITÉHO </w:t>
            </w:r>
          </w:p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LIEKU(-OV) ALEBO ODPADOVÉHO MATERIÁLU, V PRÍPADE POTREBY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lang w:val="sk-SK"/>
        </w:rPr>
        <w:t>Tento veterinárny liek nesmie kontaminovať vodné toky, pretože môže byť nebezpečný pre ryby a iné vodné organizmy. Každý nepoužitý veterinárny liek alebo odpadové materiály z tohto veterinárneho lieku musia byť zlikvidované v súlade s  miestnymi požiadavkami.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E1768A" w:rsidTr="00D1034B">
        <w:trPr>
          <w:trHeight w:val="55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13.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OZNAČENIE „LEN PRE ZVIERATÁ“ A PODMIENKY ALEBO OBMEDZENIA </w:t>
            </w:r>
          </w:p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TÝKAJÚCE SA DODÁVKY A POUŽITIA, ak sa uplatňujú 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Len pre zvieratá. Výdaj lieku je viazaný na veterinárny predpis.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E1768A" w:rsidTr="00D1034B">
        <w:trPr>
          <w:trHeight w:val="3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14.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>OZNAČENIE „UCHOVÁVAŤ MIMO DOHĽADU A DOSAHU DETÍ“</w:t>
            </w:r>
            <w:r w:rsidRPr="00F044A7">
              <w:rPr>
                <w:noProof/>
                <w:lang w:val="sk-SK"/>
              </w:rPr>
              <w:t xml:space="preserve"> </w:t>
            </w:r>
          </w:p>
        </w:tc>
      </w:tr>
    </w:tbl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Uchovávať mimo dohľadu a dosahu detí.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E1768A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15.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NÁZOV A ADRESA DRŽITEĽA ROZHODNUTIA O REGISTRÁCII </w:t>
            </w:r>
          </w:p>
        </w:tc>
      </w:tr>
    </w:tbl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  <w:r w:rsidRPr="00F044A7">
        <w:rPr>
          <w:b/>
          <w:noProof/>
          <w:lang w:val="sk-SK"/>
        </w:rPr>
        <w:tab/>
        <w:t xml:space="preserve">  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Huvepharma</w:t>
      </w:r>
      <w:proofErr w:type="spellEnd"/>
      <w:r w:rsidRPr="00F044A7">
        <w:rPr>
          <w:lang w:val="sk-SK"/>
        </w:rPr>
        <w:t xml:space="preserve"> NV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Uitbreidingstraat</w:t>
      </w:r>
      <w:proofErr w:type="spellEnd"/>
      <w:r w:rsidRPr="00F044A7">
        <w:rPr>
          <w:lang w:val="sk-SK"/>
        </w:rPr>
        <w:t xml:space="preserve"> 80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r w:rsidRPr="00F044A7">
        <w:rPr>
          <w:lang w:val="sk-SK"/>
        </w:rPr>
        <w:t xml:space="preserve">2600 </w:t>
      </w:r>
      <w:proofErr w:type="spellStart"/>
      <w:r w:rsidRPr="00F044A7">
        <w:rPr>
          <w:lang w:val="sk-SK"/>
        </w:rPr>
        <w:t>Antwerpen</w:t>
      </w:r>
      <w:proofErr w:type="spellEnd"/>
    </w:p>
    <w:p w:rsidR="0018338A" w:rsidRPr="00F044A7" w:rsidRDefault="0018338A" w:rsidP="0018338A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</w:tabs>
        <w:ind w:left="-14" w:firstLine="0"/>
        <w:jc w:val="left"/>
        <w:rPr>
          <w:noProof/>
          <w:lang w:val="sk-SK"/>
        </w:rPr>
      </w:pPr>
      <w:r w:rsidRPr="00F044A7">
        <w:rPr>
          <w:lang w:val="sk-SK"/>
        </w:rPr>
        <w:t>Belgicko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 </w:t>
      </w: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16.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>REGISTRAČNÉ ČÍSLO</w:t>
            </w:r>
          </w:p>
        </w:tc>
      </w:tr>
    </w:tbl>
    <w:p w:rsidR="0018338A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Default="007224C7" w:rsidP="007224C7">
      <w:pPr>
        <w:spacing w:after="6" w:line="259" w:lineRule="auto"/>
        <w:ind w:left="1" w:firstLine="0"/>
        <w:jc w:val="left"/>
        <w:rPr>
          <w:noProof/>
          <w:lang w:val="sk-SK"/>
        </w:rPr>
      </w:pPr>
      <w:r w:rsidRPr="007224C7">
        <w:rPr>
          <w:noProof/>
          <w:lang w:val="sk-SK"/>
        </w:rPr>
        <w:t xml:space="preserve">96/028/DC/20-S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tbl>
      <w:tblPr>
        <w:tblStyle w:val="TableGrid"/>
        <w:tblW w:w="9828" w:type="dxa"/>
        <w:tblInd w:w="-112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9175"/>
      </w:tblGrid>
      <w:tr w:rsidR="0018338A" w:rsidRPr="00F044A7" w:rsidTr="00D1034B">
        <w:trPr>
          <w:trHeight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38A" w:rsidRPr="00F044A7" w:rsidRDefault="0018338A" w:rsidP="00D1034B">
            <w:pPr>
              <w:spacing w:after="0" w:line="259" w:lineRule="auto"/>
              <w:ind w:left="113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 xml:space="preserve">17.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338A" w:rsidRPr="00F044A7" w:rsidRDefault="0018338A" w:rsidP="00D1034B">
            <w:pPr>
              <w:spacing w:after="0" w:line="259" w:lineRule="auto"/>
              <w:ind w:left="0" w:firstLine="0"/>
              <w:jc w:val="left"/>
              <w:rPr>
                <w:noProof/>
                <w:lang w:val="sk-SK"/>
              </w:rPr>
            </w:pPr>
            <w:r w:rsidRPr="00F044A7">
              <w:rPr>
                <w:b/>
                <w:noProof/>
                <w:lang w:val="sk-SK"/>
              </w:rPr>
              <w:t>ČÍSLO VÝROBNEJ ŠARŽE</w:t>
            </w:r>
            <w:r w:rsidRPr="00F044A7">
              <w:rPr>
                <w:noProof/>
                <w:lang w:val="sk-SK"/>
              </w:rPr>
              <w:t xml:space="preserve"> </w:t>
            </w:r>
          </w:p>
        </w:tc>
      </w:tr>
    </w:tbl>
    <w:p w:rsidR="0018338A" w:rsidRPr="00F044A7" w:rsidRDefault="0018338A" w:rsidP="0018338A">
      <w:pPr>
        <w:tabs>
          <w:tab w:val="center" w:pos="4803"/>
          <w:tab w:val="left" w:pos="5196"/>
        </w:tabs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Lot</w:t>
      </w:r>
      <w:r>
        <w:rPr>
          <w:noProof/>
          <w:lang w:val="sk-SK"/>
        </w:rPr>
        <w:t>: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A4220B">
      <w:pPr>
        <w:spacing w:after="0" w:line="259" w:lineRule="auto"/>
        <w:ind w:left="0" w:firstLine="0"/>
        <w:jc w:val="center"/>
        <w:rPr>
          <w:noProof/>
          <w:lang w:val="sk-SK"/>
        </w:rPr>
      </w:pPr>
      <w:r w:rsidRPr="00F044A7">
        <w:rPr>
          <w:noProof/>
          <w:lang w:val="sk-SK"/>
        </w:rPr>
        <w:br w:type="page"/>
      </w:r>
      <w:r w:rsidRPr="00F044A7">
        <w:rPr>
          <w:b/>
          <w:noProof/>
          <w:lang w:val="sk-SK"/>
        </w:rPr>
        <w:lastRenderedPageBreak/>
        <w:t>PÍSOMNÁ INFORMÁCIA PRE POUŽÍVATEĽOV</w:t>
      </w:r>
    </w:p>
    <w:p w:rsidR="0018338A" w:rsidRPr="00F044A7" w:rsidRDefault="0018338A" w:rsidP="00A4220B">
      <w:pPr>
        <w:spacing w:after="0" w:line="259" w:lineRule="auto"/>
        <w:ind w:left="0" w:right="4" w:firstLine="0"/>
        <w:jc w:val="center"/>
        <w:rPr>
          <w:noProof/>
          <w:lang w:val="sk-SK"/>
        </w:rPr>
      </w:pPr>
      <w:r w:rsidRPr="00F044A7">
        <w:rPr>
          <w:b/>
          <w:lang w:val="sk-SK"/>
        </w:rPr>
        <w:t xml:space="preserve">STENOROL CRYPTO </w:t>
      </w:r>
      <w:r w:rsidRPr="00F044A7">
        <w:rPr>
          <w:b/>
          <w:noProof/>
          <w:lang w:val="sk-SK"/>
        </w:rPr>
        <w:t xml:space="preserve">0,5 mg/ml perorálny roztok pre teľatá </w:t>
      </w:r>
    </w:p>
    <w:p w:rsidR="0018338A" w:rsidRPr="00F044A7" w:rsidRDefault="0018338A" w:rsidP="0018338A">
      <w:pPr>
        <w:spacing w:after="9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spacing w:line="251" w:lineRule="auto"/>
        <w:ind w:left="552" w:right="0" w:hanging="566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1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NÁZOV A ADRESA DRŽITEĽA ROZHODNUTIA O REGISTRÁCII A DRŽITEĽA POVOLENIA NA VÝROBU ZODPOVEDNÉHO ZA UVOĽNENIE ŠARŽE, AK NIE SÚ IDENTICKÍ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E70DF7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Držiteľ rozhodnutia o registrácii</w:t>
      </w:r>
      <w:r w:rsidRPr="00F044A7">
        <w:rPr>
          <w:b/>
          <w:noProof/>
          <w:lang w:val="sk-SK"/>
        </w:rPr>
        <w:t xml:space="preserve">: 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Huvepharma</w:t>
      </w:r>
      <w:proofErr w:type="spellEnd"/>
      <w:r w:rsidRPr="00F044A7">
        <w:rPr>
          <w:lang w:val="sk-SK"/>
        </w:rPr>
        <w:t xml:space="preserve"> NV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proofErr w:type="spellStart"/>
      <w:r w:rsidRPr="00F044A7">
        <w:rPr>
          <w:lang w:val="sk-SK"/>
        </w:rPr>
        <w:t>Uitbreidingstraat</w:t>
      </w:r>
      <w:proofErr w:type="spellEnd"/>
      <w:r w:rsidRPr="00F044A7">
        <w:rPr>
          <w:lang w:val="sk-SK"/>
        </w:rPr>
        <w:t xml:space="preserve"> 80</w:t>
      </w:r>
    </w:p>
    <w:p w:rsidR="0018338A" w:rsidRPr="00F044A7" w:rsidRDefault="0018338A" w:rsidP="0018338A">
      <w:pPr>
        <w:spacing w:line="240" w:lineRule="auto"/>
        <w:rPr>
          <w:lang w:val="sk-SK"/>
        </w:rPr>
      </w:pPr>
      <w:r w:rsidRPr="00F044A7">
        <w:rPr>
          <w:lang w:val="sk-SK"/>
        </w:rPr>
        <w:t xml:space="preserve">2600 </w:t>
      </w:r>
      <w:proofErr w:type="spellStart"/>
      <w:r w:rsidRPr="00F044A7">
        <w:rPr>
          <w:lang w:val="sk-SK"/>
        </w:rPr>
        <w:t>Antwerpen</w:t>
      </w:r>
      <w:proofErr w:type="spellEnd"/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lang w:val="sk-SK"/>
        </w:rPr>
        <w:t>Belgicko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b/>
          <w:noProof/>
          <w:lang w:val="sk-SK"/>
        </w:rPr>
        <w:t xml:space="preserve"> </w:t>
      </w:r>
    </w:p>
    <w:p w:rsidR="0018338A" w:rsidRPr="00E70DF7" w:rsidRDefault="0018338A" w:rsidP="00E70DF7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Výrobca zodpovedný za uvoľnenie šarže:</w:t>
      </w:r>
      <w:r w:rsidRPr="00F044A7">
        <w:rPr>
          <w:b/>
          <w:noProof/>
          <w:lang w:val="sk-SK"/>
        </w:rPr>
        <w:t xml:space="preserve"> </w:t>
      </w:r>
    </w:p>
    <w:p w:rsidR="0018338A" w:rsidRPr="00F044A7" w:rsidRDefault="0018338A" w:rsidP="0018338A">
      <w:pPr>
        <w:spacing w:line="240" w:lineRule="auto"/>
        <w:rPr>
          <w:bCs/>
          <w:u w:val="single"/>
          <w:lang w:val="sk-SK"/>
        </w:rPr>
      </w:pPr>
      <w:proofErr w:type="spellStart"/>
      <w:r w:rsidRPr="00F044A7">
        <w:rPr>
          <w:bCs/>
          <w:lang w:val="sk-SK"/>
        </w:rPr>
        <w:t>Biovet</w:t>
      </w:r>
      <w:proofErr w:type="spellEnd"/>
      <w:r w:rsidRPr="00F044A7">
        <w:rPr>
          <w:bCs/>
          <w:lang w:val="sk-SK"/>
        </w:rPr>
        <w:t xml:space="preserve"> JSC</w:t>
      </w:r>
    </w:p>
    <w:p w:rsidR="0018338A" w:rsidRPr="00F044A7" w:rsidRDefault="0018338A" w:rsidP="0018338A">
      <w:pPr>
        <w:spacing w:line="240" w:lineRule="auto"/>
        <w:rPr>
          <w:bCs/>
          <w:lang w:val="sk-SK"/>
        </w:rPr>
      </w:pPr>
      <w:r w:rsidRPr="00F044A7">
        <w:rPr>
          <w:bCs/>
          <w:lang w:val="sk-SK"/>
        </w:rPr>
        <w:t xml:space="preserve">39 </w:t>
      </w:r>
      <w:proofErr w:type="spellStart"/>
      <w:r w:rsidRPr="00F044A7">
        <w:rPr>
          <w:bCs/>
          <w:lang w:val="sk-SK"/>
        </w:rPr>
        <w:t>Petar</w:t>
      </w:r>
      <w:proofErr w:type="spellEnd"/>
      <w:r w:rsidRPr="00F044A7">
        <w:rPr>
          <w:bCs/>
          <w:lang w:val="sk-SK"/>
        </w:rPr>
        <w:t xml:space="preserve"> Rakov </w:t>
      </w:r>
      <w:proofErr w:type="spellStart"/>
      <w:r w:rsidRPr="00F044A7">
        <w:rPr>
          <w:bCs/>
          <w:lang w:val="sk-SK"/>
        </w:rPr>
        <w:t>Str</w:t>
      </w:r>
      <w:proofErr w:type="spellEnd"/>
    </w:p>
    <w:p w:rsidR="0018338A" w:rsidRPr="00F044A7" w:rsidRDefault="0018338A" w:rsidP="0018338A">
      <w:pPr>
        <w:spacing w:line="240" w:lineRule="auto"/>
        <w:rPr>
          <w:bCs/>
          <w:lang w:val="sk-SK"/>
        </w:rPr>
      </w:pPr>
      <w:r w:rsidRPr="00F044A7">
        <w:rPr>
          <w:bCs/>
          <w:lang w:val="sk-SK"/>
        </w:rPr>
        <w:t xml:space="preserve">4550 </w:t>
      </w:r>
      <w:proofErr w:type="spellStart"/>
      <w:r w:rsidRPr="00F044A7">
        <w:rPr>
          <w:bCs/>
          <w:lang w:val="sk-SK"/>
        </w:rPr>
        <w:t>Peshtera</w:t>
      </w:r>
      <w:proofErr w:type="spellEnd"/>
    </w:p>
    <w:p w:rsidR="0018338A" w:rsidRPr="00F044A7" w:rsidRDefault="0018338A" w:rsidP="0018338A">
      <w:pPr>
        <w:spacing w:line="240" w:lineRule="auto"/>
        <w:rPr>
          <w:bCs/>
          <w:lang w:val="sk-SK"/>
        </w:rPr>
      </w:pPr>
      <w:r w:rsidRPr="00F044A7">
        <w:rPr>
          <w:bCs/>
          <w:lang w:val="sk-SK"/>
        </w:rPr>
        <w:t>Bulharsko</w:t>
      </w:r>
    </w:p>
    <w:p w:rsidR="0018338A" w:rsidRPr="00F044A7" w:rsidRDefault="0018338A" w:rsidP="00E70DF7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center" w:pos="2359"/>
        </w:tabs>
        <w:spacing w:after="3" w:line="252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shd w:val="clear" w:color="auto" w:fill="C0C0C0"/>
          <w:lang w:val="sk-SK"/>
        </w:rPr>
        <w:t>2</w:t>
      </w:r>
      <w:r w:rsidRPr="00F044A7">
        <w:rPr>
          <w:b/>
          <w:noProof/>
          <w:lang w:val="sk-SK"/>
        </w:rPr>
        <w:t xml:space="preserve">. </w:t>
      </w:r>
      <w:r w:rsidRPr="00F044A7">
        <w:rPr>
          <w:b/>
          <w:noProof/>
          <w:lang w:val="sk-SK"/>
        </w:rPr>
        <w:tab/>
        <w:t xml:space="preserve">NÁZOV VETERINÁRNEHO LIEKU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lang w:val="sk-SK"/>
        </w:rPr>
        <w:t>STENOROL CRYPTO</w:t>
      </w:r>
      <w:r w:rsidRPr="00F044A7">
        <w:rPr>
          <w:noProof/>
          <w:lang w:val="sk-SK"/>
        </w:rPr>
        <w:t xml:space="preserve"> 0,5 mg/ml perorálny roztok pre teľatá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>Halofuginón (ako laktát)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3336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3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OBSAH ÚČINNEJ LÁTKY (-OK) A INEJ LÁTKY  (-OK)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Jeden ml obsahuje:</w:t>
      </w:r>
    </w:p>
    <w:p w:rsidR="0018338A" w:rsidRPr="00F044A7" w:rsidRDefault="0018338A" w:rsidP="0018338A">
      <w:pPr>
        <w:spacing w:after="4" w:line="251" w:lineRule="auto"/>
        <w:ind w:left="-4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>Účinná látka: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Halofuginón (ako laktát) 0,50 mg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Ekvivalent 0,6086 mg halofuginón-laktátu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4" w:line="251" w:lineRule="auto"/>
        <w:ind w:left="-4"/>
        <w:jc w:val="left"/>
        <w:rPr>
          <w:b/>
          <w:noProof/>
          <w:lang w:val="sk-SK"/>
        </w:rPr>
      </w:pPr>
      <w:r w:rsidRPr="00F044A7">
        <w:rPr>
          <w:b/>
          <w:noProof/>
          <w:lang w:val="sk-SK"/>
        </w:rPr>
        <w:t xml:space="preserve">Pomocné látky: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Kyselina benzoová (E 210) 1,00 mg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>Tartrazín (E 102) 0,03 mg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Perorálny roztok. </w:t>
      </w:r>
    </w:p>
    <w:p w:rsidR="0018338A" w:rsidRPr="00F044A7" w:rsidRDefault="0018338A" w:rsidP="00E70DF7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Priehľadný roztok intenzívnej zeleno-žltej farby. </w:t>
      </w:r>
    </w:p>
    <w:p w:rsidR="0018338A" w:rsidRPr="00F044A7" w:rsidRDefault="0018338A" w:rsidP="0018338A">
      <w:pPr>
        <w:spacing w:after="7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362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4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INDIKÁCIA(-E)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E70DF7">
      <w:pPr>
        <w:ind w:left="-4" w:right="943"/>
        <w:rPr>
          <w:noProof/>
          <w:lang w:val="sk-SK"/>
        </w:rPr>
      </w:pPr>
      <w:r w:rsidRPr="00F044A7">
        <w:rPr>
          <w:noProof/>
          <w:lang w:val="sk-SK"/>
        </w:rPr>
        <w:t>U novo</w:t>
      </w:r>
      <w:r>
        <w:rPr>
          <w:noProof/>
          <w:lang w:val="sk-SK"/>
        </w:rPr>
        <w:t>na</w:t>
      </w:r>
      <w:r w:rsidRPr="00F044A7">
        <w:rPr>
          <w:noProof/>
          <w:lang w:val="sk-SK"/>
        </w:rPr>
        <w:t>rodených teliat:</w:t>
      </w:r>
    </w:p>
    <w:p w:rsidR="0018338A" w:rsidRPr="00F044A7" w:rsidRDefault="0018338A" w:rsidP="0018338A">
      <w:pPr>
        <w:pStyle w:val="Odsekzoznamu"/>
        <w:numPr>
          <w:ilvl w:val="0"/>
          <w:numId w:val="3"/>
        </w:numPr>
        <w:ind w:right="943"/>
        <w:rPr>
          <w:noProof/>
          <w:lang w:val="sk-SK"/>
        </w:rPr>
      </w:pPr>
      <w:r w:rsidRPr="00F044A7">
        <w:rPr>
          <w:noProof/>
          <w:lang w:val="sk-SK"/>
        </w:rPr>
        <w:t xml:space="preserve">Prevencia hnačky spôsobenej diagnostikovanou kokcídiou </w:t>
      </w:r>
      <w:r w:rsidRPr="00F044A7">
        <w:rPr>
          <w:i/>
          <w:noProof/>
          <w:lang w:val="sk-SK"/>
        </w:rPr>
        <w:t>Cryptosporidium parvum</w:t>
      </w:r>
      <w:r w:rsidRPr="00F044A7">
        <w:rPr>
          <w:noProof/>
          <w:lang w:val="sk-SK"/>
        </w:rPr>
        <w:t xml:space="preserve">, na farmách s anamnézou  kryptosporidiózy. </w:t>
      </w:r>
    </w:p>
    <w:p w:rsidR="0018338A" w:rsidRPr="00E70DF7" w:rsidRDefault="0018338A" w:rsidP="00E70DF7">
      <w:pPr>
        <w:ind w:right="11" w:firstLine="696"/>
        <w:rPr>
          <w:noProof/>
          <w:lang w:val="sk-SK"/>
        </w:rPr>
      </w:pPr>
      <w:r w:rsidRPr="00F044A7">
        <w:rPr>
          <w:noProof/>
          <w:lang w:val="sk-SK"/>
        </w:rPr>
        <w:t xml:space="preserve">Podávanie má začať v prvých 24-48 hodinách života. </w:t>
      </w:r>
    </w:p>
    <w:p w:rsidR="0018338A" w:rsidRPr="00F044A7" w:rsidRDefault="0018338A" w:rsidP="0018338A">
      <w:pPr>
        <w:pStyle w:val="Odsekzoznamu"/>
        <w:numPr>
          <w:ilvl w:val="0"/>
          <w:numId w:val="3"/>
        </w:numPr>
        <w:ind w:right="286"/>
        <w:rPr>
          <w:noProof/>
          <w:lang w:val="sk-SK"/>
        </w:rPr>
      </w:pPr>
      <w:r w:rsidRPr="00F044A7">
        <w:rPr>
          <w:noProof/>
          <w:lang w:val="sk-SK"/>
        </w:rPr>
        <w:t xml:space="preserve">Zníženie výskytu hnačiek spôsobených diagnostikovanou kokcídiou </w:t>
      </w:r>
      <w:r w:rsidRPr="00F044A7">
        <w:rPr>
          <w:i/>
          <w:noProof/>
          <w:lang w:val="sk-SK"/>
        </w:rPr>
        <w:t xml:space="preserve">Cryptosporidium parvum </w:t>
      </w:r>
      <w:r w:rsidRPr="00F044A7">
        <w:rPr>
          <w:noProof/>
          <w:lang w:val="sk-SK"/>
        </w:rPr>
        <w:t xml:space="preserve"> Podávanie má začať do 24 hodín po vypuknutí hnačky.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 oboch prípadoch sa preukázalo zníženie vylučovania oocýst. </w:t>
      </w:r>
    </w:p>
    <w:p w:rsidR="0018338A" w:rsidRPr="00F044A7" w:rsidRDefault="0018338A" w:rsidP="00E70DF7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655"/>
        </w:tabs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5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KONTRAINDIKÁCIE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Nepoužívať, ak je žalúdok prázdny.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Nepoužívať v prípadoch hnačky trvajúcej viac než 24 hodín a u slabých zvierat.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lastRenderedPageBreak/>
        <w:t>Nepoužívať v prípadoch precitlivenosti na účinnú látku alebo na niektorú z pomocných látok.</w:t>
      </w:r>
    </w:p>
    <w:p w:rsidR="0018338A" w:rsidRPr="00F044A7" w:rsidRDefault="0018338A" w:rsidP="00E70DF7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700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6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NEŽIADUCE ÚČINKY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Vo veľmi zriedkavých prípadoch sa u ošetrených zvierat môže pozorovať zvýšenie intenzity hnačiek.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Frekvencia výskytu nežiaducich účinkov sa definuje použitím nasledujúceho pravidla: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veľmi časté (nežiaduce účinky sa prejavili u viac ako 1 z 10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časté (u viac ako 1 ale menej ako 10 zo 100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menej časté (u viac ako 1 ale menej ako 10 z 1 000 liečených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zriedkavé (u viac ako 1 ale menej ako 10 z 10 000 liečených  zvierat) </w:t>
      </w:r>
    </w:p>
    <w:p w:rsidR="0018338A" w:rsidRPr="00F044A7" w:rsidRDefault="0018338A" w:rsidP="0018338A">
      <w:pPr>
        <w:numPr>
          <w:ilvl w:val="0"/>
          <w:numId w:val="1"/>
        </w:numPr>
        <w:ind w:right="11" w:hanging="360"/>
        <w:rPr>
          <w:noProof/>
          <w:lang w:val="sk-SK"/>
        </w:rPr>
      </w:pPr>
      <w:r w:rsidRPr="00F044A7">
        <w:rPr>
          <w:noProof/>
          <w:lang w:val="sk-SK"/>
        </w:rPr>
        <w:t xml:space="preserve">veľmi zriedkavé (u menej ako 1 z 10 000 liečených zvierat, vrátane ojedinelých hlásení).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Ak zistíte akékoľvek nežiaduce účinky, aj tie,  ktoré už nie sú uvedené v tejto písomnej informácii pre používateľov, alebo si myslíte, že liek je neúčinný, informujte vášho veterinárneho lekára. </w:t>
      </w:r>
    </w:p>
    <w:p w:rsidR="0018338A" w:rsidRPr="00F044A7" w:rsidRDefault="0018338A" w:rsidP="00E70DF7">
      <w:pPr>
        <w:spacing w:after="0" w:line="259" w:lineRule="auto"/>
        <w:rPr>
          <w:noProof/>
          <w:lang w:val="sk-SK"/>
        </w:rPr>
      </w:pPr>
      <w:r w:rsidRPr="00F044A7">
        <w:rPr>
          <w:lang w:val="sk-SK"/>
        </w:rPr>
        <w:t>Prípadne nežiaduce účinky môžete nahlásiť národnej kompetentnej autorite {www.uskvbl.sk}.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center" w:pos="1432"/>
        </w:tabs>
        <w:spacing w:after="4" w:line="251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shd w:val="clear" w:color="auto" w:fill="C0C0C0"/>
          <w:lang w:val="sk-SK"/>
        </w:rPr>
        <w:t>7</w:t>
      </w:r>
      <w:r w:rsidRPr="00F044A7">
        <w:rPr>
          <w:b/>
          <w:noProof/>
          <w:lang w:val="sk-SK"/>
        </w:rPr>
        <w:t xml:space="preserve">. </w:t>
      </w:r>
      <w:r w:rsidRPr="00F044A7">
        <w:rPr>
          <w:b/>
          <w:noProof/>
          <w:lang w:val="sk-SK"/>
        </w:rPr>
        <w:tab/>
        <w:t xml:space="preserve">CIEĽOVÝ DRUH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E70DF7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Hovädzí dobytok (novonarodené teľatá).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4458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8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DÁVKOVANIE PRE KAŽDÝ DRUH, CESTA(-Y) A SPÔSOB PODANIA LIEKU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>
        <w:rPr>
          <w:noProof/>
          <w:lang w:val="sk-SK"/>
        </w:rPr>
        <w:t>Na</w:t>
      </w:r>
      <w:r w:rsidRPr="00F044A7">
        <w:rPr>
          <w:noProof/>
          <w:lang w:val="sk-SK"/>
        </w:rPr>
        <w:t xml:space="preserve"> perorálne po</w:t>
      </w:r>
      <w:r>
        <w:rPr>
          <w:noProof/>
          <w:lang w:val="sk-SK"/>
        </w:rPr>
        <w:t>danie</w:t>
      </w:r>
      <w:r w:rsidRPr="00F044A7">
        <w:rPr>
          <w:noProof/>
          <w:lang w:val="sk-SK"/>
        </w:rPr>
        <w:t xml:space="preserve"> u teliat po kŕmení.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Dávkovanie je: 100 µg halofuginónu/kg ž.hm./ jedenkrát denne počas 7 nasledujúcich dní t.j. 2 ml veterinárneho lieku/10 kg ž.hm./ jedenkrát denne počas 7 nasledujúcich dní. </w:t>
      </w:r>
    </w:p>
    <w:p w:rsidR="0018338A" w:rsidRPr="00F044A7" w:rsidRDefault="0018338A" w:rsidP="00E70DF7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2202"/>
        </w:tabs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9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POKYN O SPRÁVNOM PODANÍ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Na zaistenie správnej dávky je nevyhnutné použiť buď striekačku alebo vhodnú pomôcku na perorálne podanie. 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Následujúca liečba sa má vykonať každý deň v rovnakom čase.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E70DF7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Po liečbe prvého teľaťa musia byť liečené všetky ďalšie narodené teľatá. Musia byť liečené systematicky  tak dlho, kým pretrváva riziko hnačiek spôsobených </w:t>
      </w:r>
      <w:r w:rsidRPr="00F044A7">
        <w:rPr>
          <w:i/>
          <w:noProof/>
          <w:lang w:val="sk-SK"/>
        </w:rPr>
        <w:t>C. parvum</w:t>
      </w:r>
      <w:r w:rsidRPr="00F044A7">
        <w:rPr>
          <w:noProof/>
          <w:lang w:val="sk-SK"/>
        </w:rPr>
        <w:t xml:space="preserve">. </w:t>
      </w:r>
    </w:p>
    <w:p w:rsidR="0018338A" w:rsidRPr="00F044A7" w:rsidRDefault="0018338A" w:rsidP="0018338A">
      <w:pPr>
        <w:spacing w:after="9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tabs>
          <w:tab w:val="center" w:pos="1903"/>
        </w:tabs>
        <w:spacing w:after="4" w:line="251" w:lineRule="auto"/>
        <w:ind w:left="-14" w:firstLine="0"/>
        <w:jc w:val="left"/>
        <w:rPr>
          <w:noProof/>
          <w:lang w:val="sk-SK"/>
        </w:rPr>
      </w:pPr>
      <w:r w:rsidRPr="00F044A7">
        <w:rPr>
          <w:b/>
          <w:noProof/>
          <w:shd w:val="clear" w:color="auto" w:fill="C0C0C0"/>
          <w:lang w:val="sk-SK"/>
        </w:rPr>
        <w:t>10</w:t>
      </w:r>
      <w:r w:rsidRPr="00F044A7">
        <w:rPr>
          <w:b/>
          <w:noProof/>
          <w:lang w:val="sk-SK"/>
        </w:rPr>
        <w:t xml:space="preserve">. </w:t>
      </w:r>
      <w:r w:rsidRPr="00F044A7">
        <w:rPr>
          <w:b/>
          <w:noProof/>
          <w:lang w:val="sk-SK"/>
        </w:rPr>
        <w:tab/>
        <w:t xml:space="preserve">OCHRANNÁ LEHOTA(-Y)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Mäso a vnútornosti: 13 dní. </w:t>
      </w:r>
    </w:p>
    <w:p w:rsidR="0018338A" w:rsidRPr="00F044A7" w:rsidRDefault="0018338A" w:rsidP="00E70DF7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3807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11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OSOBITNÉ BEZPEČNOSTNÉ OPATRENIA NA UCHOVÁVANIE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Uchovávať mimo dohľadu a dosahu detí.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lang w:val="sk-SK"/>
        </w:rPr>
      </w:pPr>
      <w:r w:rsidRPr="00F044A7">
        <w:rPr>
          <w:lang w:val="sk-SK"/>
        </w:rPr>
        <w:t>Uchovávať pri teplote neprevyšujúcej 25°C. Uchovávať v pôvodnom obale, aby bol chránený pred svetlom.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0" w:firstLine="0"/>
        <w:rPr>
          <w:lang w:val="sk-SK"/>
        </w:rPr>
      </w:pPr>
      <w:r w:rsidRPr="00F044A7">
        <w:rPr>
          <w:lang w:val="sk-SK"/>
        </w:rPr>
        <w:t xml:space="preserve">Nepoužívať tento veterinárny liek po dátume exspirácie uvedenom na </w:t>
      </w:r>
      <w:r>
        <w:rPr>
          <w:lang w:val="sk-SK"/>
        </w:rPr>
        <w:t>obale</w:t>
      </w:r>
      <w:r w:rsidRPr="00F044A7">
        <w:rPr>
          <w:lang w:val="sk-SK"/>
        </w:rPr>
        <w:t xml:space="preserve"> po</w:t>
      </w:r>
      <w:r>
        <w:rPr>
          <w:lang w:val="sk-SK"/>
        </w:rPr>
        <w:t xml:space="preserve"> EXP.</w:t>
      </w:r>
    </w:p>
    <w:p w:rsidR="0018338A" w:rsidRPr="00F044A7" w:rsidRDefault="0018338A" w:rsidP="0018338A">
      <w:pPr>
        <w:ind w:left="0" w:firstLine="0"/>
        <w:rPr>
          <w:lang w:val="sk-SK"/>
        </w:rPr>
      </w:pPr>
      <w:r w:rsidRPr="00F044A7">
        <w:rPr>
          <w:lang w:val="sk-SK"/>
        </w:rPr>
        <w:t>Dátum exspirácie sa vzťahuje na posledný deň v uvedenom mesiaci.</w:t>
      </w:r>
    </w:p>
    <w:p w:rsidR="0018338A" w:rsidRPr="00F044A7" w:rsidRDefault="0018338A" w:rsidP="0018338A">
      <w:pPr>
        <w:rPr>
          <w:lang w:val="sk-SK"/>
        </w:rPr>
      </w:pPr>
      <w:r w:rsidRPr="00F044A7">
        <w:rPr>
          <w:lang w:val="sk-SK"/>
        </w:rPr>
        <w:t xml:space="preserve">Čas použiteľnosti po prvom otvorení obalu: </w:t>
      </w:r>
      <w:r w:rsidR="005F0C3D">
        <w:rPr>
          <w:lang w:val="sk-SK"/>
        </w:rPr>
        <w:t>6 mesiacov</w:t>
      </w:r>
      <w:r w:rsidRPr="00F044A7">
        <w:rPr>
          <w:lang w:val="sk-SK"/>
        </w:rPr>
        <w:t>.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7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994"/>
        </w:tabs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lastRenderedPageBreak/>
        <w:t>12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OSOBITNÉ UPOZORNENIA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10"/>
        <w:ind w:left="-5" w:right="1893"/>
        <w:jc w:val="left"/>
        <w:rPr>
          <w:u w:val="single"/>
          <w:lang w:val="sk-SK"/>
        </w:rPr>
      </w:pPr>
      <w:r w:rsidRPr="00F044A7">
        <w:rPr>
          <w:u w:val="single"/>
          <w:lang w:val="sk-SK"/>
        </w:rPr>
        <w:t>Osobitné bezpečnostné opatrenia pre každý cieľový druh:</w:t>
      </w:r>
    </w:p>
    <w:p w:rsidR="0018338A" w:rsidRPr="00F044A7" w:rsidRDefault="0018338A" w:rsidP="0018338A">
      <w:pPr>
        <w:spacing w:after="10"/>
        <w:ind w:left="-5" w:right="1893"/>
        <w:jc w:val="left"/>
        <w:rPr>
          <w:lang w:val="sk-SK"/>
        </w:rPr>
      </w:pPr>
      <w:r w:rsidRPr="00F044A7">
        <w:rPr>
          <w:lang w:val="sk-SK"/>
        </w:rPr>
        <w:t>Nie sú.</w:t>
      </w:r>
    </w:p>
    <w:p w:rsidR="0018338A" w:rsidRPr="00F044A7" w:rsidRDefault="0018338A" w:rsidP="0018338A">
      <w:pPr>
        <w:spacing w:after="10"/>
        <w:ind w:left="-5" w:right="1893"/>
        <w:jc w:val="left"/>
        <w:rPr>
          <w:noProof/>
          <w:u w:val="single" w:color="000000"/>
          <w:lang w:val="sk-SK"/>
        </w:rPr>
      </w:pPr>
    </w:p>
    <w:p w:rsidR="0018338A" w:rsidRPr="00F044A7" w:rsidRDefault="0018338A" w:rsidP="0018338A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Osobitné bezpečnostné opatrenia na používanie u zvierat: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Aplikovať </w:t>
      </w:r>
      <w:r>
        <w:rPr>
          <w:noProof/>
          <w:lang w:val="sk-SK"/>
        </w:rPr>
        <w:t xml:space="preserve">len </w:t>
      </w:r>
      <w:r w:rsidRPr="00F044A7">
        <w:rPr>
          <w:noProof/>
          <w:lang w:val="sk-SK"/>
        </w:rPr>
        <w:t>po kŕmení kolostrom alebo mliekom alebo po kŕmení mliečnou náhra</w:t>
      </w:r>
      <w:r>
        <w:rPr>
          <w:noProof/>
          <w:lang w:val="sk-SK"/>
        </w:rPr>
        <w:t>dou</w:t>
      </w:r>
      <w:r w:rsidRPr="00F044A7">
        <w:rPr>
          <w:noProof/>
          <w:lang w:val="sk-SK"/>
        </w:rPr>
        <w:t xml:space="preserve"> použitím vhodnej pomôcky na perorálne podanie. Pri liečbe anorektických teliat sa má liek podávať v pol litri </w:t>
      </w:r>
      <w:r>
        <w:rPr>
          <w:noProof/>
          <w:lang w:val="sk-SK"/>
        </w:rPr>
        <w:t xml:space="preserve">elektorlytového </w:t>
      </w:r>
      <w:r w:rsidRPr="00F044A7">
        <w:rPr>
          <w:noProof/>
          <w:lang w:val="sk-SK"/>
        </w:rPr>
        <w:t xml:space="preserve">roztoku. Zvieratá majú dostať dostatočné množstvo kolostra podľa správnej chovateľskej praxe.  </w:t>
      </w:r>
    </w:p>
    <w:p w:rsidR="0018338A" w:rsidRPr="00F044A7" w:rsidRDefault="0018338A" w:rsidP="0018338A">
      <w:pPr>
        <w:spacing w:after="0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4E757B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Osobitné bezpečnostné opatrenia, ktoré má urobiť osoba podávajúca liek zvieratám:</w:t>
      </w: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Tento veterinárny liek obsahuje halofuginón, ktorý môže u niektorých ľudí spôsobiť alergickú reakciu. </w:t>
      </w:r>
      <w:r w:rsidRPr="00F044A7">
        <w:rPr>
          <w:lang w:val="sk-SK"/>
        </w:rPr>
        <w:t xml:space="preserve">Ľudia so známou precitlivenosťou na </w:t>
      </w:r>
      <w:proofErr w:type="spellStart"/>
      <w:r w:rsidRPr="00F044A7">
        <w:rPr>
          <w:lang w:val="sk-SK"/>
        </w:rPr>
        <w:t>halofuginón</w:t>
      </w:r>
      <w:proofErr w:type="spellEnd"/>
      <w:r w:rsidRPr="00F044A7">
        <w:rPr>
          <w:lang w:val="sk-SK"/>
        </w:rPr>
        <w:t xml:space="preserve"> alebo ktorúkoľvek z pomocných látok, by mali veterinárny liek podávať s opatrnosťou.</w:t>
      </w:r>
      <w:r w:rsidRPr="00F044A7">
        <w:rPr>
          <w:noProof/>
          <w:lang w:val="sk-SK"/>
        </w:rPr>
        <w:t xml:space="preserve"> Opakovaný kontakt s liekom môže viesť ku kožným alergiám. 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Tento veterinárny liek môže dráždiť pokožku a oči a nie je možné vylúčiť systémovú toxicitu v prípade kontaktu s pokožkou.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Vyhýbať sa kontaktu lieku s pokožkou, okom alebo sliznicou.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Pri manipulácii s veterinárnym liekom používať osobné ochranné pomôcky skladajúce sa z ochranných rukavíc.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>Po použití si umyť ruky.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V prípade kontaktu s pokožkou alebo očami, postihnuté miesto dôkladne </w:t>
      </w:r>
      <w:r>
        <w:rPr>
          <w:noProof/>
          <w:lang w:val="sk-SK"/>
        </w:rPr>
        <w:t>u</w:t>
      </w:r>
      <w:r w:rsidRPr="00F044A7">
        <w:rPr>
          <w:noProof/>
          <w:lang w:val="sk-SK"/>
        </w:rPr>
        <w:t xml:space="preserve">myť čistou vodou. Ak sa u vás po expozícii vyvinú príznaky ako napríklad kožná vyrážka alebo podráždenie očí, je nutné vyhľadať lekársku pomoc a lekárovi ukázať toto upouornenie. Opuch tváre, pier a očí alebo ťažkosti pri dýchaní sú závažnejšie príznaky a vyžadujú neodkladnú lekársku starostlivosť. </w:t>
      </w:r>
    </w:p>
    <w:p w:rsidR="0018338A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E1768A" w:rsidRDefault="0018338A" w:rsidP="004E757B">
      <w:pPr>
        <w:spacing w:line="240" w:lineRule="auto"/>
        <w:rPr>
          <w:lang w:val="sk-SK"/>
        </w:rPr>
      </w:pPr>
      <w:r w:rsidRPr="00E1768A">
        <w:rPr>
          <w:u w:val="single"/>
          <w:lang w:val="sk-SK"/>
        </w:rPr>
        <w:t>Gravidita a laktácia</w:t>
      </w:r>
      <w:r w:rsidRPr="00E1768A">
        <w:rPr>
          <w:lang w:val="sk-SK"/>
        </w:rPr>
        <w:t>:</w:t>
      </w:r>
    </w:p>
    <w:p w:rsidR="0018338A" w:rsidRPr="009F4B87" w:rsidRDefault="0018338A" w:rsidP="0018338A">
      <w:pPr>
        <w:spacing w:line="240" w:lineRule="auto"/>
        <w:rPr>
          <w:lang w:val="sk-SK"/>
        </w:rPr>
      </w:pPr>
      <w:r w:rsidRPr="009F4B87">
        <w:rPr>
          <w:lang w:val="sk-SK"/>
        </w:rPr>
        <w:t>Neuplatňuje sa.</w:t>
      </w:r>
    </w:p>
    <w:p w:rsidR="0018338A" w:rsidRPr="00E1768A" w:rsidRDefault="0018338A" w:rsidP="0018338A">
      <w:pPr>
        <w:spacing w:line="240" w:lineRule="auto"/>
        <w:rPr>
          <w:rFonts w:cs="Arial"/>
          <w:lang w:val="sk-SK"/>
        </w:rPr>
      </w:pPr>
    </w:p>
    <w:p w:rsidR="0018338A" w:rsidRPr="00E1768A" w:rsidRDefault="0018338A" w:rsidP="004E757B">
      <w:pPr>
        <w:spacing w:line="240" w:lineRule="auto"/>
        <w:rPr>
          <w:u w:val="single"/>
          <w:lang w:val="sk-SK"/>
        </w:rPr>
      </w:pPr>
      <w:r w:rsidRPr="00E1768A">
        <w:rPr>
          <w:u w:val="single"/>
          <w:lang w:val="sk-SK"/>
        </w:rPr>
        <w:t>Liekové interakcie a iné formy vzájomného pôsobenia:</w:t>
      </w:r>
    </w:p>
    <w:p w:rsidR="0018338A" w:rsidRPr="00E1768A" w:rsidRDefault="0018338A" w:rsidP="0018338A">
      <w:pPr>
        <w:spacing w:line="240" w:lineRule="auto"/>
        <w:rPr>
          <w:lang w:val="sk-SK"/>
        </w:rPr>
      </w:pPr>
      <w:r w:rsidRPr="00E1768A">
        <w:rPr>
          <w:lang w:val="sk-SK"/>
        </w:rPr>
        <w:t>Nie sú známe</w:t>
      </w:r>
      <w:r>
        <w:rPr>
          <w:lang w:val="sk-SK"/>
        </w:rPr>
        <w:t>.</w:t>
      </w:r>
    </w:p>
    <w:p w:rsidR="0018338A" w:rsidRPr="00BB6333" w:rsidRDefault="0018338A" w:rsidP="0018338A">
      <w:pPr>
        <w:spacing w:line="240" w:lineRule="auto"/>
        <w:rPr>
          <w:lang w:val="en-US"/>
        </w:rPr>
      </w:pPr>
    </w:p>
    <w:p w:rsidR="0018338A" w:rsidRPr="00F044A7" w:rsidRDefault="0018338A" w:rsidP="004E757B">
      <w:pPr>
        <w:spacing w:after="10"/>
        <w:ind w:left="-5" w:right="1893"/>
        <w:jc w:val="left"/>
        <w:rPr>
          <w:noProof/>
          <w:lang w:val="sk-SK"/>
        </w:rPr>
      </w:pPr>
      <w:r w:rsidRPr="00F044A7">
        <w:rPr>
          <w:noProof/>
          <w:u w:val="single" w:color="000000"/>
          <w:lang w:val="sk-SK"/>
        </w:rPr>
        <w:t>Predávkovanie (príznaky, núdzové postupy, antidotá)</w:t>
      </w:r>
      <w:r w:rsidRPr="00F044A7">
        <w:rPr>
          <w:noProof/>
          <w:lang w:val="sk-SK"/>
        </w:rPr>
        <w:t xml:space="preserve">: </w:t>
      </w:r>
    </w:p>
    <w:p w:rsidR="0018338A" w:rsidRPr="00F044A7" w:rsidRDefault="0018338A" w:rsidP="0018338A">
      <w:pPr>
        <w:ind w:left="-4" w:right="11"/>
        <w:rPr>
          <w:lang w:val="sk-SK"/>
        </w:rPr>
      </w:pPr>
      <w:r w:rsidRPr="00F044A7">
        <w:rPr>
          <w:lang w:val="sk-SK"/>
        </w:rPr>
        <w:t xml:space="preserve">Pretože príznaky toxicity sa môžu vyskytnúť pri dvojnásobnej terapeutickej dávke, je nevyhnutné prísne dodržiavať odporučené dávkovanie. Príznaky toxicity zahŕňajú hnačku, krv prítomnú vo fekáliách, pokles spotreby mlieka, dehydratáciu, apatiu a </w:t>
      </w:r>
      <w:proofErr w:type="spellStart"/>
      <w:r w:rsidRPr="00F044A7">
        <w:rPr>
          <w:lang w:val="sk-SK"/>
        </w:rPr>
        <w:t>prostráciu</w:t>
      </w:r>
      <w:proofErr w:type="spellEnd"/>
      <w:r w:rsidRPr="00F044A7">
        <w:rPr>
          <w:lang w:val="sk-SK"/>
        </w:rPr>
        <w:t xml:space="preserve">. Ak sa vyskytnú klinické príznaky pri predávkovaní, liečba musí byť ihneď zastavená a zviera nakŕmené </w:t>
      </w:r>
      <w:proofErr w:type="spellStart"/>
      <w:r w:rsidRPr="00F044A7">
        <w:rPr>
          <w:lang w:val="sk-SK"/>
        </w:rPr>
        <w:t>nemedikovaným</w:t>
      </w:r>
      <w:proofErr w:type="spellEnd"/>
      <w:r w:rsidRPr="00F044A7">
        <w:rPr>
          <w:lang w:val="sk-SK"/>
        </w:rPr>
        <w:t xml:space="preserve"> mliekom alebo mliečnou náhradou. Môže byť potrebná rehydratácia. </w:t>
      </w:r>
    </w:p>
    <w:p w:rsidR="0018338A" w:rsidRPr="00F044A7" w:rsidRDefault="0018338A" w:rsidP="0018338A">
      <w:pPr>
        <w:ind w:left="-4" w:right="11"/>
        <w:rPr>
          <w:lang w:val="sk-SK"/>
        </w:rPr>
      </w:pPr>
    </w:p>
    <w:p w:rsidR="0018338A" w:rsidRPr="004E757B" w:rsidRDefault="0018338A" w:rsidP="004E757B">
      <w:pPr>
        <w:ind w:left="-4" w:right="11"/>
        <w:rPr>
          <w:u w:val="single"/>
          <w:lang w:val="sk-SK"/>
        </w:rPr>
      </w:pPr>
      <w:r w:rsidRPr="00F044A7">
        <w:rPr>
          <w:bCs/>
          <w:u w:val="single"/>
          <w:lang w:val="sk-SK"/>
        </w:rPr>
        <w:t>Inkompatibility</w:t>
      </w:r>
      <w:r w:rsidRPr="00F044A7">
        <w:rPr>
          <w:u w:val="single"/>
          <w:lang w:val="sk-SK"/>
        </w:rPr>
        <w:t>: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lang w:val="sk-SK"/>
        </w:rPr>
        <w:t>Z dôvodu chýbania štúdií kompatibility sa tento veterinárny liek nesmie miešať s inými veterinárnymi liekmi.</w:t>
      </w:r>
      <w:r w:rsidRPr="00F044A7">
        <w:rPr>
          <w:noProof/>
          <w:lang w:val="sk-SK"/>
        </w:rPr>
        <w:t xml:space="preserve">  </w:t>
      </w:r>
    </w:p>
    <w:p w:rsidR="0018338A" w:rsidRPr="00F044A7" w:rsidRDefault="0018338A" w:rsidP="00A4220B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spacing w:after="4" w:line="251" w:lineRule="auto"/>
        <w:ind w:left="552" w:right="0" w:hanging="566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13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OSOBITNÉ BEZPEČNOSTNÉ OPATRENIA NA ZNEŠKODNENIE NEPOUŽITÉHO LIEKU(-OV) ALEBO ODPADOVÉHO MATERIÁLU, V PRÍPADE POTREBY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4E757B">
      <w:pPr>
        <w:ind w:left="-4" w:right="11"/>
        <w:rPr>
          <w:noProof/>
          <w:lang w:val="sk-SK"/>
        </w:rPr>
      </w:pPr>
      <w:r>
        <w:rPr>
          <w:noProof/>
          <w:lang w:val="sk-SK"/>
        </w:rPr>
        <w:t xml:space="preserve">Tento veterinárny liek </w:t>
      </w:r>
      <w:r w:rsidRPr="00F044A7">
        <w:rPr>
          <w:lang w:val="sk-SK"/>
        </w:rPr>
        <w:t xml:space="preserve">nesmie kontaminovať vodné toky, pretože môže byť nebezpečný pre ryby a iné vodné organizmy. </w:t>
      </w:r>
      <w:r w:rsidRPr="00F044A7">
        <w:rPr>
          <w:noProof/>
          <w:lang w:val="sk-SK"/>
        </w:rPr>
        <w:t xml:space="preserve">Každý nepoužitý veterinárny liek alebo odpadové materiály z tohto veterinárneho lieku musia byť zlikvidované v súlade s miestnymi požiadavkami.  </w:t>
      </w:r>
    </w:p>
    <w:p w:rsidR="0018338A" w:rsidRPr="00F044A7" w:rsidRDefault="0018338A" w:rsidP="0018338A">
      <w:pPr>
        <w:spacing w:after="7" w:line="259" w:lineRule="auto"/>
        <w:ind w:left="1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ind w:left="552" w:right="0" w:hanging="566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t>14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 xml:space="preserve">DÁTUM POSLEDNÉHO SCHVÁLENIA TEXTU V PÍSOMNEJ INFORMÁCII PRE POUŽÍVATEĽOV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Pr="00F044A7" w:rsidRDefault="0018338A" w:rsidP="0018338A">
      <w:pPr>
        <w:spacing w:after="6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pStyle w:val="Nadpis1"/>
        <w:tabs>
          <w:tab w:val="center" w:pos="1738"/>
        </w:tabs>
        <w:spacing w:after="4" w:line="251" w:lineRule="auto"/>
        <w:ind w:left="-14" w:right="0" w:firstLine="0"/>
        <w:rPr>
          <w:noProof/>
          <w:lang w:val="sk-SK"/>
        </w:rPr>
      </w:pPr>
      <w:r w:rsidRPr="00F044A7">
        <w:rPr>
          <w:noProof/>
          <w:shd w:val="clear" w:color="auto" w:fill="C0C0C0"/>
          <w:lang w:val="sk-SK"/>
        </w:rPr>
        <w:lastRenderedPageBreak/>
        <w:t>15</w:t>
      </w:r>
      <w:r w:rsidRPr="00F044A7">
        <w:rPr>
          <w:noProof/>
          <w:lang w:val="sk-SK"/>
        </w:rPr>
        <w:t xml:space="preserve">. </w:t>
      </w:r>
      <w:r w:rsidRPr="00F044A7">
        <w:rPr>
          <w:noProof/>
          <w:lang w:val="sk-SK"/>
        </w:rPr>
        <w:tab/>
        <w:t>ĎALŠIE INFORMÁCIE</w:t>
      </w:r>
      <w:r w:rsidRPr="00F044A7">
        <w:rPr>
          <w:b w:val="0"/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 w:rsidRPr="00F044A7">
        <w:rPr>
          <w:noProof/>
          <w:lang w:val="sk-SK"/>
        </w:rPr>
        <w:t xml:space="preserve">Biela fľaša z polyetylénu z vysokou hustotou so skrutkovacím bezpečnostným uzáverom s objemom 500 ml a 1 l. </w:t>
      </w:r>
    </w:p>
    <w:p w:rsidR="0018338A" w:rsidRPr="00F044A7" w:rsidRDefault="0018338A" w:rsidP="0018338A">
      <w:pPr>
        <w:ind w:left="-4" w:right="11"/>
        <w:rPr>
          <w:noProof/>
          <w:lang w:val="sk-SK"/>
        </w:rPr>
      </w:pPr>
      <w:r w:rsidRPr="00F044A7">
        <w:rPr>
          <w:noProof/>
          <w:lang w:val="sk-SK"/>
        </w:rPr>
        <w:t xml:space="preserve">Nie všetky veľkosti balenia sa musia uvádzať na trh. </w:t>
      </w:r>
    </w:p>
    <w:p w:rsidR="0018338A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18338A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  <w:r>
        <w:rPr>
          <w:noProof/>
          <w:lang w:val="sk-SK"/>
        </w:rPr>
        <w:t xml:space="preserve">Výdaj lieku je viazaný na veterinárny predpis. </w:t>
      </w:r>
    </w:p>
    <w:p w:rsidR="0018338A" w:rsidRPr="00F044A7" w:rsidRDefault="0018338A" w:rsidP="0018338A">
      <w:pPr>
        <w:spacing w:after="0" w:line="259" w:lineRule="auto"/>
        <w:ind w:left="0" w:firstLine="0"/>
        <w:jc w:val="left"/>
        <w:rPr>
          <w:noProof/>
          <w:lang w:val="sk-SK"/>
        </w:rPr>
      </w:pPr>
    </w:p>
    <w:p w:rsidR="00607477" w:rsidRDefault="00607477"/>
    <w:sectPr w:rsidR="00607477" w:rsidSect="00E33538">
      <w:footerReference w:type="even" r:id="rId7"/>
      <w:footerReference w:type="default" r:id="rId8"/>
      <w:footerReference w:type="first" r:id="rId9"/>
      <w:pgSz w:w="11906" w:h="16838"/>
      <w:pgMar w:top="993" w:right="1133" w:bottom="1276" w:left="1166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6B" w:rsidRDefault="00E81D6B" w:rsidP="0018338A">
      <w:pPr>
        <w:spacing w:after="0" w:line="240" w:lineRule="auto"/>
      </w:pPr>
      <w:r>
        <w:separator/>
      </w:r>
    </w:p>
  </w:endnote>
  <w:endnote w:type="continuationSeparator" w:id="0">
    <w:p w:rsidR="00E81D6B" w:rsidRDefault="00E81D6B" w:rsidP="0018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C6" w:rsidRDefault="003531E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460593"/>
      <w:docPartObj>
        <w:docPartGallery w:val="Page Numbers (Bottom of Page)"/>
        <w:docPartUnique/>
      </w:docPartObj>
    </w:sdtPr>
    <w:sdtEndPr/>
    <w:sdtContent>
      <w:p w:rsidR="0018338A" w:rsidRDefault="001833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005">
          <w:rPr>
            <w:noProof/>
          </w:rPr>
          <w:t>5</w:t>
        </w:r>
        <w:r>
          <w:fldChar w:fldCharType="end"/>
        </w:r>
      </w:p>
    </w:sdtContent>
  </w:sdt>
  <w:p w:rsidR="007737C6" w:rsidRDefault="001F3005">
    <w:pPr>
      <w:spacing w:after="0" w:line="259" w:lineRule="auto"/>
      <w:ind w:left="0" w:right="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C6" w:rsidRDefault="003531E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6B" w:rsidRDefault="00E81D6B" w:rsidP="0018338A">
      <w:pPr>
        <w:spacing w:after="0" w:line="240" w:lineRule="auto"/>
      </w:pPr>
      <w:r>
        <w:separator/>
      </w:r>
    </w:p>
  </w:footnote>
  <w:footnote w:type="continuationSeparator" w:id="0">
    <w:p w:rsidR="00E81D6B" w:rsidRDefault="00E81D6B" w:rsidP="00183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37B"/>
    <w:multiLevelType w:val="hybridMultilevel"/>
    <w:tmpl w:val="7CA685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13D9"/>
    <w:multiLevelType w:val="hybridMultilevel"/>
    <w:tmpl w:val="C09CD392"/>
    <w:lvl w:ilvl="0" w:tplc="D1E84AEA">
      <w:start w:val="4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E962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AF48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67B5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868B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CE15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83DF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5E349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B6022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A5446"/>
    <w:multiLevelType w:val="multilevel"/>
    <w:tmpl w:val="3958398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C4A48"/>
    <w:multiLevelType w:val="hybridMultilevel"/>
    <w:tmpl w:val="FA6CC546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8A"/>
    <w:rsid w:val="0018338A"/>
    <w:rsid w:val="001F3005"/>
    <w:rsid w:val="003531E8"/>
    <w:rsid w:val="00442443"/>
    <w:rsid w:val="004A36E9"/>
    <w:rsid w:val="004E757B"/>
    <w:rsid w:val="005F0C3D"/>
    <w:rsid w:val="00607477"/>
    <w:rsid w:val="00690E57"/>
    <w:rsid w:val="007224C7"/>
    <w:rsid w:val="007743AE"/>
    <w:rsid w:val="00A4220B"/>
    <w:rsid w:val="00C41C0B"/>
    <w:rsid w:val="00C80E1B"/>
    <w:rsid w:val="00E70DF7"/>
    <w:rsid w:val="00E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B07B"/>
  <w15:chartTrackingRefBased/>
  <w15:docId w15:val="{6382CFB2-7501-45BE-B0F1-DB2204F9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38A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Nadpis1">
    <w:name w:val="heading 1"/>
    <w:next w:val="Normlny"/>
    <w:link w:val="Nadpis1Char"/>
    <w:uiPriority w:val="9"/>
    <w:qFormat/>
    <w:rsid w:val="0018338A"/>
    <w:pPr>
      <w:keepNext/>
      <w:keepLines/>
      <w:spacing w:after="3" w:line="252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lang w:val="en-GB" w:eastAsia="en-GB"/>
    </w:rPr>
  </w:style>
  <w:style w:type="paragraph" w:styleId="Nadpis2">
    <w:name w:val="heading 2"/>
    <w:next w:val="Normlny"/>
    <w:link w:val="Nadpis2Char"/>
    <w:uiPriority w:val="9"/>
    <w:unhideWhenUsed/>
    <w:qFormat/>
    <w:rsid w:val="0018338A"/>
    <w:pPr>
      <w:keepNext/>
      <w:keepLines/>
      <w:spacing w:after="4" w:line="25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338A"/>
    <w:rPr>
      <w:rFonts w:ascii="Times New Roman" w:eastAsia="Times New Roman" w:hAnsi="Times New Roman" w:cs="Times New Roman"/>
      <w:b/>
      <w:color w:val="000000"/>
      <w:lang w:val="en-GB" w:eastAsia="en-GB"/>
    </w:rPr>
  </w:style>
  <w:style w:type="character" w:customStyle="1" w:styleId="Nadpis2Char">
    <w:name w:val="Nadpis 2 Char"/>
    <w:basedOn w:val="Predvolenpsmoodseku"/>
    <w:link w:val="Nadpis2"/>
    <w:uiPriority w:val="9"/>
    <w:rsid w:val="0018338A"/>
    <w:rPr>
      <w:rFonts w:ascii="Times New Roman" w:eastAsia="Times New Roman" w:hAnsi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18338A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833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8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338A"/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1833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18338A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443"/>
    <w:rPr>
      <w:rFonts w:ascii="Segoe UI" w:eastAsia="Times New Roman" w:hAnsi="Segoe UI" w:cs="Segoe UI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cp:lastPrinted>2020-07-01T11:18:00Z</cp:lastPrinted>
  <dcterms:created xsi:type="dcterms:W3CDTF">2020-07-01T06:56:00Z</dcterms:created>
  <dcterms:modified xsi:type="dcterms:W3CDTF">2022-01-28T09:53:00Z</dcterms:modified>
</cp:coreProperties>
</file>