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CA" w:rsidRDefault="00AD47CA" w:rsidP="00AD47CA">
      <w:pPr>
        <w:jc w:val="both"/>
        <w:rPr>
          <w:b/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 xml:space="preserve">Príloha č. 1 k Rozhodnutiu č.: </w:t>
      </w:r>
      <w:r>
        <w:rPr>
          <w:b/>
          <w:sz w:val="18"/>
          <w:szCs w:val="18"/>
        </w:rPr>
        <w:t>096/DG/23-S</w:t>
      </w:r>
    </w:p>
    <w:p w:rsidR="00AD47CA" w:rsidRDefault="00AD47CA" w:rsidP="00AD47CA">
      <w:pPr>
        <w:jc w:val="both"/>
        <w:rPr>
          <w:b/>
          <w:sz w:val="22"/>
          <w:szCs w:val="22"/>
        </w:rPr>
      </w:pPr>
    </w:p>
    <w:p w:rsidR="00AD47CA" w:rsidRDefault="00AD47CA" w:rsidP="00AD47CA">
      <w:pPr>
        <w:ind w:left="-566" w:right="-577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NÁVOD NA POUŽITIE</w:t>
      </w:r>
    </w:p>
    <w:p w:rsidR="00AD47CA" w:rsidRDefault="00AD47CA" w:rsidP="00AD47CA">
      <w:pPr>
        <w:ind w:left="-566" w:right="-577"/>
        <w:jc w:val="center"/>
        <w:rPr>
          <w:b/>
          <w:sz w:val="26"/>
          <w:szCs w:val="26"/>
        </w:rPr>
      </w:pPr>
    </w:p>
    <w:p w:rsidR="00AD47CA" w:rsidRDefault="00AD47CA" w:rsidP="00AD47CA">
      <w:pPr>
        <w:ind w:left="-566" w:right="-577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Speed cPL</w:t>
      </w:r>
    </w:p>
    <w:p w:rsidR="00AD47CA" w:rsidRDefault="00AD47CA" w:rsidP="00AD47CA">
      <w:pPr>
        <w:ind w:left="-566" w:right="-577"/>
        <w:jc w:val="center"/>
      </w:pPr>
      <w:r>
        <w:t>Veterinárna diagnostická súprava</w:t>
      </w:r>
    </w:p>
    <w:p w:rsidR="00AD47CA" w:rsidRDefault="00AD47CA" w:rsidP="00AD47CA">
      <w:pPr>
        <w:ind w:left="-566" w:right="-577"/>
        <w:jc w:val="center"/>
      </w:pPr>
      <w:r>
        <w:t>Na použitie in vitro</w:t>
      </w:r>
    </w:p>
    <w:p w:rsidR="00AD47CA" w:rsidRDefault="00AD47CA" w:rsidP="00AD47CA">
      <w:pPr>
        <w:ind w:left="-566" w:right="-577"/>
        <w:jc w:val="both"/>
      </w:pPr>
    </w:p>
    <w:p w:rsidR="00AD47CA" w:rsidRDefault="00AD47CA" w:rsidP="00AD47CA">
      <w:pPr>
        <w:ind w:left="-566" w:right="-577"/>
        <w:jc w:val="both"/>
      </w:pPr>
    </w:p>
    <w:p w:rsidR="00AD47CA" w:rsidRPr="00031ABA" w:rsidRDefault="00AD47CA" w:rsidP="00AD47CA">
      <w:pPr>
        <w:numPr>
          <w:ilvl w:val="0"/>
          <w:numId w:val="1"/>
        </w:numPr>
        <w:tabs>
          <w:tab w:val="left" w:pos="284"/>
        </w:tabs>
        <w:spacing w:line="276" w:lineRule="auto"/>
        <w:ind w:left="0" w:right="-577" w:firstLine="0"/>
        <w:jc w:val="both"/>
        <w:rPr>
          <w:b/>
          <w:sz w:val="22"/>
          <w:szCs w:val="22"/>
        </w:rPr>
      </w:pPr>
      <w:r w:rsidRPr="00031ABA">
        <w:rPr>
          <w:b/>
          <w:sz w:val="22"/>
          <w:szCs w:val="22"/>
        </w:rPr>
        <w:t>KLINICKÉ POUŽITIE</w:t>
      </w:r>
    </w:p>
    <w:p w:rsidR="00AD47CA" w:rsidRPr="00031ABA" w:rsidRDefault="00AD47CA" w:rsidP="00AD47CA">
      <w:pPr>
        <w:tabs>
          <w:tab w:val="left" w:pos="3828"/>
        </w:tabs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Pankreatitída u psov je časté ochorenie, ktoré sa prejavuje miernymi až závažnými nešpecifickými príznakmi vrátane vracania, letargie, straty chuti do žrádla, bolesti brucha a horúčky. Diagnostika pankreatitídy zahŕňa kombináciu konzistentných klinických, zobrazovacích a rutinných nálezov krvných testov, ale nie je špecifická. Meranie špecifickej pankreatickej lipázy (cPL) v krvi poskytuje presnú podporu pri diagnostike exokrinného zápalu pankreasu. </w:t>
      </w:r>
    </w:p>
    <w:p w:rsidR="00AD47CA" w:rsidRPr="00031ABA" w:rsidRDefault="00AD47CA" w:rsidP="00AD47CA">
      <w:pPr>
        <w:jc w:val="both"/>
        <w:rPr>
          <w:sz w:val="10"/>
          <w:szCs w:val="10"/>
        </w:rPr>
      </w:pPr>
    </w:p>
    <w:p w:rsidR="00AD47CA" w:rsidRPr="00031ABA" w:rsidRDefault="00AD47CA" w:rsidP="00AD47CA">
      <w:pPr>
        <w:numPr>
          <w:ilvl w:val="0"/>
          <w:numId w:val="1"/>
        </w:numPr>
        <w:tabs>
          <w:tab w:val="left" w:pos="284"/>
        </w:tabs>
        <w:spacing w:line="276" w:lineRule="auto"/>
        <w:ind w:left="0" w:right="-577" w:firstLine="0"/>
        <w:jc w:val="both"/>
        <w:rPr>
          <w:b/>
          <w:sz w:val="22"/>
          <w:szCs w:val="22"/>
        </w:rPr>
      </w:pPr>
      <w:r w:rsidRPr="00031ABA">
        <w:rPr>
          <w:b/>
          <w:sz w:val="22"/>
          <w:szCs w:val="22"/>
        </w:rPr>
        <w:t>PRINCÍP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Test Speed cPL je rýchly imunochromatografický kvantitatívny test, ktorý meria cirkulujúcu psiu pankreatickú lipázu laserom indukovanou fluorescenčnou analýzou. </w:t>
      </w:r>
    </w:p>
    <w:p w:rsidR="00AD47CA" w:rsidRPr="00031ABA" w:rsidRDefault="00AD47CA" w:rsidP="00AD47CA">
      <w:pPr>
        <w:jc w:val="both"/>
        <w:rPr>
          <w:sz w:val="10"/>
          <w:szCs w:val="10"/>
        </w:rPr>
      </w:pPr>
    </w:p>
    <w:p w:rsidR="00AD47CA" w:rsidRPr="00031ABA" w:rsidRDefault="00AD47CA" w:rsidP="00AD47CA">
      <w:pPr>
        <w:numPr>
          <w:ilvl w:val="0"/>
          <w:numId w:val="1"/>
        </w:numPr>
        <w:tabs>
          <w:tab w:val="left" w:pos="284"/>
        </w:tabs>
        <w:spacing w:line="276" w:lineRule="auto"/>
        <w:ind w:left="0" w:right="-577" w:firstLine="0"/>
        <w:jc w:val="both"/>
        <w:rPr>
          <w:b/>
          <w:sz w:val="22"/>
          <w:szCs w:val="22"/>
        </w:rPr>
      </w:pPr>
      <w:r w:rsidRPr="00031ABA">
        <w:rPr>
          <w:b/>
          <w:sz w:val="22"/>
          <w:szCs w:val="22"/>
        </w:rPr>
        <w:t>BEZPEČNOSTNÉ OPATRENIA A UPOZORNENIA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Len na použitie veterinárnymi lekármi. </w:t>
      </w:r>
    </w:p>
    <w:p w:rsidR="00AD47CA" w:rsidRPr="00031ABA" w:rsidRDefault="00AD47CA" w:rsidP="00AD47CA">
      <w:pPr>
        <w:jc w:val="both"/>
        <w:rPr>
          <w:b/>
          <w:sz w:val="10"/>
          <w:szCs w:val="10"/>
          <w:u w:val="single"/>
        </w:rPr>
      </w:pPr>
    </w:p>
    <w:p w:rsidR="00AD47CA" w:rsidRPr="00031ABA" w:rsidRDefault="00AD47CA" w:rsidP="00AD47CA">
      <w:pPr>
        <w:jc w:val="both"/>
        <w:rPr>
          <w:b/>
          <w:sz w:val="22"/>
          <w:szCs w:val="22"/>
        </w:rPr>
      </w:pPr>
      <w:r w:rsidRPr="00031ABA">
        <w:rPr>
          <w:b/>
          <w:sz w:val="22"/>
          <w:szCs w:val="22"/>
        </w:rPr>
        <w:t xml:space="preserve">VZORKA 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b/>
          <w:sz w:val="22"/>
          <w:szCs w:val="22"/>
        </w:rPr>
        <w:t xml:space="preserve">- Používajte iba vzorky séra alebo plazmy (Heparin-Li). </w:t>
      </w:r>
      <w:r w:rsidRPr="00031ABA">
        <w:rPr>
          <w:sz w:val="22"/>
          <w:szCs w:val="22"/>
        </w:rPr>
        <w:t xml:space="preserve">Nepoužívajte plnú krv ani vzorky ošetrené EDTA. 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>- Ak sa test nevykoná do jednej hodiny, preneste sérum alebo plazmu do suchej skúmavky.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>- Sérum alebo plazm</w:t>
      </w:r>
      <w:r>
        <w:rPr>
          <w:sz w:val="22"/>
          <w:szCs w:val="22"/>
        </w:rPr>
        <w:t>u</w:t>
      </w:r>
      <w:r w:rsidRPr="00031AB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uchovávajte </w:t>
      </w:r>
      <w:r w:rsidRPr="00031ABA">
        <w:rPr>
          <w:sz w:val="22"/>
          <w:szCs w:val="22"/>
        </w:rPr>
        <w:t>v chladničke (+2 °C až +8 °C)</w:t>
      </w:r>
      <w:r>
        <w:rPr>
          <w:sz w:val="22"/>
          <w:szCs w:val="22"/>
        </w:rPr>
        <w:t>,</w:t>
      </w:r>
      <w:r w:rsidRPr="00031ABA">
        <w:rPr>
          <w:sz w:val="22"/>
          <w:szCs w:val="22"/>
        </w:rPr>
        <w:t xml:space="preserve"> najviac </w:t>
      </w:r>
      <w:r>
        <w:rPr>
          <w:sz w:val="22"/>
          <w:szCs w:val="22"/>
        </w:rPr>
        <w:t xml:space="preserve">po dobu </w:t>
      </w:r>
      <w:r w:rsidRPr="00031ABA">
        <w:rPr>
          <w:sz w:val="22"/>
          <w:szCs w:val="22"/>
        </w:rPr>
        <w:t>72 hodín. Po 72 hodinách od odberu vzo</w:t>
      </w:r>
      <w:r>
        <w:rPr>
          <w:sz w:val="22"/>
          <w:szCs w:val="22"/>
        </w:rPr>
        <w:t>riek sa sérum alebo plazma musí</w:t>
      </w:r>
      <w:r w:rsidRPr="00031ABA">
        <w:rPr>
          <w:sz w:val="22"/>
          <w:szCs w:val="22"/>
        </w:rPr>
        <w:t xml:space="preserve"> zmraziť pri teplote -20 °C.  *</w:t>
      </w:r>
      <w:r>
        <w:rPr>
          <w:i/>
          <w:sz w:val="22"/>
          <w:szCs w:val="22"/>
        </w:rPr>
        <w:t>Pred analýzou je potrebné chladené/zmrazené vzorky nechať temperovať na izbovú teplotu (18 – 27 °C) a odstrediť. NEZAHRIEVAŤ!</w:t>
      </w:r>
      <w:r w:rsidRPr="00031ABA">
        <w:rPr>
          <w:sz w:val="22"/>
          <w:szCs w:val="22"/>
        </w:rPr>
        <w:t xml:space="preserve"> 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- Nepozorovala sa žiadna interferencia s hemolýzou alebo hyperlipémiou. 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- Prítomnosť fibrínových vlákien a/alebo častíc vo vzorke môže viesť k chybným výsledkom v dôsledku upchatia pipiet a zníženého </w:t>
      </w:r>
      <w:r>
        <w:rPr>
          <w:sz w:val="22"/>
          <w:szCs w:val="22"/>
        </w:rPr>
        <w:t xml:space="preserve">množstva </w:t>
      </w:r>
      <w:r w:rsidRPr="00031ABA">
        <w:rPr>
          <w:sz w:val="22"/>
          <w:szCs w:val="22"/>
        </w:rPr>
        <w:t>nasávaného objemu. V tomto prípade vzorku znovu odstreďte (&gt;</w:t>
      </w:r>
      <w:r>
        <w:rPr>
          <w:sz w:val="22"/>
          <w:szCs w:val="22"/>
        </w:rPr>
        <w:t xml:space="preserve"> </w:t>
      </w:r>
      <w:r w:rsidRPr="00031ABA">
        <w:rPr>
          <w:sz w:val="22"/>
          <w:szCs w:val="22"/>
        </w:rPr>
        <w:t xml:space="preserve">2000 g 10 min). </w:t>
      </w:r>
    </w:p>
    <w:p w:rsidR="00AD47CA" w:rsidRPr="00947897" w:rsidRDefault="00AD47CA" w:rsidP="00AD47CA">
      <w:pPr>
        <w:jc w:val="both"/>
        <w:rPr>
          <w:b/>
          <w:sz w:val="10"/>
          <w:szCs w:val="10"/>
          <w:u w:val="single"/>
        </w:rPr>
      </w:pPr>
      <w:r w:rsidRPr="00031ABA">
        <w:rPr>
          <w:b/>
          <w:sz w:val="22"/>
          <w:szCs w:val="22"/>
          <w:u w:val="single"/>
        </w:rPr>
        <w:t xml:space="preserve"> </w:t>
      </w:r>
    </w:p>
    <w:p w:rsidR="00AD47CA" w:rsidRPr="00031ABA" w:rsidRDefault="00AD47CA" w:rsidP="00AD47C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SPRÁVNE POUŽITIE PIPETY</w:t>
      </w:r>
      <w:r w:rsidRPr="00031ABA">
        <w:rPr>
          <w:b/>
          <w:sz w:val="22"/>
          <w:szCs w:val="22"/>
          <w:u w:val="single"/>
        </w:rPr>
        <w:t xml:space="preserve"> 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>
        <w:rPr>
          <w:sz w:val="22"/>
          <w:szCs w:val="22"/>
        </w:rPr>
        <w:t>-  Na každý test p</w:t>
      </w:r>
      <w:r w:rsidRPr="00031ABA">
        <w:rPr>
          <w:sz w:val="22"/>
          <w:szCs w:val="22"/>
        </w:rPr>
        <w:t xml:space="preserve">oužite novú jednorazovú </w:t>
      </w:r>
      <w:r>
        <w:rPr>
          <w:sz w:val="22"/>
          <w:szCs w:val="22"/>
        </w:rPr>
        <w:t>špičku pipety.</w:t>
      </w:r>
    </w:p>
    <w:p w:rsidR="00AD47CA" w:rsidRPr="00031ABA" w:rsidRDefault="00AD47CA" w:rsidP="00AD47CA">
      <w:pPr>
        <w:tabs>
          <w:tab w:val="left" w:pos="14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031ABA">
        <w:rPr>
          <w:sz w:val="22"/>
          <w:szCs w:val="22"/>
        </w:rPr>
        <w:t xml:space="preserve">Pipetu, vzorku a </w:t>
      </w:r>
      <w:r>
        <w:rPr>
          <w:sz w:val="22"/>
          <w:szCs w:val="22"/>
        </w:rPr>
        <w:t>skúmavku</w:t>
      </w:r>
      <w:r w:rsidRPr="00031ABA">
        <w:rPr>
          <w:sz w:val="22"/>
          <w:szCs w:val="22"/>
        </w:rPr>
        <w:t xml:space="preserve"> s činidlom držte vždy vertikálne, aby ste zaistili správny objem odberu vzoriek. </w:t>
      </w:r>
    </w:p>
    <w:p w:rsidR="00AD47CA" w:rsidRPr="00031ABA" w:rsidRDefault="00AD47CA" w:rsidP="00AD47CA">
      <w:pPr>
        <w:tabs>
          <w:tab w:val="left" w:pos="142"/>
        </w:tabs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- Stlačte a podržte piest pipety, potom ponorte hrot </w:t>
      </w:r>
      <w:r>
        <w:rPr>
          <w:sz w:val="22"/>
          <w:szCs w:val="22"/>
        </w:rPr>
        <w:t xml:space="preserve">špičky </w:t>
      </w:r>
      <w:r w:rsidRPr="00031ABA">
        <w:rPr>
          <w:sz w:val="22"/>
          <w:szCs w:val="22"/>
        </w:rPr>
        <w:t xml:space="preserve">pod povrch vzorky, pričom dávajte pozor, aby ste sa nedotkli stien skúmavky. 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- Piest </w:t>
      </w:r>
      <w:r w:rsidRPr="00031ABA">
        <w:rPr>
          <w:b/>
          <w:sz w:val="22"/>
          <w:szCs w:val="22"/>
        </w:rPr>
        <w:t>pomaly</w:t>
      </w:r>
      <w:r w:rsidRPr="00031ABA">
        <w:rPr>
          <w:sz w:val="22"/>
          <w:szCs w:val="22"/>
        </w:rPr>
        <w:t xml:space="preserve"> uvoľňujte, pričom </w:t>
      </w:r>
      <w:r>
        <w:rPr>
          <w:sz w:val="22"/>
          <w:szCs w:val="22"/>
        </w:rPr>
        <w:t>hrot špičky</w:t>
      </w:r>
      <w:r w:rsidRPr="00031ABA">
        <w:rPr>
          <w:sz w:val="22"/>
          <w:szCs w:val="22"/>
        </w:rPr>
        <w:t xml:space="preserve"> držte v kvapaline, aby nasával.</w:t>
      </w:r>
    </w:p>
    <w:p w:rsidR="00AD47CA" w:rsidRPr="00031ABA" w:rsidRDefault="00AD47CA" w:rsidP="00AD47CA">
      <w:pPr>
        <w:tabs>
          <w:tab w:val="left" w:pos="142"/>
        </w:tabs>
        <w:jc w:val="both"/>
        <w:rPr>
          <w:sz w:val="22"/>
          <w:szCs w:val="22"/>
        </w:rPr>
      </w:pPr>
      <w:r w:rsidRPr="00031ABA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031ABA">
        <w:rPr>
          <w:sz w:val="22"/>
          <w:szCs w:val="22"/>
        </w:rPr>
        <w:t xml:space="preserve">Pred vybratím pipety z kvapaliny počkajte 1-2 sekundy a skontrolujte, či sa v špičke nenachádzajú vzduchové bubliny. </w:t>
      </w:r>
      <w:r w:rsidRPr="00031ABA">
        <w:rPr>
          <w:i/>
          <w:sz w:val="22"/>
          <w:szCs w:val="22"/>
        </w:rPr>
        <w:t xml:space="preserve">Ak sú prítomné, vzorku zlikvidujte a krok odberu vzorky zopakujte </w:t>
      </w:r>
      <w:r>
        <w:rPr>
          <w:i/>
          <w:sz w:val="22"/>
          <w:szCs w:val="22"/>
        </w:rPr>
        <w:t>s novou špičkou.</w:t>
      </w:r>
    </w:p>
    <w:p w:rsidR="00AD47CA" w:rsidRPr="00031ABA" w:rsidRDefault="00AD47CA" w:rsidP="00AD47CA">
      <w:pPr>
        <w:jc w:val="both"/>
        <w:rPr>
          <w:sz w:val="22"/>
          <w:szCs w:val="22"/>
          <w:u w:val="single"/>
        </w:rPr>
      </w:pPr>
      <w:r w:rsidRPr="00031ABA">
        <w:rPr>
          <w:sz w:val="22"/>
          <w:szCs w:val="22"/>
        </w:rPr>
        <w:t xml:space="preserve">- Na vypustenie vzorky do reagenčnej </w:t>
      </w:r>
      <w:r>
        <w:rPr>
          <w:sz w:val="22"/>
          <w:szCs w:val="22"/>
        </w:rPr>
        <w:t>skúmavky</w:t>
      </w:r>
      <w:r w:rsidRPr="00031ABA">
        <w:rPr>
          <w:sz w:val="22"/>
          <w:szCs w:val="22"/>
        </w:rPr>
        <w:t xml:space="preserve"> priložte </w:t>
      </w:r>
      <w:r>
        <w:rPr>
          <w:sz w:val="22"/>
          <w:szCs w:val="22"/>
        </w:rPr>
        <w:t>hrot špičky</w:t>
      </w:r>
      <w:r w:rsidRPr="00031ABA">
        <w:rPr>
          <w:sz w:val="22"/>
          <w:szCs w:val="22"/>
        </w:rPr>
        <w:t xml:space="preserve"> na stenu skúmavky a zatlačte pipetovací piest</w:t>
      </w:r>
      <w:r>
        <w:rPr>
          <w:sz w:val="22"/>
          <w:szCs w:val="22"/>
        </w:rPr>
        <w:t xml:space="preserve"> nadoraz</w:t>
      </w:r>
      <w:r w:rsidRPr="00031ABA">
        <w:rPr>
          <w:sz w:val="22"/>
          <w:szCs w:val="22"/>
        </w:rPr>
        <w:t>, aby sa vzorka uvoľnila.</w:t>
      </w:r>
    </w:p>
    <w:p w:rsidR="00AD47CA" w:rsidRPr="00031ABA" w:rsidRDefault="00AD47CA" w:rsidP="00AD47CA">
      <w:pPr>
        <w:jc w:val="both"/>
        <w:rPr>
          <w:sz w:val="10"/>
          <w:szCs w:val="10"/>
        </w:rPr>
      </w:pPr>
    </w:p>
    <w:p w:rsidR="00AD47CA" w:rsidRPr="00031ABA" w:rsidRDefault="00AD47CA" w:rsidP="00AD47CA">
      <w:pPr>
        <w:jc w:val="both"/>
        <w:rPr>
          <w:b/>
          <w:sz w:val="22"/>
          <w:szCs w:val="22"/>
          <w:u w:val="single"/>
        </w:rPr>
      </w:pPr>
      <w:r w:rsidRPr="00031ABA">
        <w:rPr>
          <w:b/>
          <w:sz w:val="22"/>
          <w:szCs w:val="22"/>
          <w:u w:val="single"/>
        </w:rPr>
        <w:t>ZMES ČINIDLA A VZORKY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>- Na zabezpečenie správnej migrácie vzorky testovacie zariadenie umiestnite na vodorovný povrch.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- Reagenčná </w:t>
      </w:r>
      <w:r>
        <w:rPr>
          <w:sz w:val="22"/>
          <w:szCs w:val="22"/>
        </w:rPr>
        <w:t>skúmavka</w:t>
      </w:r>
      <w:r w:rsidRPr="00031ABA">
        <w:rPr>
          <w:sz w:val="22"/>
          <w:szCs w:val="22"/>
        </w:rPr>
        <w:t xml:space="preserve"> obsahuje štandardné množstvo činidla. Akákoľvek zmena tohto množstva môže viesť k chybným výsledkom testu. 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- </w:t>
      </w:r>
      <w:r w:rsidRPr="00031ABA">
        <w:rPr>
          <w:b/>
          <w:sz w:val="22"/>
          <w:szCs w:val="22"/>
        </w:rPr>
        <w:t>Zmes vzorka/činidlo použite ihneď po rekonštitúcii.</w:t>
      </w:r>
      <w:r w:rsidRPr="00031ABA">
        <w:rPr>
          <w:sz w:val="22"/>
          <w:szCs w:val="22"/>
        </w:rPr>
        <w:t xml:space="preserve"> Zmes neuchovávajte na následnú analýzu.</w:t>
      </w:r>
    </w:p>
    <w:p w:rsidR="00AD47CA" w:rsidRPr="00031ABA" w:rsidRDefault="00AD47CA" w:rsidP="00AD47CA">
      <w:pPr>
        <w:jc w:val="both"/>
        <w:rPr>
          <w:sz w:val="10"/>
          <w:szCs w:val="10"/>
        </w:rPr>
      </w:pPr>
    </w:p>
    <w:p w:rsidR="00AD47CA" w:rsidRPr="00031ABA" w:rsidRDefault="00AD47CA" w:rsidP="00AD47CA">
      <w:pPr>
        <w:jc w:val="both"/>
        <w:rPr>
          <w:b/>
          <w:sz w:val="22"/>
          <w:szCs w:val="22"/>
          <w:u w:val="single"/>
        </w:rPr>
      </w:pPr>
      <w:r w:rsidRPr="00031ABA">
        <w:rPr>
          <w:b/>
          <w:sz w:val="22"/>
          <w:szCs w:val="22"/>
          <w:u w:val="single"/>
        </w:rPr>
        <w:t>TESTOVACIE ZARIADENIE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t xml:space="preserve">- Testy a činidlá skladujte pri teplote od +2 °C do +8 °C.  </w:t>
      </w:r>
    </w:p>
    <w:p w:rsidR="00AD47CA" w:rsidRPr="00031ABA" w:rsidRDefault="00AD47CA" w:rsidP="00AD47CA">
      <w:pPr>
        <w:jc w:val="both"/>
        <w:rPr>
          <w:sz w:val="22"/>
          <w:szCs w:val="22"/>
        </w:rPr>
      </w:pPr>
      <w:r w:rsidRPr="00031ABA">
        <w:rPr>
          <w:sz w:val="22"/>
          <w:szCs w:val="22"/>
        </w:rPr>
        <w:lastRenderedPageBreak/>
        <w:t xml:space="preserve">- Nemiešajte testovacie kazety, skúmavky </w:t>
      </w:r>
      <w:r>
        <w:rPr>
          <w:sz w:val="22"/>
          <w:szCs w:val="22"/>
        </w:rPr>
        <w:t xml:space="preserve">s činidlom </w:t>
      </w:r>
      <w:r w:rsidRPr="00031ABA">
        <w:rPr>
          <w:sz w:val="22"/>
          <w:szCs w:val="22"/>
        </w:rPr>
        <w:t xml:space="preserve">a kalibračné čipy z rôznych šarží a </w:t>
      </w:r>
      <w:r>
        <w:rPr>
          <w:sz w:val="22"/>
          <w:szCs w:val="22"/>
        </w:rPr>
        <w:t>krabičiek</w:t>
      </w:r>
      <w:r w:rsidRPr="00031ABA">
        <w:rPr>
          <w:sz w:val="22"/>
          <w:szCs w:val="22"/>
        </w:rPr>
        <w:t xml:space="preserve">.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>- Nepoužívajte test po dátume exspirácie uvedenom na krabičke a na každom teste.</w:t>
      </w:r>
    </w:p>
    <w:p w:rsidR="00AD47CA" w:rsidRPr="00066A18" w:rsidRDefault="00AD47CA" w:rsidP="00AD47CA">
      <w:pPr>
        <w:ind w:hanging="141"/>
        <w:jc w:val="both"/>
        <w:rPr>
          <w:sz w:val="10"/>
          <w:szCs w:val="10"/>
        </w:rPr>
      </w:pPr>
    </w:p>
    <w:p w:rsidR="00AD47CA" w:rsidRPr="00066A18" w:rsidRDefault="00AD47CA" w:rsidP="00AD47CA">
      <w:pPr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2"/>
          <w:szCs w:val="22"/>
          <w:u w:val="single"/>
        </w:rPr>
      </w:pPr>
      <w:r w:rsidRPr="00066A18">
        <w:rPr>
          <w:b/>
          <w:sz w:val="22"/>
          <w:szCs w:val="22"/>
          <w:u w:val="single"/>
        </w:rPr>
        <w:t>ODPORÚČANIA PRE BEZPEČNOSŤ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- Používajte vhodné a čisté ochranné prostriedky (rukavice a plášť).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- Vzorka a všetky materiály použité na testovanie sa považujú za potenciálne infekčné a mali by byť </w:t>
      </w:r>
      <w:r>
        <w:rPr>
          <w:sz w:val="22"/>
          <w:szCs w:val="22"/>
        </w:rPr>
        <w:t xml:space="preserve">príslušne dekontaminované a </w:t>
      </w:r>
      <w:r w:rsidRPr="00066A18">
        <w:rPr>
          <w:sz w:val="22"/>
          <w:szCs w:val="22"/>
        </w:rPr>
        <w:t xml:space="preserve">zlikvidované v súlade s miestnymi predpismi.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- V prípade kontaktu činidla s pokožkou alebo očami, </w:t>
      </w:r>
      <w:r>
        <w:rPr>
          <w:sz w:val="22"/>
          <w:szCs w:val="22"/>
        </w:rPr>
        <w:t>ihneď</w:t>
      </w:r>
      <w:r w:rsidRPr="00066A18">
        <w:rPr>
          <w:sz w:val="22"/>
          <w:szCs w:val="22"/>
        </w:rPr>
        <w:t xml:space="preserve"> vypláchnite čistou vodou a vyhľadajte lekársku pomoc.</w:t>
      </w:r>
    </w:p>
    <w:p w:rsidR="00AD47CA" w:rsidRPr="00066A18" w:rsidRDefault="00AD47CA" w:rsidP="00AD47CA">
      <w:pPr>
        <w:jc w:val="both"/>
        <w:rPr>
          <w:b/>
          <w:sz w:val="10"/>
          <w:szCs w:val="10"/>
        </w:rPr>
      </w:pPr>
    </w:p>
    <w:p w:rsidR="00AD47CA" w:rsidRPr="00066A18" w:rsidRDefault="00AD47CA" w:rsidP="00AD47CA">
      <w:pPr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2"/>
          <w:szCs w:val="22"/>
        </w:rPr>
      </w:pPr>
      <w:r w:rsidRPr="00066A18">
        <w:rPr>
          <w:b/>
          <w:sz w:val="22"/>
          <w:szCs w:val="22"/>
        </w:rPr>
        <w:t xml:space="preserve">POSTUP TESTU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>Test Speed ​​cPL nie je možné vizuálne interpretovať a mal by sa odčítať iba pomocou analyzátora Speed ​​Reader. Úplné pokyny nájdete v návode na obsluhu analyzátora Speed ​Reader.</w:t>
      </w:r>
    </w:p>
    <w:p w:rsidR="00AD47CA" w:rsidRPr="00066A18" w:rsidRDefault="00AD47CA" w:rsidP="00AD47CA">
      <w:pPr>
        <w:ind w:left="-566"/>
        <w:jc w:val="both"/>
        <w:rPr>
          <w:sz w:val="10"/>
          <w:szCs w:val="10"/>
        </w:rPr>
      </w:pPr>
    </w:p>
    <w:p w:rsidR="00AD47CA" w:rsidRPr="00066A18" w:rsidRDefault="00AD47CA" w:rsidP="00AD47CA">
      <w:pPr>
        <w:jc w:val="both"/>
        <w:rPr>
          <w:b/>
          <w:sz w:val="22"/>
          <w:szCs w:val="22"/>
          <w:u w:val="single"/>
        </w:rPr>
      </w:pPr>
      <w:r w:rsidRPr="00066A18">
        <w:rPr>
          <w:b/>
          <w:sz w:val="22"/>
          <w:szCs w:val="22"/>
          <w:u w:val="single"/>
        </w:rPr>
        <w:t>MATERIÁLY PRE KAŽDÝ TEST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1 testovacie zariadenie, 1 skúmavka s činidlom, 1 uzáver s kvapkadlom, 1 špička pipety a 50 μl pipeta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– </w:t>
      </w:r>
      <w:r w:rsidRPr="00066A18">
        <w:rPr>
          <w:b/>
          <w:sz w:val="22"/>
          <w:szCs w:val="22"/>
        </w:rPr>
        <w:t>Najmenej 30 minút</w:t>
      </w:r>
      <w:r w:rsidRPr="00066A18">
        <w:rPr>
          <w:sz w:val="22"/>
          <w:szCs w:val="22"/>
        </w:rPr>
        <w:t xml:space="preserve"> pred použitím nechajte činidlo a testovacie zariadenie </w:t>
      </w:r>
      <w:r>
        <w:rPr>
          <w:sz w:val="22"/>
          <w:szCs w:val="22"/>
        </w:rPr>
        <w:t>temperovať na</w:t>
      </w:r>
      <w:r w:rsidRPr="00066A18">
        <w:rPr>
          <w:sz w:val="22"/>
          <w:szCs w:val="22"/>
        </w:rPr>
        <w:t xml:space="preserve"> izbovú teplotu (18 °C až 27 °C).</w:t>
      </w:r>
    </w:p>
    <w:p w:rsidR="00AD47CA" w:rsidRPr="00066A18" w:rsidRDefault="00AD47CA" w:rsidP="00AD47CA">
      <w:pPr>
        <w:jc w:val="both"/>
        <w:rPr>
          <w:b/>
          <w:sz w:val="10"/>
          <w:szCs w:val="10"/>
        </w:rPr>
      </w:pPr>
    </w:p>
    <w:p w:rsidR="00AD47CA" w:rsidRPr="00066A18" w:rsidRDefault="00AD47CA" w:rsidP="00AD47CA">
      <w:pPr>
        <w:jc w:val="both"/>
        <w:rPr>
          <w:b/>
          <w:sz w:val="22"/>
          <w:szCs w:val="22"/>
          <w:u w:val="single"/>
        </w:rPr>
      </w:pPr>
      <w:r w:rsidRPr="00066A18">
        <w:rPr>
          <w:b/>
          <w:sz w:val="22"/>
          <w:szCs w:val="22"/>
          <w:u w:val="single"/>
        </w:rPr>
        <w:t xml:space="preserve">PRÍPRAVA ANALYZÁTORA SPEED READER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-Pri každom použití prvého testu </w:t>
      </w:r>
      <w:r>
        <w:rPr>
          <w:sz w:val="22"/>
          <w:szCs w:val="22"/>
        </w:rPr>
        <w:t xml:space="preserve">z </w:t>
      </w:r>
      <w:r w:rsidRPr="00066A18">
        <w:rPr>
          <w:sz w:val="22"/>
          <w:szCs w:val="22"/>
        </w:rPr>
        <w:t xml:space="preserve">novej </w:t>
      </w:r>
      <w:r>
        <w:rPr>
          <w:sz w:val="22"/>
          <w:szCs w:val="22"/>
        </w:rPr>
        <w:t xml:space="preserve">krabičky </w:t>
      </w:r>
      <w:r w:rsidRPr="00066A18">
        <w:rPr>
          <w:sz w:val="22"/>
          <w:szCs w:val="22"/>
        </w:rPr>
        <w:t>a novej šarže z</w:t>
      </w:r>
      <w:r>
        <w:rPr>
          <w:sz w:val="22"/>
          <w:szCs w:val="22"/>
        </w:rPr>
        <w:t>aregistrujte kalibráciu šarže v </w:t>
      </w:r>
      <w:r w:rsidRPr="00066A18">
        <w:rPr>
          <w:sz w:val="22"/>
          <w:szCs w:val="22"/>
        </w:rPr>
        <w:t xml:space="preserve">analyzátore Speed ​​Reader.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- </w:t>
      </w:r>
      <w:r w:rsidRPr="00066A18">
        <w:rPr>
          <w:b/>
          <w:sz w:val="22"/>
          <w:szCs w:val="22"/>
        </w:rPr>
        <w:t>Pred spustením testu</w:t>
      </w:r>
      <w:r w:rsidRPr="00066A18">
        <w:rPr>
          <w:sz w:val="22"/>
          <w:szCs w:val="22"/>
        </w:rPr>
        <w:t xml:space="preserve"> stlačte „Nový test“ na hlavnej obrazovke.</w:t>
      </w:r>
    </w:p>
    <w:p w:rsidR="00AD47CA" w:rsidRPr="00066A18" w:rsidRDefault="00AD47CA" w:rsidP="00AD47CA">
      <w:pPr>
        <w:jc w:val="both"/>
        <w:rPr>
          <w:b/>
          <w:sz w:val="22"/>
          <w:szCs w:val="22"/>
        </w:rPr>
      </w:pPr>
      <w:r w:rsidRPr="00066A18">
        <w:rPr>
          <w:sz w:val="22"/>
          <w:szCs w:val="22"/>
        </w:rPr>
        <w:t>- Postupujte podľa pokynov na obrazovke.</w:t>
      </w:r>
    </w:p>
    <w:p w:rsidR="00AD47CA" w:rsidRPr="00396777" w:rsidRDefault="00AD47CA" w:rsidP="00AD47CA">
      <w:pPr>
        <w:jc w:val="both"/>
        <w:rPr>
          <w:sz w:val="10"/>
          <w:szCs w:val="10"/>
        </w:rPr>
      </w:pPr>
    </w:p>
    <w:p w:rsidR="00AD47CA" w:rsidRPr="00066A18" w:rsidRDefault="00AD47CA" w:rsidP="00AD47CA">
      <w:pPr>
        <w:jc w:val="both"/>
        <w:rPr>
          <w:b/>
          <w:sz w:val="22"/>
          <w:szCs w:val="22"/>
          <w:u w:val="single"/>
        </w:rPr>
      </w:pPr>
      <w:r w:rsidRPr="00066A18">
        <w:rPr>
          <w:b/>
          <w:sz w:val="22"/>
          <w:szCs w:val="22"/>
          <w:u w:val="single"/>
        </w:rPr>
        <w:t>PRENOS VZORKY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1. Pomocou špičky uzáveru kvapkadla perforujte hliníkovú fóliu a tým otvorte skúmavku s činidlom.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2. Na pipetu nasaďte novú jednorazovú špičku a </w:t>
      </w:r>
      <w:r w:rsidRPr="00066A18">
        <w:rPr>
          <w:b/>
          <w:sz w:val="22"/>
          <w:szCs w:val="22"/>
        </w:rPr>
        <w:t>preneste 50 μl vzorky do skúmavky s činidlom</w:t>
      </w:r>
      <w:r w:rsidRPr="00066A18">
        <w:rPr>
          <w:sz w:val="22"/>
          <w:szCs w:val="22"/>
        </w:rPr>
        <w:t xml:space="preserve"> podľa časti „Správne použitie pipety“. </w:t>
      </w:r>
    </w:p>
    <w:p w:rsidR="00AD47CA" w:rsidRPr="007132A8" w:rsidRDefault="00AD47CA" w:rsidP="00AD47CA">
      <w:pPr>
        <w:jc w:val="both"/>
        <w:rPr>
          <w:sz w:val="22"/>
          <w:szCs w:val="22"/>
        </w:rPr>
      </w:pPr>
      <w:r w:rsidRPr="007132A8">
        <w:rPr>
          <w:sz w:val="22"/>
          <w:szCs w:val="22"/>
        </w:rPr>
        <w:t xml:space="preserve">3. </w:t>
      </w:r>
      <w:r>
        <w:rPr>
          <w:sz w:val="22"/>
          <w:szCs w:val="22"/>
        </w:rPr>
        <w:t>S</w:t>
      </w:r>
      <w:r w:rsidRPr="007132A8">
        <w:rPr>
          <w:sz w:val="22"/>
          <w:szCs w:val="22"/>
        </w:rPr>
        <w:t xml:space="preserve">kúmavku s činidlom </w:t>
      </w:r>
      <w:r>
        <w:rPr>
          <w:sz w:val="22"/>
          <w:szCs w:val="22"/>
        </w:rPr>
        <w:t>o</w:t>
      </w:r>
      <w:r w:rsidRPr="007132A8">
        <w:rPr>
          <w:sz w:val="22"/>
          <w:szCs w:val="22"/>
        </w:rPr>
        <w:t xml:space="preserve">patrne uzavrite uzáverom s kvapkadlom.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4. </w:t>
      </w:r>
      <w:r>
        <w:rPr>
          <w:sz w:val="22"/>
          <w:szCs w:val="22"/>
        </w:rPr>
        <w:t>Obsah j</w:t>
      </w:r>
      <w:r w:rsidRPr="00066A18">
        <w:rPr>
          <w:sz w:val="22"/>
          <w:szCs w:val="22"/>
        </w:rPr>
        <w:t>emne premiešajte</w:t>
      </w:r>
      <w:r>
        <w:rPr>
          <w:sz w:val="22"/>
          <w:szCs w:val="22"/>
        </w:rPr>
        <w:t xml:space="preserve"> </w:t>
      </w:r>
      <w:r w:rsidRPr="00066A18">
        <w:rPr>
          <w:sz w:val="22"/>
          <w:szCs w:val="22"/>
        </w:rPr>
        <w:t xml:space="preserve">prevrátením skúmavky aspoň 5-krát. NETREPTE, aby nevznikli bubliny. 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5. Odstráňte plastový kryt z uzáveru kvapkadla a </w:t>
      </w:r>
      <w:r w:rsidRPr="00066A18">
        <w:rPr>
          <w:b/>
          <w:sz w:val="22"/>
          <w:szCs w:val="22"/>
        </w:rPr>
        <w:t>zlikvidujte prvé 2 kvapky</w:t>
      </w:r>
      <w:r w:rsidRPr="00066A18">
        <w:rPr>
          <w:sz w:val="22"/>
          <w:szCs w:val="22"/>
        </w:rPr>
        <w:t xml:space="preserve"> zmesi, aby ste vypláchli priestor uzáveru kvapkadla.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6. Úplne vyberte kazetu z analyzátora Speed ​​Reader a </w:t>
      </w:r>
      <w:r w:rsidRPr="00066A18">
        <w:rPr>
          <w:b/>
          <w:sz w:val="22"/>
          <w:szCs w:val="22"/>
        </w:rPr>
        <w:t xml:space="preserve">pridajte 2 kvapky zmesi do jamky na vzorku </w:t>
      </w:r>
      <w:r w:rsidRPr="00066A18">
        <w:rPr>
          <w:sz w:val="22"/>
          <w:szCs w:val="22"/>
        </w:rPr>
        <w:t xml:space="preserve">testovacieho zariadenia tak, že budete nádobku držať </w:t>
      </w:r>
      <w:r w:rsidRPr="00066A18">
        <w:rPr>
          <w:b/>
          <w:sz w:val="22"/>
          <w:szCs w:val="22"/>
        </w:rPr>
        <w:t>v absolútne vertikálnej polohe</w:t>
      </w:r>
      <w:r w:rsidRPr="00066A18">
        <w:rPr>
          <w:sz w:val="22"/>
          <w:szCs w:val="22"/>
        </w:rPr>
        <w:t>.</w:t>
      </w:r>
    </w:p>
    <w:p w:rsidR="00AD47CA" w:rsidRPr="00396777" w:rsidRDefault="00AD47CA" w:rsidP="00AD47CA">
      <w:pPr>
        <w:jc w:val="both"/>
        <w:rPr>
          <w:sz w:val="10"/>
          <w:szCs w:val="10"/>
        </w:rPr>
      </w:pPr>
    </w:p>
    <w:p w:rsidR="00AD47CA" w:rsidRPr="00066A18" w:rsidRDefault="00AD47CA" w:rsidP="00AD47CA">
      <w:pPr>
        <w:jc w:val="both"/>
        <w:rPr>
          <w:b/>
          <w:sz w:val="22"/>
          <w:szCs w:val="22"/>
          <w:u w:val="single"/>
        </w:rPr>
      </w:pPr>
      <w:r w:rsidRPr="00066A18">
        <w:rPr>
          <w:b/>
          <w:sz w:val="22"/>
          <w:szCs w:val="22"/>
          <w:u w:val="single"/>
        </w:rPr>
        <w:t>ČÍTANIE VÝSLEDKOV</w:t>
      </w:r>
    </w:p>
    <w:p w:rsidR="00AD47CA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 xml:space="preserve">7. Vložte testovacie zariadenie v smere označenom šípkou (najskôr </w:t>
      </w:r>
      <w:r>
        <w:rPr>
          <w:sz w:val="22"/>
          <w:szCs w:val="22"/>
        </w:rPr>
        <w:t xml:space="preserve">nádobka na </w:t>
      </w:r>
      <w:r w:rsidRPr="00066A18">
        <w:rPr>
          <w:sz w:val="22"/>
          <w:szCs w:val="22"/>
        </w:rPr>
        <w:t>vzorku) do držiaka kazety na stroji (1). Potom postupujte podľa pokynov na obrazovke a prečítajte si výsledok na obrazovke (2).</w:t>
      </w:r>
    </w:p>
    <w:p w:rsidR="00AD47CA" w:rsidRPr="00E4367B" w:rsidRDefault="00AD47CA" w:rsidP="00AD47CA">
      <w:pPr>
        <w:jc w:val="both"/>
        <w:rPr>
          <w:sz w:val="10"/>
          <w:szCs w:val="10"/>
        </w:rPr>
      </w:pPr>
    </w:p>
    <w:p w:rsidR="00AD47CA" w:rsidRPr="00066A18" w:rsidRDefault="00AD47CA" w:rsidP="00AD47CA">
      <w:pPr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2"/>
          <w:szCs w:val="22"/>
        </w:rPr>
      </w:pPr>
      <w:r w:rsidRPr="00066A18">
        <w:rPr>
          <w:b/>
          <w:sz w:val="22"/>
          <w:szCs w:val="22"/>
        </w:rPr>
        <w:t>INTERPRETÁCIA</w:t>
      </w:r>
    </w:p>
    <w:p w:rsidR="00AD47CA" w:rsidRPr="00066A18" w:rsidRDefault="00AD47CA" w:rsidP="00AD47CA">
      <w:pPr>
        <w:jc w:val="both"/>
        <w:rPr>
          <w:sz w:val="22"/>
          <w:szCs w:val="22"/>
        </w:rPr>
      </w:pPr>
      <w:r w:rsidRPr="00066A18">
        <w:rPr>
          <w:sz w:val="22"/>
          <w:szCs w:val="22"/>
        </w:rPr>
        <w:t>Koncentrácia cPL sa meria v µg/l, medzi 10 µg/l a</w:t>
      </w:r>
      <w:r>
        <w:rPr>
          <w:sz w:val="22"/>
          <w:szCs w:val="22"/>
        </w:rPr>
        <w:t> </w:t>
      </w:r>
      <w:r w:rsidRPr="00066A18">
        <w:rPr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066A18">
        <w:rPr>
          <w:sz w:val="22"/>
          <w:szCs w:val="22"/>
        </w:rPr>
        <w:t xml:space="preserve">000 µg/l. </w:t>
      </w:r>
    </w:p>
    <w:p w:rsidR="00AD47CA" w:rsidRDefault="00AD47CA" w:rsidP="00AD47CA">
      <w:pPr>
        <w:ind w:left="-708"/>
        <w:jc w:val="both"/>
      </w:pPr>
    </w:p>
    <w:tbl>
      <w:tblPr>
        <w:tblW w:w="895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72"/>
        <w:gridCol w:w="4880"/>
      </w:tblGrid>
      <w:tr w:rsidR="00AD47CA" w:rsidTr="00644578">
        <w:trPr>
          <w:trHeight w:val="316"/>
        </w:trPr>
        <w:tc>
          <w:tcPr>
            <w:tcW w:w="895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47CA" w:rsidRPr="00E4367B" w:rsidRDefault="00AD47CA" w:rsidP="00644578">
            <w:pPr>
              <w:widowControl w:val="0"/>
              <w:jc w:val="both"/>
              <w:rPr>
                <w:sz w:val="22"/>
                <w:szCs w:val="22"/>
              </w:rPr>
            </w:pPr>
            <w:r w:rsidRPr="00E4367B">
              <w:rPr>
                <w:sz w:val="22"/>
                <w:szCs w:val="22"/>
              </w:rPr>
              <w:t xml:space="preserve"> Referenčné hodnoty:</w:t>
            </w:r>
          </w:p>
        </w:tc>
      </w:tr>
      <w:tr w:rsidR="00AD47CA" w:rsidTr="00644578">
        <w:trPr>
          <w:trHeight w:val="494"/>
        </w:trPr>
        <w:tc>
          <w:tcPr>
            <w:tcW w:w="4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D47CA" w:rsidRPr="00E4367B" w:rsidRDefault="00AD47CA" w:rsidP="00644578">
            <w:pPr>
              <w:widowControl w:val="0"/>
              <w:rPr>
                <w:sz w:val="22"/>
                <w:szCs w:val="22"/>
              </w:rPr>
            </w:pPr>
            <w:r w:rsidRPr="00E4367B">
              <w:rPr>
                <w:rFonts w:eastAsia="Arial Unicode MS"/>
                <w:sz w:val="22"/>
                <w:szCs w:val="22"/>
              </w:rPr>
              <w:t xml:space="preserve"> Normálne: ≤ 200 µg/L</w:t>
            </w:r>
          </w:p>
        </w:tc>
        <w:tc>
          <w:tcPr>
            <w:tcW w:w="4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47CA" w:rsidRPr="00E4367B" w:rsidRDefault="00AD47CA" w:rsidP="00644578">
            <w:pPr>
              <w:widowControl w:val="0"/>
              <w:jc w:val="both"/>
              <w:rPr>
                <w:sz w:val="22"/>
                <w:szCs w:val="22"/>
              </w:rPr>
            </w:pPr>
            <w:r w:rsidRPr="00E4367B">
              <w:rPr>
                <w:sz w:val="22"/>
                <w:szCs w:val="22"/>
              </w:rPr>
              <w:t xml:space="preserve"> =&gt; Koncentrácia v normálnom rozmedzí: pankreatitída nepravdepodobná</w:t>
            </w:r>
            <w:r>
              <w:rPr>
                <w:sz w:val="22"/>
                <w:szCs w:val="22"/>
              </w:rPr>
              <w:t>.</w:t>
            </w:r>
          </w:p>
        </w:tc>
      </w:tr>
      <w:tr w:rsidR="00AD47CA" w:rsidTr="00644578">
        <w:tc>
          <w:tcPr>
            <w:tcW w:w="4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D47CA" w:rsidRPr="00E4367B" w:rsidRDefault="00AD47CA" w:rsidP="00644578">
            <w:pPr>
              <w:widowControl w:val="0"/>
              <w:rPr>
                <w:sz w:val="22"/>
                <w:szCs w:val="22"/>
              </w:rPr>
            </w:pPr>
            <w:r w:rsidRPr="00E4367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Nejednoznačné</w:t>
            </w:r>
            <w:r w:rsidRPr="00E4367B">
              <w:rPr>
                <w:sz w:val="22"/>
                <w:szCs w:val="22"/>
              </w:rPr>
              <w:t>: 200-400 µg/L</w:t>
            </w:r>
          </w:p>
        </w:tc>
        <w:tc>
          <w:tcPr>
            <w:tcW w:w="4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47CA" w:rsidRPr="00E4367B" w:rsidRDefault="00AD47CA" w:rsidP="00644578">
            <w:pPr>
              <w:widowControl w:val="0"/>
              <w:jc w:val="both"/>
              <w:rPr>
                <w:sz w:val="22"/>
                <w:szCs w:val="22"/>
              </w:rPr>
            </w:pPr>
            <w:r w:rsidRPr="00E4367B">
              <w:rPr>
                <w:sz w:val="22"/>
                <w:szCs w:val="22"/>
              </w:rPr>
              <w:t xml:space="preserve"> =&gt; Zvýšená koncentrácia: možná pankreatitída. Odporúča sa prehodnotenie.  </w:t>
            </w:r>
          </w:p>
        </w:tc>
      </w:tr>
      <w:tr w:rsidR="00AD47CA" w:rsidTr="00644578">
        <w:tc>
          <w:tcPr>
            <w:tcW w:w="4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D47CA" w:rsidRPr="00E4367B" w:rsidRDefault="00AD47CA" w:rsidP="00644578">
            <w:pPr>
              <w:widowControl w:val="0"/>
              <w:rPr>
                <w:sz w:val="22"/>
                <w:szCs w:val="22"/>
              </w:rPr>
            </w:pPr>
            <w:r w:rsidRPr="00E4367B">
              <w:rPr>
                <w:rFonts w:eastAsia="Arial Unicode MS"/>
                <w:sz w:val="22"/>
                <w:szCs w:val="22"/>
              </w:rPr>
              <w:t xml:space="preserve"> Vysoké: ≥ 400 µg/L</w:t>
            </w:r>
          </w:p>
        </w:tc>
        <w:tc>
          <w:tcPr>
            <w:tcW w:w="4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47CA" w:rsidRPr="00E4367B" w:rsidRDefault="00AD47CA" w:rsidP="00644578">
            <w:pPr>
              <w:widowControl w:val="0"/>
              <w:jc w:val="both"/>
              <w:rPr>
                <w:sz w:val="22"/>
                <w:szCs w:val="22"/>
              </w:rPr>
            </w:pPr>
            <w:r w:rsidRPr="00E4367B">
              <w:rPr>
                <w:sz w:val="22"/>
                <w:szCs w:val="22"/>
              </w:rPr>
              <w:t xml:space="preserve"> =&gt; Vysoká úroveň koncentrácie: konzistentná s pankreatitídou.</w:t>
            </w:r>
          </w:p>
        </w:tc>
      </w:tr>
    </w:tbl>
    <w:p w:rsidR="00AD47CA" w:rsidRDefault="00AD47CA" w:rsidP="00AD47CA">
      <w:pPr>
        <w:ind w:left="-708"/>
        <w:jc w:val="both"/>
      </w:pPr>
    </w:p>
    <w:p w:rsidR="00AD47CA" w:rsidRPr="00E4367B" w:rsidRDefault="00AD47CA" w:rsidP="00AD47CA">
      <w:pPr>
        <w:jc w:val="both"/>
        <w:rPr>
          <w:sz w:val="22"/>
          <w:szCs w:val="22"/>
        </w:rPr>
      </w:pPr>
      <w:r w:rsidRPr="00E4367B">
        <w:rPr>
          <w:sz w:val="22"/>
          <w:szCs w:val="22"/>
        </w:rPr>
        <w:t>Tieto odporúčania slúžia len na usmernenie. Cieľom tohto testu je zmerať koncentráci</w:t>
      </w:r>
      <w:r>
        <w:rPr>
          <w:sz w:val="22"/>
          <w:szCs w:val="22"/>
        </w:rPr>
        <w:t>u</w:t>
      </w:r>
      <w:r w:rsidRPr="00E4367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špecifickej pankreatickej lipázy </w:t>
      </w:r>
      <w:r w:rsidRPr="00E4367B">
        <w:rPr>
          <w:sz w:val="22"/>
          <w:szCs w:val="22"/>
        </w:rPr>
        <w:t>v krvi</w:t>
      </w:r>
      <w:r>
        <w:rPr>
          <w:sz w:val="22"/>
          <w:szCs w:val="22"/>
        </w:rPr>
        <w:t xml:space="preserve"> psov</w:t>
      </w:r>
      <w:r w:rsidRPr="00E4367B">
        <w:rPr>
          <w:sz w:val="22"/>
          <w:szCs w:val="22"/>
        </w:rPr>
        <w:t xml:space="preserve">. Interpretácia výsledku veterinárnym lekárom by mala vždy brať do </w:t>
      </w:r>
      <w:r w:rsidRPr="00E4367B">
        <w:rPr>
          <w:sz w:val="22"/>
          <w:szCs w:val="22"/>
        </w:rPr>
        <w:lastRenderedPageBreak/>
        <w:t xml:space="preserve">úvahy </w:t>
      </w:r>
      <w:r>
        <w:rPr>
          <w:sz w:val="22"/>
          <w:szCs w:val="22"/>
        </w:rPr>
        <w:t>anamnézu,</w:t>
      </w:r>
      <w:r w:rsidRPr="00E4367B">
        <w:rPr>
          <w:sz w:val="22"/>
          <w:szCs w:val="22"/>
        </w:rPr>
        <w:t xml:space="preserve"> klinické vyšetrenie a</w:t>
      </w:r>
      <w:r>
        <w:rPr>
          <w:sz w:val="22"/>
          <w:szCs w:val="22"/>
        </w:rPr>
        <w:t xml:space="preserve"> prípadné </w:t>
      </w:r>
      <w:r w:rsidRPr="00E4367B">
        <w:rPr>
          <w:sz w:val="22"/>
          <w:szCs w:val="22"/>
        </w:rPr>
        <w:t>ďalšie výsledky diagnostických testov, pretože žiadna diagnostická metóda nie je 100 % presná. Definitívna diagnóza je výsadou a zodpovednosťou veterinárneho lekára.</w:t>
      </w:r>
    </w:p>
    <w:p w:rsidR="00AD47CA" w:rsidRPr="00E4367B" w:rsidRDefault="00AD47CA" w:rsidP="00AD47CA">
      <w:pPr>
        <w:jc w:val="both"/>
        <w:rPr>
          <w:sz w:val="22"/>
          <w:szCs w:val="22"/>
        </w:rPr>
      </w:pPr>
    </w:p>
    <w:p w:rsidR="00AD47CA" w:rsidRPr="00E4367B" w:rsidRDefault="00AD47CA" w:rsidP="00AD47CA">
      <w:pPr>
        <w:jc w:val="both"/>
        <w:rPr>
          <w:sz w:val="22"/>
          <w:szCs w:val="22"/>
        </w:rPr>
      </w:pPr>
      <w:r w:rsidRPr="00E4367B">
        <w:rPr>
          <w:sz w:val="22"/>
          <w:szCs w:val="22"/>
        </w:rPr>
        <w:t>Spoločnosť Virbac Diagnostics a jej distribútori nenesú zodpovednosť za akékoľvek následky spojené s nesprávnym použitím tohto testu alebo nesprávnou interpretáciou výsledkov.</w:t>
      </w:r>
    </w:p>
    <w:p w:rsidR="00AD47CA" w:rsidRPr="00E4367B" w:rsidRDefault="00AD47CA" w:rsidP="00AD47CA">
      <w:pPr>
        <w:jc w:val="both"/>
        <w:rPr>
          <w:sz w:val="22"/>
          <w:szCs w:val="22"/>
        </w:rPr>
      </w:pPr>
    </w:p>
    <w:p w:rsidR="00AD47CA" w:rsidRPr="00E4367B" w:rsidRDefault="00AD47CA" w:rsidP="00AD47CA">
      <w:pPr>
        <w:ind w:right="-577"/>
        <w:jc w:val="both"/>
        <w:rPr>
          <w:rFonts w:eastAsia="Montserrat"/>
          <w:b/>
          <w:sz w:val="22"/>
          <w:szCs w:val="22"/>
          <w:u w:val="single"/>
        </w:rPr>
      </w:pPr>
    </w:p>
    <w:p w:rsidR="00AD47CA" w:rsidRPr="00E4367B" w:rsidRDefault="00AD47CA" w:rsidP="00AD47CA">
      <w:pPr>
        <w:ind w:right="-577"/>
        <w:jc w:val="both"/>
        <w:rPr>
          <w:rFonts w:eastAsia="Montserrat"/>
          <w:sz w:val="22"/>
          <w:szCs w:val="22"/>
        </w:rPr>
      </w:pPr>
      <w:r w:rsidRPr="00E4367B">
        <w:rPr>
          <w:rFonts w:eastAsia="Montserrat"/>
          <w:sz w:val="22"/>
          <w:szCs w:val="22"/>
        </w:rPr>
        <w:t>Schvaľovacie číslo:</w:t>
      </w:r>
      <w:r>
        <w:rPr>
          <w:rFonts w:eastAsia="Montserrat"/>
          <w:sz w:val="22"/>
          <w:szCs w:val="22"/>
        </w:rPr>
        <w:t xml:space="preserve"> 096/DG/23-S</w:t>
      </w:r>
    </w:p>
    <w:p w:rsidR="00AD47CA" w:rsidRDefault="00AD47CA" w:rsidP="00AD47CA">
      <w:pPr>
        <w:ind w:left="-566" w:right="-577"/>
        <w:jc w:val="both"/>
        <w:rPr>
          <w:rFonts w:ascii="Montserrat" w:eastAsia="Montserrat" w:hAnsi="Montserrat" w:cs="Montserrat"/>
        </w:rPr>
      </w:pPr>
    </w:p>
    <w:p w:rsidR="00AD47CA" w:rsidRDefault="00AD47CA" w:rsidP="00AD47CA">
      <w:pPr>
        <w:ind w:left="-566" w:right="-577"/>
        <w:jc w:val="both"/>
        <w:rPr>
          <w:rFonts w:ascii="Montserrat" w:eastAsia="Montserrat" w:hAnsi="Montserrat" w:cs="Montserrat"/>
        </w:rPr>
      </w:pPr>
    </w:p>
    <w:p w:rsidR="00AD47CA" w:rsidRDefault="003275D0" w:rsidP="00AD47CA">
      <w:pPr>
        <w:ind w:right="-577"/>
        <w:jc w:val="both"/>
        <w:rPr>
          <w:rFonts w:ascii="Montserrat" w:eastAsia="Montserrat" w:hAnsi="Montserrat" w:cs="Montserrat"/>
        </w:rPr>
      </w:pPr>
      <w:r>
        <w:rPr>
          <w:noProof/>
          <w:lang w:eastAsia="sk-SK"/>
        </w:rPr>
        <w:drawing>
          <wp:inline distT="0" distB="0" distL="0" distR="0">
            <wp:extent cx="2381250" cy="5105400"/>
            <wp:effectExtent l="0" t="0" r="0" b="0"/>
            <wp:docPr id="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CA" w:rsidRDefault="00AD47CA" w:rsidP="00AD47CA">
      <w:pPr>
        <w:ind w:left="-566" w:right="-577"/>
        <w:jc w:val="both"/>
        <w:rPr>
          <w:rFonts w:ascii="Montserrat" w:eastAsia="Montserrat" w:hAnsi="Montserrat" w:cs="Montserrat"/>
        </w:rPr>
      </w:pPr>
    </w:p>
    <w:p w:rsidR="00AD47CA" w:rsidRDefault="00AD47CA" w:rsidP="00AD47CA">
      <w:pPr>
        <w:ind w:left="-566" w:right="-577"/>
        <w:jc w:val="both"/>
        <w:rPr>
          <w:rFonts w:ascii="Montserrat" w:eastAsia="Montserrat" w:hAnsi="Montserrat" w:cs="Montserrat"/>
        </w:rPr>
      </w:pPr>
    </w:p>
    <w:p w:rsidR="00AD47CA" w:rsidRDefault="00AD47CA" w:rsidP="00AD47CA">
      <w:pPr>
        <w:ind w:left="-566" w:right="-577"/>
        <w:jc w:val="both"/>
        <w:rPr>
          <w:rFonts w:ascii="Montserrat" w:eastAsia="Montserrat" w:hAnsi="Montserrat" w:cs="Montserrat"/>
        </w:rPr>
      </w:pPr>
    </w:p>
    <w:p w:rsidR="00AD47CA" w:rsidRDefault="00AD47CA" w:rsidP="00AD47CA">
      <w:pPr>
        <w:ind w:left="-566" w:right="-577"/>
        <w:jc w:val="both"/>
        <w:rPr>
          <w:rFonts w:ascii="Montserrat" w:eastAsia="Montserrat" w:hAnsi="Montserrat" w:cs="Montserrat"/>
        </w:rPr>
      </w:pPr>
    </w:p>
    <w:p w:rsidR="00AD47CA" w:rsidRDefault="003275D0" w:rsidP="00AD47CA">
      <w:pPr>
        <w:ind w:left="-566"/>
        <w:jc w:val="right"/>
        <w:rPr>
          <w:rFonts w:ascii="Montserrat" w:eastAsia="Montserrat" w:hAnsi="Montserrat" w:cs="Montserrat"/>
        </w:rPr>
      </w:pPr>
      <w:r>
        <w:rPr>
          <w:noProof/>
          <w:lang w:eastAsia="sk-SK"/>
        </w:rPr>
        <w:drawing>
          <wp:inline distT="0" distB="0" distL="0" distR="0">
            <wp:extent cx="371475" cy="352425"/>
            <wp:effectExtent l="0" t="0" r="9525" b="9525"/>
            <wp:docPr id="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CA" w:rsidRDefault="00AD47CA" w:rsidP="00AD47CA">
      <w:pPr>
        <w:ind w:left="-566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Výrobca:</w:t>
      </w:r>
    </w:p>
    <w:p w:rsidR="00AD47CA" w:rsidRPr="0075030D" w:rsidRDefault="00AD47CA" w:rsidP="00AD47CA">
      <w:pPr>
        <w:ind w:left="-566" w:right="-577"/>
        <w:jc w:val="both"/>
        <w:rPr>
          <w:rFonts w:ascii="Montserrat" w:eastAsia="Montserrat" w:hAnsi="Montserrat" w:cs="Montserrat"/>
          <w:sz w:val="10"/>
          <w:szCs w:val="10"/>
        </w:rPr>
      </w:pPr>
    </w:p>
    <w:p w:rsidR="00AD47CA" w:rsidRDefault="00AD47CA" w:rsidP="00AD47CA">
      <w:pPr>
        <w:ind w:left="-566"/>
        <w:jc w:val="right"/>
        <w:rPr>
          <w:sz w:val="22"/>
          <w:szCs w:val="22"/>
        </w:rPr>
      </w:pPr>
      <w:r w:rsidRPr="00BB3E4E">
        <w:rPr>
          <w:sz w:val="22"/>
          <w:szCs w:val="22"/>
        </w:rPr>
        <w:t>Virbac</w:t>
      </w:r>
      <w:r>
        <w:rPr>
          <w:sz w:val="22"/>
          <w:szCs w:val="22"/>
        </w:rPr>
        <w:t xml:space="preserve"> Diagnostics </w:t>
      </w:r>
    </w:p>
    <w:p w:rsidR="00AD47CA" w:rsidRDefault="00AD47CA" w:rsidP="00AD47CA">
      <w:pPr>
        <w:ind w:left="-566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285 avenue de Rome </w:t>
      </w:r>
    </w:p>
    <w:p w:rsidR="00AD47CA" w:rsidRDefault="00AD47CA" w:rsidP="00AD47CA">
      <w:pPr>
        <w:ind w:left="-566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83500 La Seyne sur Mer </w:t>
      </w:r>
    </w:p>
    <w:p w:rsidR="00AD47CA" w:rsidRDefault="00AD47CA" w:rsidP="00AD47CA">
      <w:pPr>
        <w:ind w:left="-566"/>
        <w:jc w:val="right"/>
        <w:rPr>
          <w:rFonts w:ascii="Montserrat" w:eastAsia="Montserrat" w:hAnsi="Montserrat" w:cs="Montserrat"/>
          <w:b/>
          <w:u w:val="single"/>
        </w:rPr>
      </w:pPr>
      <w:r>
        <w:rPr>
          <w:sz w:val="22"/>
          <w:szCs w:val="22"/>
        </w:rPr>
        <w:t>Francúzsko</w:t>
      </w:r>
    </w:p>
    <w:p w:rsidR="00AD47CA" w:rsidRDefault="00AD47CA" w:rsidP="00AD47CA">
      <w:pPr>
        <w:ind w:left="-566"/>
        <w:jc w:val="right"/>
        <w:rPr>
          <w:rFonts w:ascii="Montserrat" w:eastAsia="Montserrat" w:hAnsi="Montserrat" w:cs="Montserrat"/>
          <w:b/>
          <w:u w:val="single"/>
        </w:rPr>
      </w:pPr>
    </w:p>
    <w:p w:rsidR="00AD47CA" w:rsidRDefault="00AD47CA" w:rsidP="00AD47CA">
      <w:pPr>
        <w:ind w:left="-566"/>
        <w:jc w:val="right"/>
        <w:rPr>
          <w:rFonts w:ascii="Montserrat" w:eastAsia="Montserrat" w:hAnsi="Montserrat" w:cs="Montserrat"/>
          <w:b/>
          <w:u w:val="single"/>
        </w:rPr>
      </w:pPr>
    </w:p>
    <w:p w:rsidR="00AD47CA" w:rsidRDefault="00AD47CA" w:rsidP="00AD47CA">
      <w:pPr>
        <w:ind w:left="-566" w:right="-577"/>
        <w:jc w:val="both"/>
        <w:rPr>
          <w:rFonts w:ascii="Montserrat" w:eastAsia="Montserrat" w:hAnsi="Montserrat" w:cs="Montserrat"/>
          <w:b/>
          <w:u w:val="single"/>
        </w:rPr>
      </w:pPr>
    </w:p>
    <w:p w:rsidR="00AD47CA" w:rsidRDefault="00AD47CA" w:rsidP="00AD47CA">
      <w:pPr>
        <w:jc w:val="both"/>
        <w:rPr>
          <w:sz w:val="18"/>
          <w:szCs w:val="18"/>
        </w:rPr>
      </w:pPr>
    </w:p>
    <w:p w:rsidR="00AD47CA" w:rsidRDefault="00AD47CA" w:rsidP="00AD47CA">
      <w:pPr>
        <w:jc w:val="both"/>
        <w:rPr>
          <w:sz w:val="18"/>
          <w:szCs w:val="18"/>
        </w:rPr>
      </w:pPr>
    </w:p>
    <w:p w:rsidR="00AD47CA" w:rsidRDefault="00AD47CA" w:rsidP="00AD47CA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Príloha č. 2 k Rozhodnutiu č.: </w:t>
      </w:r>
      <w:r>
        <w:rPr>
          <w:b/>
          <w:sz w:val="18"/>
          <w:szCs w:val="18"/>
        </w:rPr>
        <w:t>096/DG/23-S</w:t>
      </w:r>
    </w:p>
    <w:p w:rsidR="00AD47CA" w:rsidRDefault="00AD47CA" w:rsidP="00AD47CA">
      <w:pPr>
        <w:jc w:val="both"/>
        <w:rPr>
          <w:b/>
          <w:sz w:val="18"/>
          <w:szCs w:val="18"/>
        </w:rPr>
      </w:pPr>
    </w:p>
    <w:p w:rsidR="00AD47CA" w:rsidRDefault="00AD47CA" w:rsidP="00AD47CA">
      <w:pPr>
        <w:jc w:val="both"/>
        <w:rPr>
          <w:b/>
          <w:sz w:val="18"/>
          <w:szCs w:val="18"/>
        </w:rPr>
      </w:pPr>
    </w:p>
    <w:p w:rsidR="00AD47CA" w:rsidRDefault="003275D0" w:rsidP="00AD47CA">
      <w:pPr>
        <w:jc w:val="both"/>
        <w:rPr>
          <w:rFonts w:ascii="Montserrat" w:eastAsia="Montserrat" w:hAnsi="Montserrat" w:cs="Montserrat"/>
          <w:b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4695825" cy="4591050"/>
            <wp:effectExtent l="0" t="0" r="9525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CA" w:rsidRDefault="00AD47CA" w:rsidP="00AD47CA">
      <w:pPr>
        <w:ind w:left="-566" w:right="-577"/>
        <w:jc w:val="both"/>
        <w:rPr>
          <w:rFonts w:ascii="Montserrat" w:eastAsia="Montserrat" w:hAnsi="Montserrat" w:cs="Montserrat"/>
          <w:b/>
          <w:u w:val="single"/>
        </w:rPr>
      </w:pPr>
    </w:p>
    <w:p w:rsidR="00AD47CA" w:rsidRDefault="00AD47CA" w:rsidP="00AD47CA">
      <w:pPr>
        <w:jc w:val="both"/>
      </w:pPr>
    </w:p>
    <w:p w:rsidR="00AD47CA" w:rsidRDefault="00AD47CA" w:rsidP="00AD47CA">
      <w:pPr>
        <w:ind w:left="-708"/>
        <w:jc w:val="both"/>
      </w:pPr>
    </w:p>
    <w:p w:rsidR="00AD47CA" w:rsidRDefault="00AD47CA" w:rsidP="00AD47CA">
      <w:pPr>
        <w:ind w:left="-708"/>
        <w:jc w:val="both"/>
      </w:pPr>
    </w:p>
    <w:p w:rsidR="00D72847" w:rsidRDefault="003275D0" w:rsidP="00AD47CA">
      <w:r>
        <w:rPr>
          <w:noProof/>
          <w:lang w:eastAsia="sk-SK"/>
        </w:rPr>
        <w:lastRenderedPageBreak/>
        <w:drawing>
          <wp:inline distT="0" distB="0" distL="0" distR="0">
            <wp:extent cx="5076825" cy="3067050"/>
            <wp:effectExtent l="0" t="0" r="9525" b="0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17B23"/>
    <w:multiLevelType w:val="multilevel"/>
    <w:tmpl w:val="6CEAB198"/>
    <w:lvl w:ilvl="0">
      <w:start w:val="1"/>
      <w:numFmt w:val="bullet"/>
      <w:lvlText w:val="■"/>
      <w:lvlJc w:val="left"/>
      <w:pPr>
        <w:ind w:left="-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15669D5"/>
    <w:multiLevelType w:val="multilevel"/>
    <w:tmpl w:val="AB682E5A"/>
    <w:lvl w:ilvl="0">
      <w:start w:val="1"/>
      <w:numFmt w:val="bullet"/>
      <w:lvlText w:val="■"/>
      <w:lvlJc w:val="left"/>
      <w:pPr>
        <w:ind w:left="-14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AB51101"/>
    <w:multiLevelType w:val="multilevel"/>
    <w:tmpl w:val="04F6A706"/>
    <w:lvl w:ilvl="0">
      <w:start w:val="1"/>
      <w:numFmt w:val="bullet"/>
      <w:lvlText w:val="■"/>
      <w:lvlJc w:val="left"/>
      <w:pPr>
        <w:ind w:left="-141" w:hanging="28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607"/>
    <w:rsid w:val="00073607"/>
    <w:rsid w:val="003275D0"/>
    <w:rsid w:val="00644578"/>
    <w:rsid w:val="00AD47CA"/>
    <w:rsid w:val="00D7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47CA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47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7CA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47CA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47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7CA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ŠVPS SR</Company>
  <LinksUpToDate>false</LinksUpToDate>
  <CharactersWithSpaces>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Thomova</cp:lastModifiedBy>
  <cp:revision>2</cp:revision>
  <dcterms:created xsi:type="dcterms:W3CDTF">2025-07-18T09:29:00Z</dcterms:created>
  <dcterms:modified xsi:type="dcterms:W3CDTF">2025-07-18T09:29:00Z</dcterms:modified>
</cp:coreProperties>
</file>