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8A" w:rsidRPr="00657A8A" w:rsidRDefault="00657A8A" w:rsidP="00657A8A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NÁZOV VETERINÁRNEHO LIEKU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 xml:space="preserve">SOLAMOCTA </w:t>
      </w:r>
      <w:r w:rsidRPr="00657A8A">
        <w:rPr>
          <w:rFonts w:ascii="Times New Roman" w:hAnsi="Times New Roman"/>
          <w:sz w:val="22"/>
          <w:szCs w:val="22"/>
        </w:rPr>
        <w:t>697 mg/g prášok na podanie v pitnej vode pre kuru domácu, kačice a morky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2.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KVALITATÍVNE A KVANTITATÍVNE ZLOŽENIE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  <w:tab w:val="right" w:pos="1334"/>
          <w:tab w:val="left" w:pos="2811"/>
          <w:tab w:val="left" w:pos="3492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Jeden gram obsahuje</w:t>
      </w:r>
      <w:r w:rsidRPr="00657A8A">
        <w:rPr>
          <w:rFonts w:ascii="Times New Roman" w:hAnsi="Times New Roman"/>
          <w:sz w:val="22"/>
          <w:szCs w:val="22"/>
        </w:rPr>
        <w:t xml:space="preserve">: </w:t>
      </w:r>
    </w:p>
    <w:p w:rsidR="00657A8A" w:rsidRPr="00657A8A" w:rsidRDefault="00657A8A" w:rsidP="00657A8A">
      <w:pPr>
        <w:tabs>
          <w:tab w:val="left" w:pos="720"/>
          <w:tab w:val="right" w:pos="1334"/>
          <w:tab w:val="left" w:pos="2811"/>
          <w:tab w:val="left" w:pos="3492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  <w:tab w:val="right" w:pos="1334"/>
          <w:tab w:val="left" w:pos="2811"/>
          <w:tab w:val="left" w:pos="3492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Účinná látka:</w:t>
      </w:r>
    </w:p>
    <w:p w:rsidR="00657A8A" w:rsidRPr="00657A8A" w:rsidRDefault="00657A8A" w:rsidP="00657A8A">
      <w:pPr>
        <w:tabs>
          <w:tab w:val="left" w:pos="720"/>
          <w:tab w:val="right" w:pos="1334"/>
          <w:tab w:val="left" w:pos="2811"/>
          <w:tab w:val="left" w:pos="3492"/>
        </w:tabs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 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  <w:t xml:space="preserve">697 mg </w:t>
      </w:r>
    </w:p>
    <w:p w:rsidR="00657A8A" w:rsidRPr="00657A8A" w:rsidRDefault="00657A8A" w:rsidP="00657A8A">
      <w:pPr>
        <w:tabs>
          <w:tab w:val="right" w:pos="1334"/>
          <w:tab w:val="left" w:pos="2811"/>
          <w:tab w:val="left" w:pos="3492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zodpovedá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  <w:t>800 mg</w:t>
      </w:r>
    </w:p>
    <w:p w:rsidR="00657A8A" w:rsidRPr="00657A8A" w:rsidRDefault="00657A8A" w:rsidP="00657A8A">
      <w:pPr>
        <w:tabs>
          <w:tab w:val="right" w:pos="1334"/>
          <w:tab w:val="left" w:pos="2811"/>
          <w:tab w:val="left" w:pos="3492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Úplný zoznam pomocných látok je uvedený v časti 6.1.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3.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LIEKOVÁ FORMA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ab/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Prášok na podanie v pitnej vode.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Biely až svetlo žlto - biely prášok.</w:t>
      </w:r>
    </w:p>
    <w:p w:rsidR="00657A8A" w:rsidRPr="00657A8A" w:rsidRDefault="00657A8A" w:rsidP="00657A8A">
      <w:pPr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4.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KLINICKÉ ÚDAJE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3"/>
        </w:numPr>
        <w:tabs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Cieľové druhy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(brojlery, mladé sliepky, chovné sliepky), kačice (brojlery, chovné kačice), morky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4.2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Indikácie na použitie so špecifikovaním cieľových druhov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pStyle w:val="Normlnywebov"/>
        <w:spacing w:before="0" w:beforeAutospacing="0" w:after="0" w:afterAutospacing="0"/>
        <w:rPr>
          <w:iCs/>
          <w:sz w:val="22"/>
          <w:szCs w:val="22"/>
        </w:rPr>
      </w:pPr>
      <w:r w:rsidRPr="00657A8A">
        <w:rPr>
          <w:sz w:val="22"/>
          <w:szCs w:val="22"/>
        </w:rPr>
        <w:t xml:space="preserve">Liečba infekcií u kury domácej, moriek a kačíc spôsobených baktériami citlivými na </w:t>
      </w:r>
      <w:proofErr w:type="spellStart"/>
      <w:r w:rsidRPr="00657A8A">
        <w:rPr>
          <w:sz w:val="22"/>
          <w:szCs w:val="22"/>
        </w:rPr>
        <w:t>amoxicilín</w:t>
      </w:r>
      <w:proofErr w:type="spellEnd"/>
      <w:r w:rsidRPr="00657A8A">
        <w:rPr>
          <w:sz w:val="22"/>
          <w:szCs w:val="22"/>
        </w:rPr>
        <w:t>.</w:t>
      </w:r>
    </w:p>
    <w:p w:rsidR="00657A8A" w:rsidRPr="00657A8A" w:rsidRDefault="00657A8A" w:rsidP="00657A8A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4.3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Kontraindikácie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v prítomnosti baktérií produkujúcich ß-</w:t>
      </w:r>
      <w:proofErr w:type="spellStart"/>
      <w:r w:rsidRPr="00657A8A">
        <w:rPr>
          <w:rFonts w:ascii="Times New Roman" w:hAnsi="Times New Roman"/>
          <w:sz w:val="22"/>
          <w:szCs w:val="22"/>
        </w:rPr>
        <w:t>laktamázu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Nepoužívať u zajacov, morčiat, škrečkov, </w:t>
      </w:r>
      <w:proofErr w:type="spellStart"/>
      <w:r w:rsidRPr="00657A8A">
        <w:rPr>
          <w:rFonts w:ascii="Times New Roman" w:hAnsi="Times New Roman"/>
          <w:sz w:val="22"/>
          <w:szCs w:val="22"/>
        </w:rPr>
        <w:t>pieskomilov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alebo iných drobných bylinožravcov.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v</w:t>
      </w:r>
      <w:r w:rsidR="00A756F6">
        <w:rPr>
          <w:rFonts w:ascii="Times New Roman" w:hAnsi="Times New Roman"/>
          <w:sz w:val="22"/>
          <w:szCs w:val="22"/>
        </w:rPr>
        <w:t> </w:t>
      </w:r>
      <w:r w:rsidRPr="00657A8A">
        <w:rPr>
          <w:rFonts w:ascii="Times New Roman" w:hAnsi="Times New Roman"/>
          <w:sz w:val="22"/>
          <w:szCs w:val="22"/>
        </w:rPr>
        <w:t>prípadoch</w:t>
      </w:r>
      <w:r w:rsidR="00A756F6">
        <w:rPr>
          <w:rFonts w:ascii="Times New Roman" w:hAnsi="Times New Roman"/>
          <w:sz w:val="22"/>
          <w:szCs w:val="22"/>
        </w:rPr>
        <w:t xml:space="preserve"> </w:t>
      </w:r>
      <w:r w:rsidRPr="00657A8A">
        <w:rPr>
          <w:rFonts w:ascii="Times New Roman" w:hAnsi="Times New Roman"/>
          <w:sz w:val="22"/>
          <w:szCs w:val="22"/>
        </w:rPr>
        <w:t xml:space="preserve">precitlivenosti na penicilíny alebo iné </w:t>
      </w:r>
      <w:proofErr w:type="spellStart"/>
      <w:r w:rsidRPr="00657A8A">
        <w:rPr>
          <w:rFonts w:ascii="Times New Roman" w:hAnsi="Times New Roman"/>
          <w:sz w:val="22"/>
          <w:szCs w:val="22"/>
        </w:rPr>
        <w:t>betalaktámové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antibiotiká alebo na niektorú pomocnú látku.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u prežúvavcov alebo koní.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4.4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upozornenia pre každý cieľový druh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Žiadne.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4.5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bezpečnostné opatrenia na používanie</w:t>
      </w: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Osobitné bezpečnostné opatrenia na používanie u zvierat:</w:t>
      </w:r>
    </w:p>
    <w:p w:rsidR="00657A8A" w:rsidRPr="00657A8A" w:rsidRDefault="00657A8A" w:rsidP="003E4568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Pri používaní lieku  zohľadniť národnú a miestnu  </w:t>
      </w:r>
      <w:proofErr w:type="spellStart"/>
      <w:r w:rsidRPr="00657A8A">
        <w:rPr>
          <w:rFonts w:ascii="Times New Roman" w:hAnsi="Times New Roman"/>
          <w:sz w:val="22"/>
          <w:szCs w:val="22"/>
        </w:rPr>
        <w:t>antimikrobiálnu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politiku.</w:t>
      </w:r>
    </w:p>
    <w:p w:rsidR="00657A8A" w:rsidRPr="00657A8A" w:rsidRDefault="00657A8A" w:rsidP="003E4568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Použitie lieku má byť založené na  testovaní citlivosti baktérií izolovaných zo zvieraťa. Ak to nie je možné, liečba by mala vychádzať z miestnej (regionálnej, farmovej) epidemiologickej informácie o citlivosti cieľových baktérií. </w:t>
      </w:r>
    </w:p>
    <w:p w:rsidR="00657A8A" w:rsidRPr="00657A8A" w:rsidRDefault="00657A8A" w:rsidP="003E4568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Použitie lieku v rozpore s pokynmi uvedenými v SPC môže zvýšiť </w:t>
      </w:r>
      <w:proofErr w:type="spellStart"/>
      <w:r w:rsidRPr="00657A8A">
        <w:rPr>
          <w:rFonts w:ascii="Times New Roman" w:hAnsi="Times New Roman"/>
          <w:sz w:val="22"/>
          <w:szCs w:val="22"/>
        </w:rPr>
        <w:t>prevalenciu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baktérií rezistentných na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 môže znížiť účinnosť liečby.</w:t>
      </w:r>
    </w:p>
    <w:p w:rsidR="00657A8A" w:rsidRPr="00657A8A" w:rsidRDefault="00657A8A" w:rsidP="003E4568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3E4568">
      <w:pPr>
        <w:tabs>
          <w:tab w:val="left" w:pos="-1985"/>
        </w:tabs>
        <w:ind w:hanging="22"/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Osobitné bezpečnostné opatrenia, ktoré musí urobiť osoba podávajúca liek zvieratám:</w:t>
      </w:r>
    </w:p>
    <w:p w:rsidR="00657A8A" w:rsidRPr="00657A8A" w:rsidRDefault="00657A8A" w:rsidP="003E4568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Vyvarujte sa vdychovaniu prachu.</w:t>
      </w:r>
    </w:p>
    <w:p w:rsidR="00657A8A" w:rsidRPr="00657A8A" w:rsidRDefault="00657A8A" w:rsidP="003E4568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Použite buď jednorazovú ochrannú dýchaciu </w:t>
      </w:r>
      <w:proofErr w:type="spellStart"/>
      <w:r w:rsidRPr="00657A8A">
        <w:rPr>
          <w:rFonts w:ascii="Times New Roman" w:hAnsi="Times New Roman"/>
          <w:sz w:val="22"/>
          <w:szCs w:val="22"/>
        </w:rPr>
        <w:t>polomasku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zodpovedajúcu európskej norme EN149 alebo respirátor na opakované použitie  podľa EN140 s filtrom podľa EN143.</w:t>
      </w:r>
    </w:p>
    <w:p w:rsidR="00657A8A" w:rsidRPr="00657A8A" w:rsidRDefault="00657A8A" w:rsidP="003E4568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3E4568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vyvolať </w:t>
      </w:r>
      <w:proofErr w:type="spellStart"/>
      <w:r w:rsidRPr="00657A8A">
        <w:rPr>
          <w:rFonts w:ascii="Times New Roman" w:hAnsi="Times New Roman"/>
          <w:sz w:val="22"/>
          <w:szCs w:val="22"/>
        </w:rPr>
        <w:t>hypersenzitívne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reakcie (alergia) po injekcii, inhalácii, požití alebo kontakte s pokožkou, ktoré môžu byť v niektorých prípadoch závažné. Precitlivenosť na penicilíny môže viesť ku krížovým reakciám na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naopak. V prípade kontaktu s očami alebo kožou okamžite opláchnite vodou. Nemanipulujte s týmto liekom  v prípade známej </w:t>
      </w:r>
      <w:proofErr w:type="spellStart"/>
      <w:r w:rsidRPr="00657A8A">
        <w:rPr>
          <w:rFonts w:ascii="Times New Roman" w:hAnsi="Times New Roman"/>
          <w:sz w:val="22"/>
          <w:szCs w:val="22"/>
        </w:rPr>
        <w:t>precitlivelosti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,  alebo ak vám bolo odporučené nepracovať s takýmito liekmi.  Zaobchádzajte  s týmto liekom  čo najopatrnejšie, i  dodržiavajte všetky odporúčané preventívne opatrenia aby ste sa vyhli </w:t>
      </w:r>
      <w:proofErr w:type="spellStart"/>
      <w:r w:rsidRPr="00657A8A">
        <w:rPr>
          <w:rFonts w:ascii="Times New Roman" w:hAnsi="Times New Roman"/>
          <w:sz w:val="22"/>
          <w:szCs w:val="22"/>
        </w:rPr>
        <w:t>expozíci</w:t>
      </w:r>
      <w:proofErr w:type="spellEnd"/>
      <w:r w:rsidRPr="00657A8A">
        <w:rPr>
          <w:rFonts w:ascii="Times New Roman" w:hAnsi="Times New Roman"/>
          <w:sz w:val="22"/>
          <w:szCs w:val="22"/>
        </w:rPr>
        <w:t>. Ak sa po expozícii lieku  objavia príznaky, ako je kožná vyrážka, vyhľadajte lekársku pomoc a ukážte lekárovi toto upozornenie. Opuchy tváre, pier alebo očí, alebo dýchacie ťažkosti sú závažnejšie príznaky a vyžadujú si okamžité lekárske ošetrenie.</w:t>
      </w:r>
    </w:p>
    <w:p w:rsidR="00657A8A" w:rsidRPr="00657A8A" w:rsidRDefault="00657A8A" w:rsidP="003E4568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 použití si umyte ruky.</w:t>
      </w:r>
    </w:p>
    <w:p w:rsidR="00657A8A" w:rsidRPr="00657A8A" w:rsidRDefault="00657A8A" w:rsidP="003E4568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4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Nežiaduce účinky (frekvencia výskytu a závažnosť)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vyvolať </w:t>
      </w:r>
      <w:proofErr w:type="spellStart"/>
      <w:r w:rsidRPr="00657A8A">
        <w:rPr>
          <w:rFonts w:ascii="Times New Roman" w:hAnsi="Times New Roman"/>
          <w:sz w:val="22"/>
          <w:szCs w:val="22"/>
        </w:rPr>
        <w:t>hypersenzitívne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reakcie, ktoré môžu byť v niektorých prípadoch závažné.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4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Použitie počas gravidity, laktácie, znášky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Laboratórne pokusy u potkanov neposkytli žiaden dôkaz </w:t>
      </w:r>
      <w:proofErr w:type="spellStart"/>
      <w:r w:rsidRPr="00657A8A">
        <w:rPr>
          <w:rFonts w:ascii="Times New Roman" w:hAnsi="Times New Roman"/>
          <w:sz w:val="22"/>
          <w:szCs w:val="22"/>
        </w:rPr>
        <w:t>teratogénneho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účinku v dôsledku podania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>. Používajte len na základe  zhodnotenia pomeru prínosu a rizika zodpovedným veterinárnym lekárom.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2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Liekové interakcie a iné formy vzájomného pôsobenia</w:t>
      </w:r>
    </w:p>
    <w:p w:rsidR="00657A8A" w:rsidRPr="00657A8A" w:rsidRDefault="00657A8A" w:rsidP="00657A8A">
      <w:pPr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Nepodávať tento liek  s antibiotikami, ktoré pôsobia </w:t>
      </w:r>
      <w:proofErr w:type="spellStart"/>
      <w:r w:rsidRPr="00657A8A">
        <w:rPr>
          <w:rFonts w:ascii="Times New Roman" w:hAnsi="Times New Roman"/>
          <w:sz w:val="22"/>
          <w:szCs w:val="22"/>
        </w:rPr>
        <w:t>bakteriostaticky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 ako sú tetracyklíny, </w:t>
      </w:r>
      <w:proofErr w:type="spellStart"/>
      <w:r w:rsidRPr="00657A8A">
        <w:rPr>
          <w:rFonts w:ascii="Times New Roman" w:hAnsi="Times New Roman"/>
          <w:sz w:val="22"/>
          <w:szCs w:val="22"/>
        </w:rPr>
        <w:t>makrolidy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sulfónamidy. </w:t>
      </w:r>
      <w:proofErr w:type="spellStart"/>
      <w:r w:rsidRPr="00657A8A">
        <w:rPr>
          <w:rFonts w:ascii="Times New Roman" w:hAnsi="Times New Roman"/>
          <w:sz w:val="22"/>
          <w:szCs w:val="22"/>
        </w:rPr>
        <w:t>Synergizmus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vyskytuje s ß-</w:t>
      </w:r>
      <w:proofErr w:type="spellStart"/>
      <w:r w:rsidRPr="00657A8A">
        <w:rPr>
          <w:rFonts w:ascii="Times New Roman" w:hAnsi="Times New Roman"/>
          <w:sz w:val="22"/>
          <w:szCs w:val="22"/>
        </w:rPr>
        <w:t>laktámovými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antibiotikami a </w:t>
      </w:r>
      <w:proofErr w:type="spellStart"/>
      <w:r w:rsidRPr="00657A8A">
        <w:rPr>
          <w:rFonts w:ascii="Times New Roman" w:hAnsi="Times New Roman"/>
          <w:sz w:val="22"/>
          <w:szCs w:val="22"/>
        </w:rPr>
        <w:t>aminoglykozidmi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Style w:val="Zarkazkladnhotextu"/>
        <w:widowControl w:val="0"/>
        <w:numPr>
          <w:ilvl w:val="1"/>
          <w:numId w:val="1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szCs w:val="22"/>
        </w:rPr>
      </w:pPr>
      <w:r w:rsidRPr="00657A8A">
        <w:rPr>
          <w:szCs w:val="22"/>
        </w:rPr>
        <w:t>Dávkovanie a spôsob podania lieku</w:t>
      </w:r>
    </w:p>
    <w:p w:rsidR="00657A8A" w:rsidRPr="00657A8A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sz w:val="22"/>
          <w:szCs w:val="22"/>
        </w:rPr>
        <w:br/>
      </w: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Podanie v pitnej vode. </w:t>
      </w:r>
    </w:p>
    <w:p w:rsidR="00657A8A" w:rsidRPr="00657A8A" w:rsidRDefault="00657A8A" w:rsidP="00657A8A">
      <w:pPr>
        <w:widowControl/>
        <w:spacing w:after="140" w:line="280" w:lineRule="atLeast"/>
        <w:rPr>
          <w:rFonts w:ascii="Times New Roman" w:eastAsia="Verdana" w:hAnsi="Times New Roman"/>
          <w:snapToGrid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snapToGrid/>
          <w:color w:val="000000"/>
          <w:sz w:val="22"/>
          <w:szCs w:val="22"/>
          <w:u w:val="single"/>
        </w:rPr>
        <w:t>Kura domáca</w:t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  <w:u w:val="single"/>
        </w:rPr>
        <w:br/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Odporúčaná dávka je 13,1 mg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 (zodpovedajúca 18,8 mg veterinárneho lieku) na kg živej hmotnosti denne počas 3 po sebe nasledujúcich dní , alebo u ťažkých prípadov počas  5 po sebe nasledujúcich dní.</w:t>
      </w:r>
    </w:p>
    <w:p w:rsidR="00657A8A" w:rsidRPr="00657A8A" w:rsidRDefault="00657A8A" w:rsidP="00657A8A">
      <w:pPr>
        <w:widowControl/>
        <w:spacing w:after="140" w:line="280" w:lineRule="atLeast"/>
        <w:rPr>
          <w:rFonts w:ascii="Times New Roman" w:eastAsia="Verdana" w:hAnsi="Times New Roman"/>
          <w:snapToGrid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snapToGrid/>
          <w:color w:val="000000"/>
          <w:sz w:val="22"/>
          <w:szCs w:val="22"/>
          <w:u w:val="single"/>
        </w:rPr>
        <w:t>Kačice</w:t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  <w:u w:val="single"/>
        </w:rPr>
        <w:br/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Odporúčaná dávka je 17,4 mg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 (zodpovedajúca 25 mg veterinárneho lieku) na kg živej hmotnosti denne počas 3 po sebe nasledujúcich dní </w:t>
      </w:r>
    </w:p>
    <w:p w:rsidR="00657A8A" w:rsidRPr="00657A8A" w:rsidRDefault="00657A8A" w:rsidP="00657A8A">
      <w:pPr>
        <w:widowControl/>
        <w:spacing w:after="140" w:line="280" w:lineRule="atLeast"/>
        <w:rPr>
          <w:rFonts w:ascii="Times New Roman" w:eastAsia="Verdana" w:hAnsi="Times New Roman"/>
          <w:snapToGrid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snapToGrid/>
          <w:color w:val="000000"/>
          <w:sz w:val="22"/>
          <w:szCs w:val="22"/>
          <w:u w:val="single"/>
        </w:rPr>
        <w:t>Morky</w:t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  <w:u w:val="single"/>
        </w:rPr>
        <w:br/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Odporúčaná dávka je 13,1–17,4 mg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 (zodpovedajúca 18,8 až 25 mg veterinárneho lieku) na kg živej hmotnosti denne počas 3 po sebe nasledujúcich dní alebo u ťažkých prípadov počas 5 po sebe nasledujúcich dní.</w:t>
      </w:r>
    </w:p>
    <w:p w:rsidR="00657A8A" w:rsidRPr="00657A8A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Roztok pripravte s čerstvou vodou z vodovodu bezprostredne pred použitím. Všetku nepoužitú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medikovanú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vodu zlikvidujte po 12 hodinách. Pre zabezpečenie konzumácie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medikovanej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vody je nutné, aby zvieratá nemali počas liečby žiaden prístup k iným vodným zdrojom. Pre výpočet </w:t>
      </w:r>
      <w:r w:rsidRPr="00657A8A">
        <w:rPr>
          <w:rFonts w:ascii="Times New Roman" w:hAnsi="Times New Roman" w:cs="Times New Roman"/>
          <w:color w:val="000000"/>
          <w:sz w:val="22"/>
          <w:szCs w:val="22"/>
        </w:rPr>
        <w:lastRenderedPageBreak/>
        <w:t>požadovanej koncentrácie produktu (v miligramoch produktu na liter pitnej vody) sa môže použiť nasledujúci vzorec: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47"/>
        <w:gridCol w:w="554"/>
        <w:gridCol w:w="2716"/>
        <w:gridCol w:w="2837"/>
      </w:tblGrid>
      <w:tr w:rsidR="00657A8A" w:rsidRPr="00657A8A" w:rsidTr="00245D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b/>
                <w:snapToGrid/>
                <w:color w:val="000000"/>
                <w:sz w:val="22"/>
                <w:szCs w:val="22"/>
              </w:rPr>
              <w:t>___</w:t>
            </w:r>
            <w:r w:rsidRPr="00657A8A">
              <w:rPr>
                <w:rFonts w:ascii="Times New Roman" w:eastAsia="SimSun" w:hAnsi="Times New Roman"/>
                <w:snapToGrid/>
                <w:color w:val="000000"/>
                <w:sz w:val="22"/>
                <w:szCs w:val="22"/>
              </w:rPr>
              <w:t> mg produktu na kg živej hmotnosti denne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</w:p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snapToGrid/>
                <w:color w:val="000000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snapToGrid/>
                <w:color w:val="000000"/>
                <w:sz w:val="22"/>
                <w:szCs w:val="22"/>
              </w:rPr>
              <w:t>priemerná živá hmotnosť zvierat (v kg), ktoré majú byť ošetrené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</w:p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snapToGrid/>
                <w:color w:val="000000"/>
                <w:sz w:val="22"/>
                <w:szCs w:val="22"/>
              </w:rPr>
              <w:t xml:space="preserve">= </w:t>
            </w:r>
            <w:r w:rsidRPr="00657A8A">
              <w:rPr>
                <w:rFonts w:ascii="Times New Roman" w:eastAsia="SimSun" w:hAnsi="Times New Roman"/>
                <w:b/>
                <w:snapToGrid/>
                <w:color w:val="000000"/>
                <w:sz w:val="22"/>
                <w:szCs w:val="22"/>
              </w:rPr>
              <w:t>___</w:t>
            </w:r>
            <w:r w:rsidRPr="00657A8A">
              <w:rPr>
                <w:rFonts w:ascii="Times New Roman" w:eastAsia="SimSun" w:hAnsi="Times New Roman"/>
                <w:snapToGrid/>
                <w:color w:val="000000"/>
                <w:sz w:val="22"/>
                <w:szCs w:val="22"/>
              </w:rPr>
              <w:t xml:space="preserve"> mg výrobku na liter pitnej vody</w:t>
            </w:r>
          </w:p>
        </w:tc>
      </w:tr>
      <w:tr w:rsidR="00657A8A" w:rsidRPr="00657A8A" w:rsidTr="00245D41"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snapToGrid/>
                <w:color w:val="000000"/>
                <w:sz w:val="22"/>
                <w:szCs w:val="22"/>
              </w:rPr>
              <w:t>priemerná denná spotreba vody (v litroch) na jedno zviera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8A" w:rsidRPr="00657A8A" w:rsidRDefault="00657A8A" w:rsidP="00245D41">
            <w:pPr>
              <w:widowControl/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snapToGrid/>
                <w:color w:val="000000"/>
                <w:sz w:val="22"/>
                <w:szCs w:val="22"/>
              </w:rPr>
            </w:pPr>
          </w:p>
        </w:tc>
      </w:tr>
    </w:tbl>
    <w:p w:rsidR="00657A8A" w:rsidRPr="00657A8A" w:rsidRDefault="00657A8A" w:rsidP="003E4568">
      <w:pPr>
        <w:widowControl/>
        <w:spacing w:before="120" w:after="140" w:line="280" w:lineRule="atLeast"/>
        <w:jc w:val="both"/>
        <w:rPr>
          <w:rFonts w:ascii="Times New Roman" w:eastAsia="Verdana" w:hAnsi="Times New Roman"/>
          <w:snapToGrid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Pre zabezpečenie správneho dávkovania by sa živá hmotnosť mala stanoviť čo najpresnejšie, aby sa predišlo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poddávkovaniu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. Príjem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medikovanej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 vody závisí od klinického stavu vtákov. Pre dosiahnutie správneho dávkovania sa musí primerane upraviť koncentrácia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 vzhľadom na príjem vody. Po ukončení obdobia medikácie sa musí primerane vyčistiť celý vodovodný systém, aby sa predišlo príjmu </w:t>
      </w:r>
      <w:proofErr w:type="spellStart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subterapeutických</w:t>
      </w:r>
      <w:proofErr w:type="spellEnd"/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 xml:space="preserve"> množstiev účinnej látky. Maximálna rozpustnosť produktu vo vode je pri teplote 10 °C približne 6 g/l v priebehu 10 minút. Pri nižších teplotách (4 °C) je maximálna rozpustnosť približne 5 g/l v priebehu 10 minút.</w:t>
      </w:r>
    </w:p>
    <w:p w:rsidR="00657A8A" w:rsidRPr="00657A8A" w:rsidRDefault="00657A8A" w:rsidP="003E4568">
      <w:pPr>
        <w:widowControl/>
        <w:spacing w:before="120" w:after="140" w:line="280" w:lineRule="atLeast"/>
        <w:rPr>
          <w:rFonts w:ascii="Times New Roman" w:eastAsia="Verdana" w:hAnsi="Times New Roman"/>
          <w:snapToGrid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t>Vypočítaná dávka by sa mala odmerať pomocou kalibrovaných stupníc.</w:t>
      </w:r>
      <w:r w:rsidRPr="00657A8A">
        <w:rPr>
          <w:rFonts w:ascii="Times New Roman" w:eastAsia="Verdana" w:hAnsi="Times New Roman"/>
          <w:snapToGrid/>
          <w:color w:val="000000"/>
          <w:sz w:val="22"/>
          <w:szCs w:val="22"/>
        </w:rPr>
        <w:br/>
        <w:t>V prípade zásobných roztokov a pri použití dávkovača dávajte pozor, aby ste neprekročili maximálnu rozpustnosť, ktorú je možné dosiahnuť za daných podmienok. Upravte nastavenie prietoku dávkovacej pumpy podľa koncentrácie zásobného roztoku a príjmu vody ošetrovaných zvierat.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Style w:val="Zarkazkladnhotextu"/>
        <w:keepNext/>
        <w:keepLines/>
        <w:widowControl w:val="0"/>
        <w:numPr>
          <w:ilvl w:val="1"/>
          <w:numId w:val="1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szCs w:val="22"/>
        </w:rPr>
      </w:pPr>
      <w:r w:rsidRPr="00657A8A">
        <w:rPr>
          <w:szCs w:val="22"/>
        </w:rPr>
        <w:t xml:space="preserve">Predávkovanie (príznaky, núdzové postupy, </w:t>
      </w:r>
      <w:proofErr w:type="spellStart"/>
      <w:r w:rsidRPr="00657A8A">
        <w:rPr>
          <w:szCs w:val="22"/>
        </w:rPr>
        <w:t>antidotá</w:t>
      </w:r>
      <w:proofErr w:type="spellEnd"/>
      <w:r w:rsidRPr="00657A8A">
        <w:rPr>
          <w:szCs w:val="22"/>
        </w:rPr>
        <w:t>), ak sú potrebné</w:t>
      </w:r>
    </w:p>
    <w:p w:rsidR="00657A8A" w:rsidRPr="00657A8A" w:rsidRDefault="00657A8A" w:rsidP="00657A8A">
      <w:pPr>
        <w:tabs>
          <w:tab w:val="left" w:pos="-1440"/>
          <w:tab w:val="left" w:pos="720"/>
        </w:tabs>
        <w:rPr>
          <w:rFonts w:ascii="Times New Roman" w:hAnsi="Times New Roman"/>
          <w:snapToGrid/>
          <w:sz w:val="22"/>
          <w:szCs w:val="22"/>
        </w:rPr>
      </w:pPr>
    </w:p>
    <w:p w:rsidR="00657A8A" w:rsidRPr="00657A8A" w:rsidRDefault="00657A8A" w:rsidP="00657A8A">
      <w:pPr>
        <w:tabs>
          <w:tab w:val="left" w:pos="-1440"/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Nie sú známe.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57A8A" w:rsidRPr="00657A8A" w:rsidRDefault="00657A8A" w:rsidP="00657A8A">
      <w:pPr>
        <w:numPr>
          <w:ilvl w:val="1"/>
          <w:numId w:val="1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Ochranné lehoty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(mäso a vnútornosti):</w:t>
      </w:r>
      <w:r w:rsidRPr="00657A8A">
        <w:rPr>
          <w:rFonts w:ascii="Times New Roman" w:hAnsi="Times New Roman"/>
          <w:sz w:val="22"/>
          <w:szCs w:val="22"/>
        </w:rPr>
        <w:tab/>
        <w:t>1 deň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Kačice (mäso a vnútornosti):</w:t>
      </w:r>
      <w:r w:rsidRPr="00657A8A">
        <w:rPr>
          <w:rFonts w:ascii="Times New Roman" w:hAnsi="Times New Roman"/>
          <w:sz w:val="22"/>
          <w:szCs w:val="22"/>
        </w:rPr>
        <w:tab/>
        <w:t>9 dní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Morky (mäso a vnútornosti):</w:t>
      </w:r>
      <w:r w:rsidRPr="00657A8A">
        <w:rPr>
          <w:rFonts w:ascii="Times New Roman" w:hAnsi="Times New Roman"/>
          <w:sz w:val="22"/>
          <w:szCs w:val="22"/>
        </w:rPr>
        <w:tab/>
        <w:t>5 dní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u vtákov, ktoré produkujú alebo sú určené na produkciu vajec na ľudskú spotrebu.</w:t>
      </w:r>
    </w:p>
    <w:p w:rsidR="00657A8A" w:rsidRDefault="00657A8A" w:rsidP="00657A8A">
      <w:pPr>
        <w:keepNext/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počas 3 týždňov pred začiatkom znášky.</w:t>
      </w:r>
    </w:p>
    <w:p w:rsidR="005459CF" w:rsidRPr="00657A8A" w:rsidRDefault="005459CF" w:rsidP="00657A8A">
      <w:pPr>
        <w:keepNext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5.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FARMAKOLOGICKÉ VLASTNOSTI</w:t>
      </w:r>
    </w:p>
    <w:p w:rsidR="00657A8A" w:rsidRPr="00657A8A" w:rsidRDefault="00657A8A" w:rsidP="00657A8A">
      <w:pPr>
        <w:keepNext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widowControl/>
        <w:rPr>
          <w:rFonts w:ascii="Times New Roman" w:hAnsi="Times New Roman"/>
          <w:snapToGrid/>
          <w:sz w:val="22"/>
          <w:szCs w:val="22"/>
        </w:rPr>
      </w:pPr>
      <w:proofErr w:type="spellStart"/>
      <w:r w:rsidRPr="00657A8A">
        <w:rPr>
          <w:rFonts w:ascii="Times New Roman" w:hAnsi="Times New Roman"/>
          <w:snapToGrid/>
          <w:sz w:val="22"/>
          <w:szCs w:val="22"/>
        </w:rPr>
        <w:t>Farmakoterapeutická</w:t>
      </w:r>
      <w:proofErr w:type="spellEnd"/>
      <w:r w:rsidRPr="00657A8A">
        <w:rPr>
          <w:rFonts w:ascii="Times New Roman" w:hAnsi="Times New Roman"/>
          <w:snapToGrid/>
          <w:sz w:val="22"/>
          <w:szCs w:val="22"/>
        </w:rPr>
        <w:t xml:space="preserve"> skupina: Beta-</w:t>
      </w:r>
      <w:proofErr w:type="spellStart"/>
      <w:r w:rsidRPr="00657A8A">
        <w:rPr>
          <w:rFonts w:ascii="Times New Roman" w:hAnsi="Times New Roman"/>
          <w:snapToGrid/>
          <w:sz w:val="22"/>
          <w:szCs w:val="22"/>
        </w:rPr>
        <w:t>laktámové</w:t>
      </w:r>
      <w:proofErr w:type="spellEnd"/>
      <w:r w:rsidRPr="00657A8A">
        <w:rPr>
          <w:rFonts w:ascii="Times New Roman" w:hAnsi="Times New Roman"/>
          <w:snapToGrid/>
          <w:sz w:val="22"/>
          <w:szCs w:val="22"/>
        </w:rPr>
        <w:t xml:space="preserve"> antibakteriálne látky, penicilíny s rozšíreným spektrom, </w:t>
      </w:r>
      <w:proofErr w:type="spellStart"/>
      <w:r w:rsidRPr="00657A8A">
        <w:rPr>
          <w:rFonts w:ascii="Times New Roman" w:hAnsi="Times New Roman"/>
          <w:snapToGrid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napToGrid/>
          <w:sz w:val="22"/>
          <w:szCs w:val="22"/>
        </w:rPr>
        <w:t>.</w:t>
      </w:r>
    </w:p>
    <w:p w:rsidR="00657A8A" w:rsidRPr="00657A8A" w:rsidRDefault="00657A8A" w:rsidP="00657A8A">
      <w:pPr>
        <w:widowControl/>
        <w:rPr>
          <w:rFonts w:ascii="Times New Roman" w:hAnsi="Times New Roman"/>
          <w:b/>
          <w:snapToGrid/>
          <w:sz w:val="22"/>
          <w:szCs w:val="22"/>
        </w:rPr>
      </w:pPr>
      <w:proofErr w:type="spellStart"/>
      <w:r w:rsidRPr="00657A8A">
        <w:rPr>
          <w:rFonts w:ascii="Times New Roman" w:hAnsi="Times New Roman"/>
          <w:snapToGrid/>
          <w:sz w:val="22"/>
          <w:szCs w:val="22"/>
        </w:rPr>
        <w:t>ATCvet</w:t>
      </w:r>
      <w:proofErr w:type="spellEnd"/>
      <w:r w:rsidRPr="00657A8A">
        <w:rPr>
          <w:rFonts w:ascii="Times New Roman" w:hAnsi="Times New Roman"/>
          <w:snapToGrid/>
          <w:sz w:val="22"/>
          <w:szCs w:val="22"/>
        </w:rPr>
        <w:t xml:space="preserve"> kód: QJ01CA04 </w:t>
      </w:r>
    </w:p>
    <w:p w:rsidR="00657A8A" w:rsidRPr="00657A8A" w:rsidRDefault="00657A8A" w:rsidP="00657A8A">
      <w:pPr>
        <w:keepNext/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5.1</w:t>
      </w:r>
      <w:r w:rsidRPr="00657A8A">
        <w:rPr>
          <w:rFonts w:ascii="Times New Roman" w:hAnsi="Times New Roman"/>
          <w:sz w:val="22"/>
          <w:szCs w:val="22"/>
        </w:rPr>
        <w:tab/>
      </w:r>
      <w:proofErr w:type="spellStart"/>
      <w:r w:rsidRPr="00657A8A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657A8A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3E4568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je časovo závislé baktericídne  antibiotikum, ktoré pôsobí inhibíciou syntézy bunkových stien baktérií v priebehu bakteriálnej replikácie. </w:t>
      </w:r>
      <w:proofErr w:type="spellStart"/>
      <w:r w:rsidRPr="00657A8A">
        <w:rPr>
          <w:rFonts w:ascii="Times New Roman" w:hAnsi="Times New Roman"/>
          <w:sz w:val="22"/>
          <w:szCs w:val="22"/>
        </w:rPr>
        <w:t>Inhibuje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tvorbu mostíkov medzi reťazcami lineárnych polymérov, ktoré tvoria </w:t>
      </w:r>
      <w:proofErr w:type="spellStart"/>
      <w:r w:rsidRPr="00657A8A">
        <w:rPr>
          <w:rFonts w:ascii="Times New Roman" w:hAnsi="Times New Roman"/>
          <w:sz w:val="22"/>
          <w:szCs w:val="22"/>
        </w:rPr>
        <w:t>peptidoglykánovú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bunkovú stenu </w:t>
      </w:r>
      <w:proofErr w:type="spellStart"/>
      <w:r w:rsidRPr="00657A8A">
        <w:rPr>
          <w:rFonts w:ascii="Times New Roman" w:hAnsi="Times New Roman"/>
          <w:sz w:val="22"/>
          <w:szCs w:val="22"/>
        </w:rPr>
        <w:t>grampozitívnych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baktérií . </w:t>
      </w:r>
    </w:p>
    <w:p w:rsidR="00657A8A" w:rsidRPr="00657A8A" w:rsidRDefault="00657A8A" w:rsidP="003E4568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je širokospektrálny penicilín. Je tiež účinný proti obmedzenému rozsahu </w:t>
      </w:r>
      <w:proofErr w:type="spellStart"/>
      <w:r w:rsidRPr="00657A8A">
        <w:rPr>
          <w:rFonts w:ascii="Times New Roman" w:hAnsi="Times New Roman"/>
          <w:sz w:val="22"/>
          <w:szCs w:val="22"/>
        </w:rPr>
        <w:t>gramnegatívnych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baktérií, u ktorých je vonkajšia vrstva bakteriálnej bunkovej steny zložená z </w:t>
      </w:r>
      <w:proofErr w:type="spellStart"/>
      <w:r w:rsidRPr="00657A8A">
        <w:rPr>
          <w:rFonts w:ascii="Times New Roman" w:hAnsi="Times New Roman"/>
          <w:sz w:val="22"/>
          <w:szCs w:val="22"/>
        </w:rPr>
        <w:t>lipopolysacharidov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proteínov. </w:t>
      </w:r>
    </w:p>
    <w:p w:rsidR="00657A8A" w:rsidRPr="00657A8A" w:rsidRDefault="00657A8A" w:rsidP="003E4568">
      <w:pPr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Existujú 3 hlavné </w:t>
      </w:r>
      <w:proofErr w:type="spellStart"/>
      <w:r w:rsidRPr="00657A8A">
        <w:rPr>
          <w:rFonts w:ascii="Times New Roman" w:hAnsi="Times New Roman"/>
          <w:sz w:val="22"/>
          <w:szCs w:val="22"/>
        </w:rPr>
        <w:t>mechynizmy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rozvoja rezistencie voči beta-</w:t>
      </w:r>
      <w:proofErr w:type="spellStart"/>
      <w:r w:rsidRPr="00657A8A">
        <w:rPr>
          <w:rFonts w:ascii="Times New Roman" w:hAnsi="Times New Roman"/>
          <w:sz w:val="22"/>
          <w:szCs w:val="22"/>
        </w:rPr>
        <w:t>laktámom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: </w:t>
      </w:r>
    </w:p>
    <w:p w:rsidR="00657A8A" w:rsidRPr="00657A8A" w:rsidRDefault="00657A8A" w:rsidP="003E4568">
      <w:pPr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tvorba beta-</w:t>
      </w:r>
      <w:proofErr w:type="spellStart"/>
      <w:r w:rsidRPr="00657A8A">
        <w:rPr>
          <w:rFonts w:ascii="Times New Roman" w:hAnsi="Times New Roman"/>
          <w:sz w:val="22"/>
          <w:szCs w:val="22"/>
        </w:rPr>
        <w:t>laktamázy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, čím dochádza k zmene a/alebo modifikácii proteínov viažucich penicilín (PBP) a zníženej á </w:t>
      </w:r>
      <w:proofErr w:type="spellStart"/>
      <w:r w:rsidRPr="00657A8A">
        <w:rPr>
          <w:rFonts w:ascii="Times New Roman" w:hAnsi="Times New Roman"/>
          <w:sz w:val="22"/>
          <w:szCs w:val="22"/>
        </w:rPr>
        <w:t>penetrácii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vonkajšou membránou. Jednou z najdôležitejších  je </w:t>
      </w:r>
      <w:proofErr w:type="spellStart"/>
      <w:r w:rsidRPr="00657A8A">
        <w:rPr>
          <w:rFonts w:ascii="Times New Roman" w:hAnsi="Times New Roman"/>
          <w:sz w:val="22"/>
          <w:szCs w:val="22"/>
        </w:rPr>
        <w:t>inaktivácia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penicilínu </w:t>
      </w:r>
      <w:proofErr w:type="spellStart"/>
      <w:r w:rsidRPr="00657A8A">
        <w:rPr>
          <w:rFonts w:ascii="Times New Roman" w:hAnsi="Times New Roman"/>
          <w:sz w:val="22"/>
          <w:szCs w:val="22"/>
        </w:rPr>
        <w:t>betalaktamázovými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enzýmami produkovanými určitými baktériami. Tieto enzýmy sú schopné štiepiť beta-</w:t>
      </w:r>
      <w:proofErr w:type="spellStart"/>
      <w:r w:rsidRPr="00657A8A">
        <w:rPr>
          <w:rFonts w:ascii="Times New Roman" w:hAnsi="Times New Roman"/>
          <w:sz w:val="22"/>
          <w:szCs w:val="22"/>
        </w:rPr>
        <w:t>laktámový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prstenec penicilínov, čím sa tieto stanú neúčinnými. Beta-</w:t>
      </w:r>
      <w:proofErr w:type="spellStart"/>
      <w:r w:rsidRPr="00657A8A">
        <w:rPr>
          <w:rFonts w:ascii="Times New Roman" w:hAnsi="Times New Roman"/>
          <w:sz w:val="22"/>
          <w:szCs w:val="22"/>
        </w:rPr>
        <w:t>laktamáza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by mohla byť zakódovaná v génoch chromozómov alebo </w:t>
      </w:r>
      <w:proofErr w:type="spellStart"/>
      <w:r w:rsidRPr="00657A8A">
        <w:rPr>
          <w:rFonts w:ascii="Times New Roman" w:hAnsi="Times New Roman"/>
          <w:sz w:val="22"/>
          <w:szCs w:val="22"/>
        </w:rPr>
        <w:t>plazmidov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3E4568">
      <w:pPr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Skrížená rezistencia bola pozorovaná medzi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amoxicilínom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inými penicilínmi, najmä </w:t>
      </w:r>
      <w:proofErr w:type="spellStart"/>
      <w:r w:rsidRPr="00657A8A">
        <w:rPr>
          <w:rFonts w:ascii="Times New Roman" w:hAnsi="Times New Roman"/>
          <w:sz w:val="22"/>
          <w:szCs w:val="22"/>
        </w:rPr>
        <w:lastRenderedPageBreak/>
        <w:t>aminopenicilínmi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. </w:t>
      </w:r>
    </w:p>
    <w:p w:rsidR="00657A8A" w:rsidRPr="00657A8A" w:rsidRDefault="00657A8A" w:rsidP="003E4568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657A8A">
        <w:rPr>
          <w:rFonts w:ascii="Times New Roman" w:hAnsi="Times New Roman"/>
          <w:sz w:val="22"/>
          <w:szCs w:val="22"/>
        </w:rPr>
        <w:t>Použitie beta-</w:t>
      </w:r>
      <w:proofErr w:type="spellStart"/>
      <w:r w:rsidRPr="00657A8A">
        <w:rPr>
          <w:rFonts w:ascii="Times New Roman" w:hAnsi="Times New Roman"/>
          <w:sz w:val="22"/>
          <w:szCs w:val="22"/>
        </w:rPr>
        <w:t>laktámových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liečiv s rozšíreným spektrom (napr. </w:t>
      </w:r>
      <w:proofErr w:type="spellStart"/>
      <w:r w:rsidRPr="00657A8A">
        <w:rPr>
          <w:rFonts w:ascii="Times New Roman" w:hAnsi="Times New Roman"/>
          <w:sz w:val="22"/>
          <w:szCs w:val="22"/>
        </w:rPr>
        <w:t>aminopenicilíny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) by mohlo viesť k vzniku </w:t>
      </w:r>
      <w:proofErr w:type="spellStart"/>
      <w:r w:rsidRPr="00657A8A">
        <w:rPr>
          <w:rFonts w:ascii="Times New Roman" w:hAnsi="Times New Roman"/>
          <w:sz w:val="22"/>
          <w:szCs w:val="22"/>
        </w:rPr>
        <w:t>multirezistentných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bakteriálnych fenotypov (napr. fenotypov produkujúcich beta-</w:t>
      </w:r>
      <w:proofErr w:type="spellStart"/>
      <w:r w:rsidRPr="00657A8A">
        <w:rPr>
          <w:rFonts w:ascii="Times New Roman" w:hAnsi="Times New Roman"/>
          <w:sz w:val="22"/>
          <w:szCs w:val="22"/>
        </w:rPr>
        <w:t>laktamázy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 rozšíreným spektrom (ESBL)).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5.2</w:t>
      </w:r>
      <w:r w:rsidRPr="00657A8A">
        <w:rPr>
          <w:rFonts w:ascii="Times New Roman" w:hAnsi="Times New Roman"/>
          <w:sz w:val="22"/>
          <w:szCs w:val="22"/>
        </w:rPr>
        <w:tab/>
      </w:r>
      <w:proofErr w:type="spellStart"/>
      <w:r w:rsidRPr="00657A8A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657A8A">
        <w:rPr>
          <w:rFonts w:ascii="Times New Roman" w:hAnsi="Times New Roman"/>
          <w:b/>
          <w:sz w:val="22"/>
          <w:szCs w:val="22"/>
        </w:rPr>
        <w:t xml:space="preserve"> údaje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dobre absorbuje po perorálnom podaní a je stabilný za prítomnosti žalúdočných kyselín. Vylučovanie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uskutočňuje prevažne v nezmenenej forme obličkami, čo vytvára vysoké koncentrácie v tkanive obličiek a v moči.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dobre distribuuje v telových tekutinách.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Štúdie ukázali, že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rýchlejšie distribuuje a vylučuje u vtákov ako u cicavcov. </w:t>
      </w:r>
      <w:proofErr w:type="spellStart"/>
      <w:r w:rsidRPr="00657A8A">
        <w:rPr>
          <w:rFonts w:ascii="Times New Roman" w:hAnsi="Times New Roman"/>
          <w:sz w:val="22"/>
          <w:szCs w:val="22"/>
        </w:rPr>
        <w:t>Biotransformácia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javí u vtákov ako významnejšia cesta vylučovania než u cicavcov.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keepLines/>
        <w:numPr>
          <w:ilvl w:val="0"/>
          <w:numId w:val="7"/>
        </w:numPr>
        <w:tabs>
          <w:tab w:val="clear" w:pos="930"/>
          <w:tab w:val="left" w:pos="-36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FARMACEUTICKÉ ÚDAJE</w:t>
      </w:r>
    </w:p>
    <w:p w:rsidR="00657A8A" w:rsidRPr="00657A8A" w:rsidRDefault="00657A8A" w:rsidP="00657A8A">
      <w:pPr>
        <w:keepNext/>
        <w:keepLines/>
        <w:tabs>
          <w:tab w:val="left" w:pos="-360"/>
          <w:tab w:val="left" w:pos="720"/>
        </w:tabs>
        <w:adjustRightInd w:val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keepNext/>
        <w:keepLines/>
        <w:numPr>
          <w:ilvl w:val="1"/>
          <w:numId w:val="5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Zoznam pomocných látok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monohydrát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uhličitanu sodného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citronan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sodný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bezvodý koloidný oxid kremičitý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5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Závažné inkompatibility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Z dôvodu chýbania štúdií kompatibility, sa tento veterinárny liek nesmie miešať s inými veterinárnymi liekmi.</w:t>
      </w:r>
    </w:p>
    <w:p w:rsidR="005459CF" w:rsidRPr="00657A8A" w:rsidRDefault="005459CF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keepLines/>
        <w:numPr>
          <w:ilvl w:val="1"/>
          <w:numId w:val="5"/>
        </w:numPr>
        <w:tabs>
          <w:tab w:val="clear" w:pos="570"/>
          <w:tab w:val="left" w:pos="720"/>
        </w:tabs>
        <w:adjustRightInd w:val="0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Čas použiteľnosti</w:t>
      </w: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keepNext/>
        <w:keepLines/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veterinárneho lieku zabaleného v neporušenom obale: 3 roky.</w:t>
      </w:r>
    </w:p>
    <w:p w:rsidR="00657A8A" w:rsidRPr="00657A8A" w:rsidRDefault="00657A8A" w:rsidP="00657A8A">
      <w:pPr>
        <w:keepNext/>
        <w:keepLines/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prvom otvorení vnútorného obalu: 3 mesiace.</w:t>
      </w:r>
    </w:p>
    <w:p w:rsidR="00657A8A" w:rsidRPr="00657A8A" w:rsidRDefault="00657A8A" w:rsidP="00657A8A">
      <w:pPr>
        <w:keepNext/>
        <w:keepLines/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rozpustení alebo rekonštitúcii podľa návodu: 12 hodín.</w:t>
      </w: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6"/>
        </w:numPr>
        <w:tabs>
          <w:tab w:val="left" w:pos="720"/>
        </w:tabs>
        <w:adjustRightInd w:val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Osobitné bezpečnostné opatrenia na uchovávanie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Tento veterinárny liek nevyžaduje žiadne zvláštne podmienky na uchovávanie. </w:t>
      </w: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Vrecko udržujte po prvom otvorení dôkladne uzavreté, aby ste obsah ochránili pred vlhkosťou.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numPr>
          <w:ilvl w:val="1"/>
          <w:numId w:val="8"/>
        </w:numPr>
        <w:tabs>
          <w:tab w:val="clear" w:pos="570"/>
          <w:tab w:val="left" w:pos="720"/>
        </w:tabs>
        <w:adjustRightInd w:val="0"/>
        <w:spacing w:line="260" w:lineRule="exact"/>
        <w:jc w:val="both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Charakter a zloženie vnútorného obalu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100 g, 250 g, 500 g a 1 kg vrecko s vonkajšou vrstvou polyetylén </w:t>
      </w:r>
      <w:proofErr w:type="spellStart"/>
      <w:r w:rsidRPr="00657A8A">
        <w:rPr>
          <w:rFonts w:ascii="Times New Roman" w:hAnsi="Times New Roman"/>
          <w:sz w:val="22"/>
          <w:szCs w:val="22"/>
        </w:rPr>
        <w:t>tereftalátu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(PET), po ktorej nasleduje vrstva polyetylénu (PE) a hliníka (ALU) a vnútorná vrstva polyetylénu (PE).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100 g, 250 g, 500 g a 1 kg vrecko s vonkajšou vrstvou polyetylén </w:t>
      </w:r>
      <w:proofErr w:type="spellStart"/>
      <w:r w:rsidRPr="00657A8A">
        <w:rPr>
          <w:rFonts w:ascii="Times New Roman" w:hAnsi="Times New Roman"/>
          <w:sz w:val="22"/>
          <w:szCs w:val="22"/>
        </w:rPr>
        <w:t>tereftalátu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(PET), po ktorej nasleduje vrstva hliníka (ALU), vrstva polyamidu (PA) a vnútorná vrstva polyetylénu (PE).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Nie všetky veľkosti balenia musia byť uvedené na trh.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ind w:left="720" w:hanging="720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6.6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Každý nepoužitý veterinárny liek alebo odpadové materiály z tohto veterinárneho lieku musia byť zlikvidované v súlade s miestnymi požiadavkami.</w:t>
      </w:r>
    </w:p>
    <w:p w:rsidR="00657A8A" w:rsidRPr="00657A8A" w:rsidRDefault="00657A8A" w:rsidP="00657A8A">
      <w:pPr>
        <w:tabs>
          <w:tab w:val="left" w:pos="-2040"/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-2040"/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keepLines/>
        <w:tabs>
          <w:tab w:val="left" w:pos="720"/>
        </w:tabs>
        <w:adjustRightInd w:val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lastRenderedPageBreak/>
        <w:t>7.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DRŽITEĽ ROZHODNUTIA O REGISTRÁCII</w:t>
      </w: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keepLines/>
        <w:tabs>
          <w:tab w:val="left" w:pos="720"/>
        </w:tabs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Eurovet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Animal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Health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BV, </w:t>
      </w:r>
      <w:proofErr w:type="spellStart"/>
      <w:r w:rsidRPr="00657A8A">
        <w:rPr>
          <w:rFonts w:ascii="Times New Roman" w:hAnsi="Times New Roman"/>
          <w:sz w:val="22"/>
          <w:szCs w:val="22"/>
        </w:rPr>
        <w:t>Handelsweg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25, 5531 AE </w:t>
      </w:r>
      <w:proofErr w:type="spellStart"/>
      <w:r w:rsidRPr="00657A8A">
        <w:rPr>
          <w:rFonts w:ascii="Times New Roman" w:hAnsi="Times New Roman"/>
          <w:sz w:val="22"/>
          <w:szCs w:val="22"/>
        </w:rPr>
        <w:t>Bladel</w:t>
      </w:r>
      <w:proofErr w:type="spellEnd"/>
      <w:r w:rsidRPr="00657A8A">
        <w:rPr>
          <w:rFonts w:ascii="Times New Roman" w:hAnsi="Times New Roman"/>
          <w:sz w:val="22"/>
          <w:szCs w:val="22"/>
        </w:rPr>
        <w:t>, Holandsko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8.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REGISTRAČNÉ ČÍSLO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96/035/DC/16-S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9.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bCs/>
          <w:sz w:val="22"/>
          <w:szCs w:val="22"/>
        </w:rPr>
        <w:t>DÁTUM PRVEJ REGISTRÁCIE/PREDĹŽENIA REGISTRÁCIE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:rsidR="00657A8A" w:rsidRPr="005459CF" w:rsidRDefault="005459CF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5459CF">
        <w:rPr>
          <w:rFonts w:ascii="Times New Roman" w:hAnsi="Times New Roman"/>
          <w:sz w:val="22"/>
          <w:szCs w:val="22"/>
        </w:rPr>
        <w:t xml:space="preserve">Dátum prvej registrácie: 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10.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DÁTUM REVÍZIE TEXTU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Dátum prvej registrácie: 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ZÁKAZ PREDAJA, DODÁVOK A/ALEBO POUŽÍVANIA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Neuplatňuje sa.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i/>
          <w:sz w:val="22"/>
          <w:szCs w:val="22"/>
        </w:rPr>
      </w:pPr>
      <w:r w:rsidRPr="00657A8A">
        <w:rPr>
          <w:rFonts w:ascii="Times New Roman" w:hAnsi="Times New Roman"/>
          <w:i/>
          <w:sz w:val="22"/>
          <w:szCs w:val="22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57A8A" w:rsidRPr="00657A8A" w:rsidTr="00245D41">
        <w:trPr>
          <w:trHeight w:val="977"/>
        </w:trPr>
        <w:tc>
          <w:tcPr>
            <w:tcW w:w="9747" w:type="dxa"/>
            <w:tcBorders>
              <w:bottom w:val="single" w:sz="4" w:space="0" w:color="auto"/>
            </w:tcBorders>
          </w:tcPr>
          <w:p w:rsidR="00657A8A" w:rsidRPr="00657A8A" w:rsidRDefault="00657A8A" w:rsidP="00245D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7A8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:rsidR="00657A8A" w:rsidRPr="00657A8A" w:rsidRDefault="00657A8A" w:rsidP="00245D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57A8A" w:rsidRPr="00657A8A" w:rsidRDefault="00657A8A" w:rsidP="00245D41">
            <w:pPr>
              <w:rPr>
                <w:rFonts w:ascii="Times New Roman" w:hAnsi="Times New Roman"/>
                <w:sz w:val="22"/>
                <w:szCs w:val="22"/>
              </w:rPr>
            </w:pPr>
            <w:r w:rsidRPr="00657A8A">
              <w:rPr>
                <w:rFonts w:ascii="Times New Roman" w:hAnsi="Times New Roman"/>
                <w:b/>
                <w:sz w:val="22"/>
                <w:szCs w:val="22"/>
              </w:rPr>
              <w:t>TRHACÍ ŠTÍTOK, 100 g balenie</w:t>
            </w:r>
          </w:p>
        </w:tc>
      </w:tr>
    </w:tbl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NÁZOV VETERINÁRNEHO LIEKU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 xml:space="preserve">SOLAMOCTA </w:t>
      </w:r>
      <w:r w:rsidRPr="00657A8A">
        <w:rPr>
          <w:rFonts w:ascii="Times New Roman" w:hAnsi="Times New Roman"/>
          <w:sz w:val="22"/>
          <w:szCs w:val="22"/>
        </w:rPr>
        <w:t>697 mg/g prášok na podani</w:t>
      </w:r>
      <w:r w:rsidR="00531FAD">
        <w:rPr>
          <w:rFonts w:ascii="Times New Roman" w:hAnsi="Times New Roman"/>
          <w:sz w:val="22"/>
          <w:szCs w:val="22"/>
        </w:rPr>
        <w:t>e v pitnej vode pre kuru domácu,</w:t>
      </w:r>
      <w:r w:rsidRPr="00657A8A">
        <w:rPr>
          <w:rFonts w:ascii="Times New Roman" w:hAnsi="Times New Roman"/>
          <w:sz w:val="22"/>
          <w:szCs w:val="22"/>
        </w:rPr>
        <w:t xml:space="preserve"> kačice a morky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(vo forme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>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2.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ÚČINNÉ LÁTKY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Jeden gram obsahuje:</w:t>
      </w:r>
      <w:r w:rsidRPr="00657A8A">
        <w:rPr>
          <w:rFonts w:ascii="Times New Roman" w:hAnsi="Times New Roman"/>
          <w:sz w:val="22"/>
          <w:szCs w:val="22"/>
        </w:rPr>
        <w:t xml:space="preserve">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Účinná látka: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  <w:t>697 mg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zodpovedá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ab/>
        <w:t>800 mg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3.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LIEKOVÁ FORMA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highlight w:val="lightGray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highlight w:val="lightGray"/>
        </w:rPr>
        <w:t>Prášok na podanie v pitnej vode.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4.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VEĽKOSŤ BALENIA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100 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5.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CIEĽOVÉ DRUHY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(brojlery, mladé sliepky, chovné sliepky), kačice (brojlery, chovné kačice), morky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6.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INDIKÁCIA (IE)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Pred použitím si prečítajte písomnú informáciu pre používateľov.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7.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SPÔSOB A CESTA PODANIA LIEKU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highlight w:val="lightGray"/>
        </w:rPr>
        <w:t>Pred použitím si prečítajte písomnú informáciu pre používateľov.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8.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OCHRANNÁ LEHOTA(-Y)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(mäso a vnútornosti):</w:t>
      </w:r>
      <w:r w:rsidRPr="00657A8A">
        <w:rPr>
          <w:rFonts w:ascii="Times New Roman" w:hAnsi="Times New Roman"/>
          <w:sz w:val="22"/>
          <w:szCs w:val="22"/>
        </w:rPr>
        <w:tab/>
        <w:t>1 deň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Kačice (mäso a vnútornosti):</w:t>
      </w:r>
      <w:r w:rsidRPr="00657A8A">
        <w:rPr>
          <w:rFonts w:ascii="Times New Roman" w:hAnsi="Times New Roman"/>
          <w:sz w:val="22"/>
          <w:szCs w:val="22"/>
        </w:rPr>
        <w:tab/>
        <w:t>9 dní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Morky (mäso a vnútornosti):</w:t>
      </w:r>
      <w:r w:rsidRPr="00657A8A">
        <w:rPr>
          <w:rFonts w:ascii="Times New Roman" w:hAnsi="Times New Roman"/>
          <w:sz w:val="22"/>
          <w:szCs w:val="22"/>
        </w:rPr>
        <w:tab/>
        <w:t>5 dní</w:t>
      </w:r>
    </w:p>
    <w:p w:rsid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u vtákov, ktoré produkujú alebo sú určené na produkciu vajec na ľudskú spotrebu. Nepoužívať počas 3 týždňov pred začiatkom znášky.</w:t>
      </w:r>
    </w:p>
    <w:p w:rsidR="005459CF" w:rsidRPr="00657A8A" w:rsidRDefault="005459CF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9.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UPOZORNENIE, AK JE POTREBNÉ</w:t>
      </w:r>
    </w:p>
    <w:p w:rsidR="00657A8A" w:rsidRPr="00657A8A" w:rsidRDefault="00657A8A" w:rsidP="00657A8A">
      <w:pPr>
        <w:rPr>
          <w:rFonts w:ascii="Times New Roman" w:hAnsi="Times New Roman"/>
          <w:b/>
          <w:sz w:val="22"/>
          <w:szCs w:val="22"/>
        </w:rPr>
      </w:pPr>
    </w:p>
    <w:p w:rsidR="005459CF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Upozornenie pre používateľa: 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príležitostne spôsobovať závažné alergické reakcie.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highlight w:val="lightGray"/>
        </w:rPr>
        <w:t>Pred použitím si prečítajte písomnú informáciu pre používateľov.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10.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DÁTUM EXSPIRÁCIE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lastRenderedPageBreak/>
        <w:t>Čas použiteľnosti po prvom otvorení vnútorného obalu: 3 mesiace.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rozpustení alebo rekonštitúcii podľa návodu: 12 hodín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EXP (mesiac/rok)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 otvorení použiť do: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11.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PODMIENKY NA UCHOVÁVANIE</w:t>
      </w:r>
    </w:p>
    <w:p w:rsidR="00657A8A" w:rsidRPr="00657A8A" w:rsidRDefault="00657A8A" w:rsidP="00657A8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Tento veterinárny liek nevyžaduje žiadne zvláštne podmienky na uchovávanie. </w:t>
      </w: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Vrecko udržujte po prvom otvorení dôkladne uzavreté, aby ste obsah ochránili pred vlhkosťou.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12.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BEZPEČNOSTNÉ OPATRENIA NA ZNEŠKODNENIE NEPOUŽITÉHO LIEKU ALEBO ODPADOVÉHO MATERIÁLU, V PRÍPADE POTREBY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Likvidácia: prečítajte si písomnú informáciu pre používateľov.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13.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OZNAČENIE „LEN PRE ZVIERATÁ” A PODMIENKY ALEBO OBMEDZENIA TÝKAJÚCE SA DODÁVKY A POUŽITIA, ak sa uplatňujú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Len pre zvieratá. Výdaj lieku je viazaný  na veterinárny predpis.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14.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OZNAČENIE „UCHOVÁVAŤ MIMO DOHĽADU A DOSAHU DETÍ"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Uchovávať mimo dohľadu a dosahu detí.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15.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NÁZOV A ADRESA DRŽITEĽA ROZHODNUTIA O REGISTRÁCII</w:t>
      </w: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Eurovet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Animal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Health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BV, </w:t>
      </w:r>
      <w:proofErr w:type="spellStart"/>
      <w:r w:rsidRPr="00657A8A">
        <w:rPr>
          <w:rFonts w:ascii="Times New Roman" w:hAnsi="Times New Roman"/>
          <w:sz w:val="22"/>
          <w:szCs w:val="22"/>
        </w:rPr>
        <w:t>Handelsweg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25, 5531 AE </w:t>
      </w:r>
      <w:proofErr w:type="spellStart"/>
      <w:r w:rsidRPr="00657A8A">
        <w:rPr>
          <w:rFonts w:ascii="Times New Roman" w:hAnsi="Times New Roman"/>
          <w:sz w:val="22"/>
          <w:szCs w:val="22"/>
        </w:rPr>
        <w:t>Bladel</w:t>
      </w:r>
      <w:proofErr w:type="spellEnd"/>
      <w:r w:rsidRPr="00657A8A">
        <w:rPr>
          <w:rFonts w:ascii="Times New Roman" w:hAnsi="Times New Roman"/>
          <w:sz w:val="22"/>
          <w:szCs w:val="22"/>
        </w:rPr>
        <w:t>, Holandsko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16.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REGISTRAČNÉ ČÍSLO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96/035/DC/16-S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17.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ČÍSLO VÝROBNEJ ŠARŽE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Č. šarže {číslo}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br w:type="page"/>
      </w:r>
    </w:p>
    <w:p w:rsidR="00657A8A" w:rsidRPr="00657A8A" w:rsidRDefault="00657A8A" w:rsidP="00657A8A">
      <w:pPr>
        <w:jc w:val="center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lastRenderedPageBreak/>
        <w:t>PÍSOMNÁ INFORMÁCIA PRE POUŽÍVATEĽOV</w:t>
      </w:r>
    </w:p>
    <w:p w:rsidR="00657A8A" w:rsidRPr="00657A8A" w:rsidRDefault="00657A8A" w:rsidP="00657A8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SOLAMOCTA 697 mg/g</w:t>
      </w:r>
    </w:p>
    <w:p w:rsidR="00657A8A" w:rsidRPr="00657A8A" w:rsidRDefault="00657A8A" w:rsidP="00657A8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>prášok na podanie v pitnej vode pre kuru domácu, kačice a morky</w:t>
      </w:r>
    </w:p>
    <w:p w:rsidR="00657A8A" w:rsidRPr="00657A8A" w:rsidRDefault="00657A8A" w:rsidP="00657A8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  <w:highlight w:val="lightGray"/>
        </w:rPr>
        <w:t>NÁZOV A ADRESA DRŽITEĽA ROZHODNUTIA O REGISTRÁCII A DRŽITEĽA POVOLENIA NA VÝROBU ZODPOVEDNÉHO ZA UVOĽNENIE ŠARŽE, AK NIE SÚ IDENTICKÍ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Držiteľ rozhodnutia o registrácii  a výrobca zodpovedný za uvoľňovanie šarže: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Eurovet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Animal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Health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BV, </w:t>
      </w:r>
      <w:proofErr w:type="spellStart"/>
      <w:r w:rsidRPr="00657A8A">
        <w:rPr>
          <w:rFonts w:ascii="Times New Roman" w:hAnsi="Times New Roman"/>
          <w:sz w:val="22"/>
          <w:szCs w:val="22"/>
        </w:rPr>
        <w:t>Handelsweg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25, 5531 AE </w:t>
      </w:r>
      <w:proofErr w:type="spellStart"/>
      <w:r w:rsidRPr="00657A8A">
        <w:rPr>
          <w:rFonts w:ascii="Times New Roman" w:hAnsi="Times New Roman"/>
          <w:sz w:val="22"/>
          <w:szCs w:val="22"/>
        </w:rPr>
        <w:t>Bladel</w:t>
      </w:r>
      <w:proofErr w:type="spellEnd"/>
      <w:r w:rsidRPr="00657A8A">
        <w:rPr>
          <w:rFonts w:ascii="Times New Roman" w:hAnsi="Times New Roman"/>
          <w:sz w:val="22"/>
          <w:szCs w:val="22"/>
        </w:rPr>
        <w:t>, Holandsko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2.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NÁZOV VETERINÁRNEHO LIEKU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 xml:space="preserve">SOLAMOCTA </w:t>
      </w:r>
      <w:r w:rsidRPr="00657A8A">
        <w:rPr>
          <w:rFonts w:ascii="Times New Roman" w:hAnsi="Times New Roman"/>
          <w:sz w:val="22"/>
          <w:szCs w:val="22"/>
        </w:rPr>
        <w:t>697 mg/g prášok na podanie v pitnej vode pre kuru domácu, kačice a morky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(vo forme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>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97"/>
        </w:tabs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3.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bCs/>
          <w:sz w:val="22"/>
          <w:szCs w:val="22"/>
        </w:rPr>
        <w:t>OBSAH ÚČINNEJ LÁTKY(-OK) A INEJ LÁTKY(-OK)</w:t>
      </w:r>
      <w:r w:rsidRPr="00657A8A">
        <w:rPr>
          <w:rFonts w:ascii="Times New Roman" w:hAnsi="Times New Roman"/>
          <w:b/>
          <w:sz w:val="22"/>
          <w:szCs w:val="22"/>
        </w:rPr>
        <w:tab/>
      </w: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Jeden gram obsahuje:</w:t>
      </w:r>
      <w:r w:rsidRPr="00657A8A">
        <w:rPr>
          <w:rFonts w:ascii="Times New Roman" w:hAnsi="Times New Roman"/>
          <w:sz w:val="22"/>
          <w:szCs w:val="22"/>
        </w:rPr>
        <w:t xml:space="preserve">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Účinná látka: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  <w:t xml:space="preserve">697 mg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zodpovedá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ab/>
        <w:t>800 mg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Biely až svetlo žlto-biely prášok.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4.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INDIKÁCIA (IE)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Liečba infekcií u kury domácej, moriek a kačíc spôsobených baktériami citlivými na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5.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KONTRAINDIKÁCIE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v prítomnosti baktérií produkujúcich ß-</w:t>
      </w:r>
      <w:proofErr w:type="spellStart"/>
      <w:r w:rsidRPr="00657A8A">
        <w:rPr>
          <w:rFonts w:ascii="Times New Roman" w:hAnsi="Times New Roman"/>
          <w:sz w:val="22"/>
          <w:szCs w:val="22"/>
        </w:rPr>
        <w:t>laktamázu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Nepoužívať u zajacov, morčiat, škrečkov, </w:t>
      </w:r>
      <w:proofErr w:type="spellStart"/>
      <w:r w:rsidRPr="00657A8A">
        <w:rPr>
          <w:rFonts w:ascii="Times New Roman" w:hAnsi="Times New Roman"/>
          <w:sz w:val="22"/>
          <w:szCs w:val="22"/>
        </w:rPr>
        <w:t>pieskomilov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alebo iných drobných bylinožravcov.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Nepoužívať v prípadoch precitlivenosti na penicilíny alebo iné </w:t>
      </w:r>
      <w:proofErr w:type="spellStart"/>
      <w:r w:rsidRPr="00657A8A">
        <w:rPr>
          <w:rFonts w:ascii="Times New Roman" w:hAnsi="Times New Roman"/>
          <w:sz w:val="22"/>
          <w:szCs w:val="22"/>
        </w:rPr>
        <w:t>betalaktámové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antibiotiká alebo na niektorú pomocnú látku.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u prežúvavcov alebo koní.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6.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NEŽIADUCE ÚČINKY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vyvolať </w:t>
      </w:r>
      <w:proofErr w:type="spellStart"/>
      <w:r w:rsidRPr="00657A8A">
        <w:rPr>
          <w:rFonts w:ascii="Times New Roman" w:hAnsi="Times New Roman"/>
          <w:sz w:val="22"/>
          <w:szCs w:val="22"/>
        </w:rPr>
        <w:t>hypersenzitívne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reakcie, ktoré môžu byť v niektorých prípadoch závažné.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Prípadne nežiaduce účinky môžete nahlásiť národnej kompetentnej autorite {www.uskvbl.sk}.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7.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CIEĽOVÉ DRUHY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(brojlery, mladé sliepky, chovné sliepky), kačice (brojlery, chovné kačice), morky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8.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DÁVKOVANIE PRE KAŽDÝ DRUH, CESTA(Y)  A SPÔSOB PODANIA LIEKU</w:t>
      </w: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</w:p>
    <w:p w:rsidR="00657A8A" w:rsidRPr="00657A8A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Podanie v pitnej vode. </w:t>
      </w:r>
    </w:p>
    <w:p w:rsidR="00657A8A" w:rsidRPr="00657A8A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color w:val="000000"/>
          <w:sz w:val="22"/>
          <w:szCs w:val="22"/>
          <w:u w:val="single"/>
        </w:rPr>
        <w:lastRenderedPageBreak/>
        <w:t>Kura domáca</w:t>
      </w:r>
      <w:r w:rsidRPr="00657A8A"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</w: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Odporúčaná dávka je 13,1 mg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(zodpovedajúca 18,8 mg veterinárneho lieku) na kg živej hmotnosti denne počas 3 po sebe nasledujúcich dní, alebo u ťažkých prípadov počas 5 po sebe nasledujúcich dní.</w:t>
      </w:r>
    </w:p>
    <w:p w:rsidR="00657A8A" w:rsidRPr="00657A8A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color w:val="000000"/>
          <w:sz w:val="22"/>
          <w:szCs w:val="22"/>
          <w:u w:val="single"/>
        </w:rPr>
        <w:t>Kačice</w:t>
      </w:r>
      <w:r w:rsidRPr="00657A8A"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</w: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Odporúčaná dávka je 17,4 mg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(zodpovedajúca 25 mg veterinárneho lieku) na kg živej hmotnosti denne počas 3 po sebe nasledujúcich dní.</w:t>
      </w:r>
    </w:p>
    <w:p w:rsidR="00657A8A" w:rsidRPr="00657A8A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Odporúčaná dávka je 13,1–17,4 mg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(zodpovedajúca 18,8 až 25 mg veterinárneho lieku) na kg živej hmotnosti denne počas 3 po sebe nasledujúcich dní alebo u ťažkých prípadov počas 5 po sebe nasledujúcich dní.</w:t>
      </w:r>
    </w:p>
    <w:p w:rsidR="00657A8A" w:rsidRPr="005459CF" w:rsidRDefault="00657A8A" w:rsidP="00657A8A">
      <w:pPr>
        <w:pStyle w:val="BodytextAgency"/>
        <w:rPr>
          <w:rFonts w:ascii="Times New Roman" w:hAnsi="Times New Roman" w:cs="Times New Roman"/>
          <w:color w:val="000000"/>
          <w:sz w:val="22"/>
          <w:szCs w:val="22"/>
        </w:rPr>
      </w:pPr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Roztok pripravte s čerstvou vodou z vodovodu bezprostredne pred použitím. Všetku nepoužitú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medikovanú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vodu zlikvidujte po 12 hodinách. Pre zabezpečenie konzumácie </w:t>
      </w:r>
      <w:proofErr w:type="spellStart"/>
      <w:r w:rsidRPr="00657A8A">
        <w:rPr>
          <w:rFonts w:ascii="Times New Roman" w:hAnsi="Times New Roman" w:cs="Times New Roman"/>
          <w:color w:val="000000"/>
          <w:sz w:val="22"/>
          <w:szCs w:val="22"/>
        </w:rPr>
        <w:t>medikovanej</w:t>
      </w:r>
      <w:proofErr w:type="spellEnd"/>
      <w:r w:rsidRPr="00657A8A">
        <w:rPr>
          <w:rFonts w:ascii="Times New Roman" w:hAnsi="Times New Roman" w:cs="Times New Roman"/>
          <w:color w:val="000000"/>
          <w:sz w:val="22"/>
          <w:szCs w:val="22"/>
        </w:rPr>
        <w:t xml:space="preserve"> vody je nutné, aby zvieratá nemali počas liečby žiaden prístup k iným vodným zdrojom. Pre výpočet požadovanej koncentrácie produktu (v miligramoch produktu na liter pitnej vody) sa môže použiť nasledujúci vzorec: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47"/>
        <w:gridCol w:w="554"/>
        <w:gridCol w:w="2716"/>
        <w:gridCol w:w="2837"/>
      </w:tblGrid>
      <w:tr w:rsidR="00657A8A" w:rsidRPr="00657A8A" w:rsidTr="00245D4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b/>
                <w:color w:val="000000"/>
                <w:sz w:val="22"/>
                <w:szCs w:val="22"/>
              </w:rPr>
              <w:t>___</w:t>
            </w:r>
            <w:r w:rsidRPr="00657A8A">
              <w:rPr>
                <w:rFonts w:ascii="Times New Roman" w:eastAsia="SimSun" w:hAnsi="Times New Roman"/>
                <w:color w:val="000000"/>
                <w:sz w:val="22"/>
                <w:szCs w:val="22"/>
              </w:rPr>
              <w:t> mg produktu na kg živej hmotnosti denne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</w:p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color w:val="000000"/>
                <w:sz w:val="22"/>
                <w:szCs w:val="22"/>
              </w:rPr>
              <w:t>priemerná živá hmotnosť zvierat (v kg), ktoré majú byť ošetrené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</w:p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color w:val="000000"/>
                <w:sz w:val="22"/>
                <w:szCs w:val="22"/>
              </w:rPr>
              <w:t xml:space="preserve">= </w:t>
            </w:r>
            <w:r w:rsidRPr="00657A8A">
              <w:rPr>
                <w:rFonts w:ascii="Times New Roman" w:eastAsia="SimSun" w:hAnsi="Times New Roman"/>
                <w:b/>
                <w:color w:val="000000"/>
                <w:sz w:val="22"/>
                <w:szCs w:val="22"/>
              </w:rPr>
              <w:t>___</w:t>
            </w:r>
            <w:r w:rsidRPr="00657A8A">
              <w:rPr>
                <w:rFonts w:ascii="Times New Roman" w:eastAsia="SimSun" w:hAnsi="Times New Roman"/>
                <w:color w:val="000000"/>
                <w:sz w:val="22"/>
                <w:szCs w:val="22"/>
              </w:rPr>
              <w:t xml:space="preserve"> mg výrobku na liter pitnej vody</w:t>
            </w:r>
          </w:p>
        </w:tc>
      </w:tr>
      <w:tr w:rsidR="00657A8A" w:rsidRPr="00657A8A" w:rsidTr="00245D41">
        <w:tc>
          <w:tcPr>
            <w:tcW w:w="626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eastAsia="SimSun" w:hAnsi="Times New Roman"/>
                <w:color w:val="000000"/>
                <w:sz w:val="22"/>
                <w:szCs w:val="22"/>
              </w:rPr>
              <w:t>priemerná denná spotreba vody (v litroch) na jedno zviera</w:t>
            </w:r>
          </w:p>
        </w:tc>
        <w:tc>
          <w:tcPr>
            <w:tcW w:w="2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</w:tabs>
              <w:jc w:val="both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</w:p>
        </w:tc>
      </w:tr>
    </w:tbl>
    <w:p w:rsidR="003E4568" w:rsidRDefault="00657A8A" w:rsidP="003E4568">
      <w:pPr>
        <w:spacing w:line="280" w:lineRule="atLeast"/>
        <w:jc w:val="both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Pre zabezpečenie správneho dávkovania by sa živá hmotnosť mala stanoviť čo najpresnejšie, aby sa predišlo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poddávkovaniu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. Príjem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medikovanej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vody závisí od klinického stavu vtákov. Pre dosiahnutie správneho dávkovania sa musí primerane upraviť koncentrácia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vzhľadom na príjem vody. Po ukončení obdobia medikácie sa musí primerane vyčistiť celý vodovodný systém, aby sa predišlo príjmu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subterapeutických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množstiev účinnej látky. Maximálna rozpustnosť produktu vo vode je pri teplote 10 °C približne 6 g/l v priebehu 10 minút. Pri nižších teplotách (4 °C) je maximálna rozpustnosť približne 5 g/l v priebehu 10 minút.</w:t>
      </w:r>
    </w:p>
    <w:p w:rsidR="003E4568" w:rsidRPr="00657A8A" w:rsidRDefault="003E4568" w:rsidP="003E4568">
      <w:pPr>
        <w:spacing w:line="280" w:lineRule="atLeast"/>
        <w:jc w:val="both"/>
        <w:rPr>
          <w:rFonts w:ascii="Times New Roman" w:eastAsia="Verdana" w:hAnsi="Times New Roman"/>
          <w:color w:val="000000"/>
          <w:sz w:val="22"/>
          <w:szCs w:val="22"/>
        </w:rPr>
      </w:pPr>
    </w:p>
    <w:p w:rsidR="00657A8A" w:rsidRPr="00657A8A" w:rsidRDefault="00657A8A" w:rsidP="003E4568">
      <w:pPr>
        <w:spacing w:line="280" w:lineRule="atLeast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</w:rPr>
        <w:t>Vypočítaná dávka by sa mala odmerať pomocou kalibrovaných stupníc.</w:t>
      </w:r>
      <w:r w:rsidRPr="00657A8A">
        <w:rPr>
          <w:rFonts w:ascii="Times New Roman" w:eastAsia="Verdana" w:hAnsi="Times New Roman"/>
          <w:color w:val="000000"/>
          <w:sz w:val="22"/>
          <w:szCs w:val="22"/>
        </w:rPr>
        <w:br/>
        <w:t>V prípade zásobných roztokov a pri použití dávkovača dávajte pozor, aby ste neprekročili maximálnu rozpustnosť, ktorú je možné dosiahnuť za daných podmienok. Upravte nastavenie prietoku dávkovacej pumpy podľa koncentrácie zásobného roztoku a príjmu vody ošetrovaných zvierat.</w:t>
      </w: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9.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POKYN O SPRÁVNOM PODANÍ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Pozri časť 8.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10.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OCHRANNÁ LEHOTA</w:t>
      </w:r>
      <w:r w:rsidRPr="00657A8A">
        <w:rPr>
          <w:rFonts w:ascii="Times New Roman" w:hAnsi="Times New Roman"/>
          <w:b/>
          <w:bCs/>
          <w:sz w:val="22"/>
          <w:szCs w:val="22"/>
        </w:rPr>
        <w:t>(-Y)</w:t>
      </w: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</w:rPr>
      </w:pP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(mäso a vnútornosti):</w:t>
      </w:r>
      <w:r w:rsidRPr="00657A8A">
        <w:rPr>
          <w:rFonts w:ascii="Times New Roman" w:hAnsi="Times New Roman"/>
          <w:sz w:val="22"/>
          <w:szCs w:val="22"/>
        </w:rPr>
        <w:tab/>
        <w:t>1 deň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Kačice (mäso a vnútornosti):</w:t>
      </w:r>
      <w:r w:rsidRPr="00657A8A">
        <w:rPr>
          <w:rFonts w:ascii="Times New Roman" w:hAnsi="Times New Roman"/>
          <w:sz w:val="22"/>
          <w:szCs w:val="22"/>
        </w:rPr>
        <w:tab/>
        <w:t>9 dní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Morky (mäso a vnútornosti):</w:t>
      </w:r>
      <w:r w:rsidRPr="00657A8A">
        <w:rPr>
          <w:rFonts w:ascii="Times New Roman" w:hAnsi="Times New Roman"/>
          <w:sz w:val="22"/>
          <w:szCs w:val="22"/>
        </w:rPr>
        <w:tab/>
        <w:t>5 dní</w:t>
      </w:r>
    </w:p>
    <w:p w:rsid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u vtákov, ktoré produkujú alebo sú určené na produkciu vajec na ľudskú spotrebu. Nepoužívať počas 3 týždňov pred začiatkom znášky.</w:t>
      </w:r>
    </w:p>
    <w:p w:rsidR="005459CF" w:rsidRPr="00657A8A" w:rsidRDefault="005459CF" w:rsidP="00657A8A">
      <w:pPr>
        <w:rPr>
          <w:rFonts w:ascii="Times New Roman" w:hAnsi="Times New Roman"/>
          <w:iCs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11.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BEZPEČNOSTNÉ OPATRENIA NA UCHOVÁVANIE</w:t>
      </w:r>
    </w:p>
    <w:p w:rsidR="00657A8A" w:rsidRPr="00657A8A" w:rsidRDefault="00657A8A" w:rsidP="00657A8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Uchovávať mimo dohľadu a dosahu detí.</w:t>
      </w:r>
    </w:p>
    <w:p w:rsidR="00657A8A" w:rsidRPr="00657A8A" w:rsidRDefault="00657A8A" w:rsidP="00657A8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Tento veterinárny liek nevyžaduje žiadne zvláštne podmienky na uchovávanie.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Vrecko udržujte po prvom otvorení dôkladne uzavreté, aby ste obsah ochránili pred vlhkosťou.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5459CF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Nepoužívajte veterinárny liek po dátume exspirácie, ktorý je uvedený na obale po „EXP".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Dátum exspirácie sa vzťahuje na posledný deň v danom mesiaci.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prvom otvorení vnútorného obalu: 3 mesiace.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rozpustení alebo rekonštitúcii podľa návodu: 12 hodín.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12.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UPOZORNENIA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Osobitné bezpečnostné opatrenia na používanie u zvierat:</w:t>
      </w:r>
    </w:p>
    <w:p w:rsidR="00657A8A" w:rsidRPr="00657A8A" w:rsidRDefault="00657A8A" w:rsidP="00657A8A">
      <w:pPr>
        <w:pStyle w:val="Zkladntex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Pri používaní lieku zohľadniť národnú a miestnu  </w:t>
      </w:r>
      <w:proofErr w:type="spellStart"/>
      <w:r w:rsidRPr="00657A8A">
        <w:rPr>
          <w:rFonts w:ascii="Times New Roman" w:hAnsi="Times New Roman"/>
          <w:sz w:val="22"/>
          <w:szCs w:val="22"/>
        </w:rPr>
        <w:t>antimikrobiálnu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politiku.</w:t>
      </w:r>
    </w:p>
    <w:p w:rsidR="00657A8A" w:rsidRPr="00657A8A" w:rsidRDefault="00657A8A" w:rsidP="00657A8A">
      <w:pPr>
        <w:pStyle w:val="Zkladntex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Použitie lieku má byť založené na  testovaní citlivosti baktérií izolovaných zo zvieraťa. Ak to nie je možné, liečba by mala vychádzať z miestnej (regionálnej, farmovej) epidemiologickej informácie o citlivosti cieľových baktérií. </w:t>
      </w:r>
    </w:p>
    <w:p w:rsidR="00657A8A" w:rsidRPr="00657A8A" w:rsidRDefault="00657A8A" w:rsidP="00657A8A">
      <w:pPr>
        <w:pStyle w:val="Zkladntex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Použitie lieku v rozpore s pokynmi uvedenými v tejto písomnej informácii môže zvýšiť </w:t>
      </w:r>
      <w:proofErr w:type="spellStart"/>
      <w:r w:rsidRPr="00657A8A">
        <w:rPr>
          <w:rFonts w:ascii="Times New Roman" w:hAnsi="Times New Roman"/>
          <w:sz w:val="22"/>
          <w:szCs w:val="22"/>
        </w:rPr>
        <w:t>prevalenciu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baktérií rezistentných na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amoxicillín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 môže znížiť účinnosť liečby.</w:t>
      </w:r>
    </w:p>
    <w:p w:rsidR="00657A8A" w:rsidRPr="00657A8A" w:rsidRDefault="00657A8A" w:rsidP="00657A8A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Osobitné bezpečnostné opatrenia, ktoré musí uplatniť osoba podávajúca liek zvieratám:</w:t>
      </w:r>
    </w:p>
    <w:p w:rsidR="00657A8A" w:rsidRPr="00657A8A" w:rsidRDefault="00657A8A" w:rsidP="005459CF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Vyvarujte sa vdychovaniu prachu.</w:t>
      </w:r>
    </w:p>
    <w:p w:rsidR="00657A8A" w:rsidRPr="00657A8A" w:rsidRDefault="00657A8A" w:rsidP="005459CF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Použite buď jednorazovú ochrannú dýchaciu </w:t>
      </w:r>
      <w:proofErr w:type="spellStart"/>
      <w:r w:rsidRPr="00657A8A">
        <w:rPr>
          <w:rFonts w:ascii="Times New Roman" w:hAnsi="Times New Roman"/>
          <w:sz w:val="22"/>
          <w:szCs w:val="22"/>
        </w:rPr>
        <w:t>polomasku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zodpovedajúcu európskej norme EN149 alebo respirátor na opakované použitie podľa EN140 s filtrom podľa EN143.</w:t>
      </w:r>
    </w:p>
    <w:p w:rsidR="00657A8A" w:rsidRPr="00657A8A" w:rsidRDefault="00657A8A" w:rsidP="005459CF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vyvolať </w:t>
      </w:r>
      <w:proofErr w:type="spellStart"/>
      <w:r w:rsidRPr="00657A8A">
        <w:rPr>
          <w:rFonts w:ascii="Times New Roman" w:hAnsi="Times New Roman"/>
          <w:sz w:val="22"/>
          <w:szCs w:val="22"/>
        </w:rPr>
        <w:t>hypersenzitívne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reakcie (alergia) po injekcii, inhalácii, požití alebo kontakte s pokožkou, ktoré môžu byť v niektorých prípadoch závažné. Precitlivenosť na penicilíny môže viesť ku krížovým reakciám na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naopak. V prípade kontaktu s očami alebo kožou okamžite opláchnite vodou.</w:t>
      </w:r>
    </w:p>
    <w:p w:rsidR="00657A8A" w:rsidRPr="00657A8A" w:rsidRDefault="00657A8A" w:rsidP="005459CF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5459CF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Nemanipulujte s týmto liekom , v prípade známej </w:t>
      </w:r>
      <w:proofErr w:type="spellStart"/>
      <w:r w:rsidRPr="00657A8A">
        <w:rPr>
          <w:rFonts w:ascii="Times New Roman" w:hAnsi="Times New Roman"/>
          <w:sz w:val="22"/>
          <w:szCs w:val="22"/>
        </w:rPr>
        <w:t>precitlivelosti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 alebo ak vám bolo odporučené nepracovať s takýmito liekmi.  Zaobchádzajte  s týmto liekom  čo najopatrnejšie,   dodržiavajte všetky odporúčané preventívne opatrenia aby ste sa vyhli </w:t>
      </w:r>
      <w:proofErr w:type="spellStart"/>
      <w:r w:rsidRPr="00657A8A">
        <w:rPr>
          <w:rFonts w:ascii="Times New Roman" w:hAnsi="Times New Roman"/>
          <w:sz w:val="22"/>
          <w:szCs w:val="22"/>
        </w:rPr>
        <w:t>expozíci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. Ak sa po expozícii lieku  objavia príznaky, ako je kožná vyrážka, vyhľadajte lekársku pomoc a ukážte lekárovi toto upozornenie. Opuchy tváre, pier alebo očí, alebo dýchacie ťažkosti sú závažnejšie príznaky a vyžadujú si okamžité lekárske ošetrenie. </w:t>
      </w:r>
    </w:p>
    <w:p w:rsidR="00657A8A" w:rsidRPr="00657A8A" w:rsidRDefault="00657A8A" w:rsidP="005459CF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 použití si umyte ruky.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5459CF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Znáška:</w:t>
      </w:r>
      <w:r w:rsidRPr="00657A8A">
        <w:rPr>
          <w:rFonts w:ascii="Times New Roman" w:hAnsi="Times New Roman"/>
          <w:sz w:val="22"/>
          <w:szCs w:val="22"/>
        </w:rPr>
        <w:t xml:space="preserve"> </w:t>
      </w: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Laboratórne pokusy u potkanov neposkytli žiaden dôkaz </w:t>
      </w:r>
      <w:proofErr w:type="spellStart"/>
      <w:r w:rsidRPr="00657A8A">
        <w:rPr>
          <w:rFonts w:ascii="Times New Roman" w:hAnsi="Times New Roman"/>
          <w:sz w:val="22"/>
          <w:szCs w:val="22"/>
        </w:rPr>
        <w:t>teratogénneho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účinku v dôsledku podania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. </w:t>
      </w:r>
    </w:p>
    <w:p w:rsidR="00657A8A" w:rsidRPr="00657A8A" w:rsidRDefault="00657A8A" w:rsidP="00657A8A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Používajte len na základe  zhodnotenia pomeru prínosu a rizika zodpovedným veterinárnym lekárom.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u w:val="single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Liekové interakcie a iné formy vzájomného pôsobenia:</w:t>
      </w:r>
    </w:p>
    <w:p w:rsidR="00657A8A" w:rsidRPr="005459CF" w:rsidRDefault="00657A8A" w:rsidP="00657A8A">
      <w:pPr>
        <w:rPr>
          <w:rFonts w:ascii="Times New Roman" w:hAnsi="Times New Roman"/>
          <w:sz w:val="22"/>
          <w:szCs w:val="22"/>
        </w:rPr>
      </w:pPr>
      <w:r w:rsidRPr="005459CF">
        <w:rPr>
          <w:rFonts w:ascii="Times New Roman" w:hAnsi="Times New Roman"/>
          <w:sz w:val="22"/>
          <w:szCs w:val="22"/>
        </w:rPr>
        <w:t xml:space="preserve">Nepodávať tento liek s antibiotikami, ktoré pôsobia </w:t>
      </w:r>
      <w:proofErr w:type="spellStart"/>
      <w:r w:rsidRPr="005459CF">
        <w:rPr>
          <w:rFonts w:ascii="Times New Roman" w:hAnsi="Times New Roman"/>
          <w:sz w:val="22"/>
          <w:szCs w:val="22"/>
        </w:rPr>
        <w:t>bakteriostaticky</w:t>
      </w:r>
      <w:proofErr w:type="spellEnd"/>
      <w:r w:rsidRPr="005459CF">
        <w:rPr>
          <w:rFonts w:ascii="Times New Roman" w:hAnsi="Times New Roman"/>
          <w:sz w:val="22"/>
          <w:szCs w:val="22"/>
        </w:rPr>
        <w:t xml:space="preserve">, ako sú tetracyklíny, </w:t>
      </w:r>
      <w:proofErr w:type="spellStart"/>
      <w:r w:rsidRPr="005459CF">
        <w:rPr>
          <w:rFonts w:ascii="Times New Roman" w:hAnsi="Times New Roman"/>
          <w:sz w:val="22"/>
          <w:szCs w:val="22"/>
        </w:rPr>
        <w:t>makrolidy</w:t>
      </w:r>
      <w:proofErr w:type="spellEnd"/>
      <w:r w:rsidRPr="005459CF">
        <w:rPr>
          <w:rFonts w:ascii="Times New Roman" w:hAnsi="Times New Roman"/>
          <w:sz w:val="22"/>
          <w:szCs w:val="22"/>
        </w:rPr>
        <w:t xml:space="preserve"> a sulfónamidy. </w:t>
      </w:r>
      <w:proofErr w:type="spellStart"/>
      <w:r w:rsidRPr="005459CF">
        <w:rPr>
          <w:rFonts w:ascii="Times New Roman" w:hAnsi="Times New Roman"/>
          <w:sz w:val="22"/>
          <w:szCs w:val="22"/>
        </w:rPr>
        <w:t>Synergizmus</w:t>
      </w:r>
      <w:proofErr w:type="spellEnd"/>
      <w:r w:rsidRPr="005459CF">
        <w:rPr>
          <w:rFonts w:ascii="Times New Roman" w:hAnsi="Times New Roman"/>
          <w:sz w:val="22"/>
          <w:szCs w:val="22"/>
        </w:rPr>
        <w:t xml:space="preserve"> sa vyskytuje s ß-</w:t>
      </w:r>
      <w:proofErr w:type="spellStart"/>
      <w:r w:rsidRPr="005459CF">
        <w:rPr>
          <w:rFonts w:ascii="Times New Roman" w:hAnsi="Times New Roman"/>
          <w:sz w:val="22"/>
          <w:szCs w:val="22"/>
        </w:rPr>
        <w:t>laktámovými</w:t>
      </w:r>
      <w:proofErr w:type="spellEnd"/>
      <w:r w:rsidRPr="005459CF">
        <w:rPr>
          <w:rFonts w:ascii="Times New Roman" w:hAnsi="Times New Roman"/>
          <w:sz w:val="22"/>
          <w:szCs w:val="22"/>
        </w:rPr>
        <w:t xml:space="preserve"> antibiotikami a </w:t>
      </w:r>
      <w:proofErr w:type="spellStart"/>
      <w:r w:rsidRPr="005459CF">
        <w:rPr>
          <w:rFonts w:ascii="Times New Roman" w:hAnsi="Times New Roman"/>
          <w:sz w:val="22"/>
          <w:szCs w:val="22"/>
        </w:rPr>
        <w:t>aminoglykozidmi</w:t>
      </w:r>
      <w:proofErr w:type="spellEnd"/>
      <w:r w:rsidRPr="005459CF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-1440"/>
          <w:tab w:val="left" w:pos="720"/>
        </w:tabs>
        <w:rPr>
          <w:rFonts w:ascii="Times New Roman" w:hAnsi="Times New Roman"/>
          <w:sz w:val="22"/>
          <w:szCs w:val="22"/>
          <w:u w:val="single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 xml:space="preserve">Predávkovanie (príznaky, núdzové postupy, </w:t>
      </w:r>
      <w:proofErr w:type="spellStart"/>
      <w:r w:rsidRPr="00657A8A">
        <w:rPr>
          <w:rFonts w:ascii="Times New Roman" w:hAnsi="Times New Roman"/>
          <w:sz w:val="22"/>
          <w:szCs w:val="22"/>
          <w:u w:val="single"/>
        </w:rPr>
        <w:t>antidotá</w:t>
      </w:r>
      <w:proofErr w:type="spellEnd"/>
      <w:r w:rsidRPr="00657A8A">
        <w:rPr>
          <w:rFonts w:ascii="Times New Roman" w:hAnsi="Times New Roman"/>
          <w:sz w:val="22"/>
          <w:szCs w:val="22"/>
          <w:u w:val="single"/>
        </w:rPr>
        <w:t>):</w:t>
      </w:r>
    </w:p>
    <w:p w:rsidR="00657A8A" w:rsidRPr="00657A8A" w:rsidRDefault="00657A8A" w:rsidP="00657A8A">
      <w:pPr>
        <w:tabs>
          <w:tab w:val="left" w:pos="-1440"/>
          <w:tab w:val="left" w:pos="720"/>
        </w:tabs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Nie sú známe.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5459CF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Inkompatibility:</w:t>
      </w:r>
      <w:r w:rsidRPr="00657A8A">
        <w:rPr>
          <w:rFonts w:ascii="Times New Roman" w:hAnsi="Times New Roman"/>
          <w:sz w:val="22"/>
          <w:szCs w:val="22"/>
        </w:rPr>
        <w:t xml:space="preserve">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Z dôvodu chýbania štúdií kompatibility, sa tento veterinárny liek nesmie miešať s inými veterinárnymi liekmi.</w:t>
      </w:r>
    </w:p>
    <w:p w:rsidR="00657A8A" w:rsidRPr="00657A8A" w:rsidRDefault="00657A8A" w:rsidP="00657A8A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13.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OSOBITNÉ BEZPEČNOSTNÉ OPATRENIA NA ZNEŠKODNENIE NEPOUŽITÉHO LIEKU(-OV) ALEBO ODPADOVÉHO MATERIÁLU, V PRÍPADE POTREBY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lastRenderedPageBreak/>
        <w:t>Každý nepoužitý veterinárny liek alebo odpadové materiály z tohto veterinárneho lieku musia byť zlikvidované v súlade s miestnymi požiadavkami.</w:t>
      </w:r>
    </w:p>
    <w:p w:rsidR="00657A8A" w:rsidRPr="00657A8A" w:rsidRDefault="00657A8A" w:rsidP="00657A8A">
      <w:pPr>
        <w:keepNext/>
        <w:rPr>
          <w:rFonts w:ascii="Times New Roman" w:hAnsi="Times New Roman"/>
          <w:b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14.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DÁTUM POSLEDNÉHO SCHVÁLENIA TEXTU V PÍSOMNEJ INFORMÁCII PRE POUŽÍVATEĽOV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keepNext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  <w:highlight w:val="lightGray"/>
        </w:rPr>
        <w:t>15.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b/>
          <w:sz w:val="22"/>
          <w:szCs w:val="22"/>
        </w:rPr>
        <w:t>ĎALŠIE INFORMÁCIE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100, 250, 500 g a 1 kg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Nie všetky veľkosti balenia musia byť uvedené na trh.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eastAsia="Calibri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highlight w:val="lightGray"/>
        </w:rPr>
        <w:t>Ak potrebujete akúkoľvek informáciu o tomto veterinárnom lieku, kontaktujte miestneho zástupcu držiteľa rozhodnutia o registrácii</w:t>
      </w:r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lang w:val="en-US" w:eastAsia="sv-SE"/>
        </w:rPr>
      </w:pPr>
      <w:r w:rsidRPr="00657A8A">
        <w:rPr>
          <w:rFonts w:ascii="Times New Roman" w:hAnsi="Times New Roman"/>
          <w:sz w:val="22"/>
          <w:szCs w:val="22"/>
        </w:rPr>
        <w:br w:type="page"/>
      </w:r>
      <w:r w:rsidRPr="00657A8A">
        <w:rPr>
          <w:rFonts w:ascii="Times New Roman" w:hAnsi="Times New Roman"/>
          <w:b/>
          <w:sz w:val="22"/>
          <w:szCs w:val="22"/>
          <w:lang w:val="en-US"/>
        </w:rPr>
        <w:lastRenderedPageBreak/>
        <w:t xml:space="preserve">ÚDAJE, KTORÉ MAJÚ BYŤ UVEDENÉ NA VNÚTORNOM OBALE </w:t>
      </w:r>
      <w:r w:rsidRPr="00657A8A">
        <w:rPr>
          <w:rFonts w:ascii="Times New Roman" w:hAnsi="Times New Roman"/>
          <w:b/>
          <w:sz w:val="22"/>
          <w:szCs w:val="22"/>
          <w:lang w:val="en-US" w:eastAsia="sv-SE"/>
        </w:rPr>
        <w:t xml:space="preserve">– </w:t>
      </w:r>
      <w:r w:rsidRPr="00657A8A">
        <w:rPr>
          <w:rFonts w:ascii="Times New Roman" w:hAnsi="Times New Roman"/>
          <w:b/>
          <w:sz w:val="22"/>
          <w:szCs w:val="22"/>
          <w:u w:val="single"/>
          <w:lang w:val="en-US" w:eastAsia="sv-SE"/>
        </w:rPr>
        <w:t>KOMBINOVANÝ OBAL A PÍSOMNÁ INFORMÁCIA PRE POUŽÍVATEĽOV</w:t>
      </w: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lang w:val="en-US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lang w:val="en-US" w:eastAsia="sv-SE"/>
        </w:rPr>
      </w:pPr>
      <w:r w:rsidRPr="00657A8A">
        <w:rPr>
          <w:rFonts w:ascii="Times New Roman" w:hAnsi="Times New Roman"/>
          <w:b/>
          <w:sz w:val="22"/>
          <w:szCs w:val="22"/>
          <w:lang w:val="en-US" w:eastAsia="sv-SE"/>
        </w:rPr>
        <w:t>{</w:t>
      </w:r>
      <w:r w:rsidRPr="00657A8A">
        <w:rPr>
          <w:rFonts w:ascii="Times New Roman" w:hAnsi="Times New Roman"/>
          <w:b/>
          <w:sz w:val="22"/>
          <w:szCs w:val="22"/>
        </w:rPr>
        <w:t>100, 250, 500 g a 1 kg</w:t>
      </w:r>
      <w:r w:rsidRPr="00657A8A">
        <w:rPr>
          <w:rFonts w:ascii="Times New Roman" w:hAnsi="Times New Roman"/>
          <w:b/>
          <w:sz w:val="22"/>
          <w:szCs w:val="22"/>
          <w:lang w:val="en-US" w:eastAsia="sv-SE"/>
        </w:rPr>
        <w:t>}</w:t>
      </w:r>
    </w:p>
    <w:p w:rsidR="00657A8A" w:rsidRPr="00657A8A" w:rsidRDefault="00657A8A" w:rsidP="00657A8A">
      <w:pPr>
        <w:rPr>
          <w:rFonts w:ascii="Times New Roman" w:hAnsi="Times New Roman"/>
          <w:b/>
          <w:sz w:val="22"/>
          <w:szCs w:val="22"/>
          <w:lang w:val="en-US"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olor w:val="000000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color w:val="000000"/>
          <w:sz w:val="22"/>
          <w:szCs w:val="22"/>
          <w:lang w:eastAsia="sv-SE"/>
        </w:rPr>
        <w:t>1.</w:t>
      </w:r>
      <w:r w:rsidRPr="00657A8A">
        <w:rPr>
          <w:rFonts w:ascii="Times New Roman" w:hAnsi="Times New Roman"/>
          <w:b/>
          <w:color w:val="000000"/>
          <w:sz w:val="22"/>
          <w:szCs w:val="22"/>
          <w:lang w:eastAsia="sv-SE"/>
        </w:rPr>
        <w:tab/>
        <w:t>Názov a adresa držiteľa rozhodnutia o registrácii a držiteľa povolenia na výrobu zodpovedného za uvoľnenie šarže, ak nie sú identickí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b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Držiteľ rozhodnutia o registrácii a výrobca</w:t>
      </w:r>
      <w:r w:rsidRPr="00657A8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57A8A">
        <w:rPr>
          <w:rFonts w:ascii="Times New Roman" w:hAnsi="Times New Roman"/>
          <w:bCs/>
          <w:sz w:val="22"/>
          <w:szCs w:val="22"/>
        </w:rPr>
        <w:t>zodpovedný za uvoľnenie šarže: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Eurovet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Animal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Health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BV, </w:t>
      </w:r>
      <w:proofErr w:type="spellStart"/>
      <w:r w:rsidRPr="00657A8A">
        <w:rPr>
          <w:rFonts w:ascii="Times New Roman" w:hAnsi="Times New Roman"/>
          <w:sz w:val="22"/>
          <w:szCs w:val="22"/>
        </w:rPr>
        <w:t>Handelsweg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25, 5531 AE </w:t>
      </w:r>
      <w:proofErr w:type="spellStart"/>
      <w:r w:rsidRPr="00657A8A">
        <w:rPr>
          <w:rFonts w:ascii="Times New Roman" w:hAnsi="Times New Roman"/>
          <w:sz w:val="22"/>
          <w:szCs w:val="22"/>
        </w:rPr>
        <w:t>Bladel</w:t>
      </w:r>
      <w:proofErr w:type="spellEnd"/>
      <w:r w:rsidRPr="00657A8A">
        <w:rPr>
          <w:rFonts w:ascii="Times New Roman" w:hAnsi="Times New Roman"/>
          <w:sz w:val="22"/>
          <w:szCs w:val="22"/>
        </w:rPr>
        <w:t>, Holandsko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2.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Názov veterinárneho lieku</w:t>
      </w:r>
    </w:p>
    <w:p w:rsidR="00657A8A" w:rsidRPr="00657A8A" w:rsidRDefault="00657A8A" w:rsidP="00657A8A">
      <w:pPr>
        <w:keepNext/>
        <w:keepLines/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2"/>
          <w:szCs w:val="22"/>
          <w:u w:val="single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/>
          <w:sz w:val="22"/>
          <w:szCs w:val="22"/>
        </w:rPr>
        <w:t xml:space="preserve">SOLAMOCTA </w:t>
      </w:r>
      <w:r w:rsidRPr="00657A8A">
        <w:rPr>
          <w:rFonts w:ascii="Times New Roman" w:hAnsi="Times New Roman"/>
          <w:sz w:val="22"/>
          <w:szCs w:val="22"/>
        </w:rPr>
        <w:t>697 mg/g prášok na podanie v pitnej vode pre kuru domácu, kačice a morky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(vo forme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>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sz w:val="22"/>
          <w:szCs w:val="22"/>
          <w:lang w:eastAsia="sv-SE"/>
        </w:rPr>
        <w:t>3.</w:t>
      </w:r>
      <w:r w:rsidRPr="00657A8A">
        <w:rPr>
          <w:rFonts w:ascii="Times New Roman" w:hAnsi="Times New Roman"/>
          <w:b/>
          <w:sz w:val="22"/>
          <w:szCs w:val="22"/>
          <w:lang w:eastAsia="sv-SE"/>
        </w:rPr>
        <w:tab/>
        <w:t>Obsah účinnej látky (-</w:t>
      </w:r>
      <w:proofErr w:type="spellStart"/>
      <w:r w:rsidRPr="00657A8A">
        <w:rPr>
          <w:rFonts w:ascii="Times New Roman" w:hAnsi="Times New Roman"/>
          <w:b/>
          <w:sz w:val="22"/>
          <w:szCs w:val="22"/>
          <w:lang w:eastAsia="sv-SE"/>
        </w:rPr>
        <w:t>ok</w:t>
      </w:r>
      <w:proofErr w:type="spellEnd"/>
      <w:r w:rsidRPr="00657A8A">
        <w:rPr>
          <w:rFonts w:ascii="Times New Roman" w:hAnsi="Times New Roman"/>
          <w:b/>
          <w:sz w:val="22"/>
          <w:szCs w:val="22"/>
          <w:lang w:eastAsia="sv-SE"/>
        </w:rPr>
        <w:t>) a inej látky (-</w:t>
      </w:r>
      <w:proofErr w:type="spellStart"/>
      <w:r w:rsidRPr="00657A8A">
        <w:rPr>
          <w:rFonts w:ascii="Times New Roman" w:hAnsi="Times New Roman"/>
          <w:b/>
          <w:sz w:val="22"/>
          <w:szCs w:val="22"/>
          <w:lang w:eastAsia="sv-SE"/>
        </w:rPr>
        <w:t>ok</w:t>
      </w:r>
      <w:proofErr w:type="spellEnd"/>
      <w:r w:rsidRPr="00657A8A">
        <w:rPr>
          <w:rFonts w:ascii="Times New Roman" w:hAnsi="Times New Roman"/>
          <w:b/>
          <w:sz w:val="22"/>
          <w:szCs w:val="22"/>
          <w:lang w:eastAsia="sv-SE"/>
        </w:rPr>
        <w:t>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u w:val="singl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Jeden gram obsahuje:</w:t>
      </w:r>
      <w:r w:rsidRPr="00657A8A">
        <w:rPr>
          <w:rFonts w:ascii="Times New Roman" w:hAnsi="Times New Roman"/>
          <w:sz w:val="22"/>
          <w:szCs w:val="22"/>
        </w:rPr>
        <w:t xml:space="preserve">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Účinná látka: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amoxicillinum</w:t>
      </w:r>
      <w:proofErr w:type="spellEnd"/>
      <w:r w:rsidRPr="00657A8A">
        <w:rPr>
          <w:rFonts w:ascii="Times New Roman" w:hAnsi="Times New Roman"/>
          <w:sz w:val="22"/>
          <w:szCs w:val="22"/>
        </w:rPr>
        <w:t> </w:t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</w:r>
      <w:r w:rsidRPr="00657A8A">
        <w:rPr>
          <w:rFonts w:ascii="Times New Roman" w:hAnsi="Times New Roman"/>
          <w:sz w:val="22"/>
          <w:szCs w:val="22"/>
        </w:rPr>
        <w:tab/>
        <w:t xml:space="preserve">697 mg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zodpovedá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7A8A">
        <w:rPr>
          <w:rFonts w:ascii="Times New Roman" w:hAnsi="Times New Roman"/>
          <w:sz w:val="22"/>
          <w:szCs w:val="22"/>
        </w:rPr>
        <w:t>trihydrátu</w:t>
      </w:r>
      <w:proofErr w:type="spellEnd"/>
      <w:r w:rsidRPr="00657A8A">
        <w:rPr>
          <w:rFonts w:ascii="Times New Roman" w:hAnsi="Times New Roman"/>
          <w:sz w:val="22"/>
          <w:szCs w:val="22"/>
        </w:rPr>
        <w:tab/>
        <w:t>800 mg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4.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Lieková forma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highlight w:val="lightGray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highlight w:val="lightGray"/>
        </w:rPr>
        <w:t xml:space="preserve">Prášok na podanie v pitnej vode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Biely až svetlo žlto-biely prášok.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pl-PL"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>5.</w:t>
      </w: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ab/>
        <w:t>Veľkosť balenia</w:t>
      </w:r>
    </w:p>
    <w:p w:rsidR="00B11190" w:rsidRDefault="00B11190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100, </w:t>
      </w:r>
      <w:r w:rsidRPr="00657A8A">
        <w:rPr>
          <w:rFonts w:ascii="Times New Roman" w:hAnsi="Times New Roman"/>
          <w:sz w:val="22"/>
          <w:szCs w:val="22"/>
          <w:highlight w:val="lightGray"/>
        </w:rPr>
        <w:t>250, 500 g a 1 kg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val="pl-PL" w:eastAsia="sv-SE"/>
        </w:rPr>
      </w:pPr>
    </w:p>
    <w:p w:rsidR="00657A8A" w:rsidRDefault="00657A8A" w:rsidP="00657A8A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pl-PL"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val="pl-PL" w:eastAsia="sv-SE"/>
        </w:rPr>
        <w:t>6.</w:t>
      </w: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 xml:space="preserve"> </w:t>
      </w: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ab/>
        <w:t xml:space="preserve">Indikácia </w:t>
      </w:r>
    </w:p>
    <w:p w:rsidR="00B11190" w:rsidRPr="00657A8A" w:rsidRDefault="00B11190" w:rsidP="00657A8A">
      <w:pPr>
        <w:tabs>
          <w:tab w:val="left" w:pos="567"/>
        </w:tabs>
        <w:rPr>
          <w:rFonts w:ascii="Times New Roman" w:hAnsi="Times New Roman"/>
          <w:sz w:val="22"/>
          <w:szCs w:val="22"/>
          <w:lang w:val="pl-PL"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val="pl-PL"/>
        </w:rPr>
      </w:pPr>
      <w:r w:rsidRPr="00657A8A">
        <w:rPr>
          <w:rFonts w:ascii="Times New Roman" w:hAnsi="Times New Roman"/>
          <w:sz w:val="22"/>
          <w:szCs w:val="22"/>
          <w:lang w:val="pl-PL"/>
        </w:rPr>
        <w:t>Liečba infekcií u kury domácej, moriek a kačíc spôsobených baktériami citlivými na amoxicilín.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val="pl-PL" w:eastAsia="sv-SE"/>
        </w:rPr>
      </w:pPr>
    </w:p>
    <w:p w:rsidR="00657A8A" w:rsidRPr="00657A8A" w:rsidRDefault="00657A8A" w:rsidP="00657A8A">
      <w:pPr>
        <w:tabs>
          <w:tab w:val="left" w:pos="567"/>
        </w:tabs>
        <w:rPr>
          <w:rFonts w:ascii="Times New Roman" w:hAnsi="Times New Roman"/>
          <w:sz w:val="22"/>
          <w:szCs w:val="22"/>
          <w:lang w:val="pl-PL"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val="pl-PL" w:eastAsia="sv-SE"/>
        </w:rPr>
        <w:t>7.</w:t>
      </w: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 xml:space="preserve"> </w:t>
      </w: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ab/>
        <w:t>Kontraindikácie</w:t>
      </w:r>
    </w:p>
    <w:p w:rsidR="00B11190" w:rsidRDefault="00B11190" w:rsidP="00657A8A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v prítomnosti baktérií produkujúcich ß-</w:t>
      </w:r>
      <w:proofErr w:type="spellStart"/>
      <w:r w:rsidRPr="00657A8A">
        <w:rPr>
          <w:rFonts w:ascii="Times New Roman" w:hAnsi="Times New Roman"/>
          <w:sz w:val="22"/>
          <w:szCs w:val="22"/>
        </w:rPr>
        <w:t>laktamázu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Nepoužívať u zajacov, morčiat, škrečkov, </w:t>
      </w:r>
      <w:proofErr w:type="spellStart"/>
      <w:r w:rsidRPr="00657A8A">
        <w:rPr>
          <w:rFonts w:ascii="Times New Roman" w:hAnsi="Times New Roman"/>
          <w:sz w:val="22"/>
          <w:szCs w:val="22"/>
        </w:rPr>
        <w:t>pieskomilov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alebo iných drobných bylinožravcov.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Nepoužívať v prípadoch precitlivenosti na penicilíny alebo iné </w:t>
      </w:r>
      <w:proofErr w:type="spellStart"/>
      <w:r w:rsidRPr="00657A8A">
        <w:rPr>
          <w:rFonts w:ascii="Times New Roman" w:hAnsi="Times New Roman"/>
          <w:sz w:val="22"/>
          <w:szCs w:val="22"/>
        </w:rPr>
        <w:t>betalaktámové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antibiotiká alebo na niektorú pomocnú látku.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  <w:r w:rsidRPr="00657A8A">
        <w:rPr>
          <w:rFonts w:ascii="Times New Roman" w:hAnsi="Times New Roman"/>
          <w:sz w:val="22"/>
          <w:szCs w:val="22"/>
          <w:lang w:eastAsia="sv-SE"/>
        </w:rPr>
        <w:t>Nepoužívať u prežúvavcov alebo koní.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tabs>
          <w:tab w:val="left" w:pos="567"/>
        </w:tabs>
        <w:autoSpaceDE w:val="0"/>
        <w:autoSpaceDN w:val="0"/>
        <w:adjustRightInd w:val="0"/>
        <w:ind w:left="930" w:hanging="930"/>
        <w:rPr>
          <w:rFonts w:ascii="Times New Roman" w:hAnsi="Times New Roman"/>
          <w:color w:val="000000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color w:val="000000"/>
          <w:sz w:val="22"/>
          <w:szCs w:val="22"/>
          <w:highlight w:val="lightGray"/>
          <w:lang w:eastAsia="sv-SE"/>
        </w:rPr>
        <w:t>8.</w:t>
      </w:r>
      <w:r w:rsidRPr="00657A8A">
        <w:rPr>
          <w:rFonts w:ascii="Times New Roman" w:hAnsi="Times New Roman"/>
          <w:b/>
          <w:bCs/>
          <w:color w:val="000000"/>
          <w:sz w:val="22"/>
          <w:szCs w:val="22"/>
          <w:lang w:eastAsia="sv-SE"/>
        </w:rPr>
        <w:t xml:space="preserve"> </w:t>
      </w:r>
      <w:r w:rsidRPr="00657A8A">
        <w:rPr>
          <w:rFonts w:ascii="Times New Roman" w:hAnsi="Times New Roman"/>
          <w:b/>
          <w:bCs/>
          <w:color w:val="000000"/>
          <w:sz w:val="22"/>
          <w:szCs w:val="22"/>
          <w:lang w:eastAsia="sv-SE"/>
        </w:rPr>
        <w:tab/>
        <w:t xml:space="preserve">Nežiaduce účinky </w:t>
      </w:r>
    </w:p>
    <w:p w:rsidR="00B11190" w:rsidRDefault="00B11190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vyvolať </w:t>
      </w:r>
      <w:proofErr w:type="spellStart"/>
      <w:r w:rsidRPr="00657A8A">
        <w:rPr>
          <w:rFonts w:ascii="Times New Roman" w:hAnsi="Times New Roman"/>
          <w:sz w:val="22"/>
          <w:szCs w:val="22"/>
        </w:rPr>
        <w:t>hypersenzitívne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reakcie, ktoré môžu byť v niektorých prípadoch závažné.</w:t>
      </w:r>
    </w:p>
    <w:p w:rsidR="00657A8A" w:rsidRPr="00657A8A" w:rsidRDefault="00657A8A" w:rsidP="00657A8A">
      <w:pPr>
        <w:rPr>
          <w:rFonts w:ascii="Times New Roman" w:hAnsi="Times New Roman"/>
          <w:bCs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657A8A" w:rsidRPr="00657A8A" w:rsidRDefault="00657A8A" w:rsidP="00657A8A">
      <w:pPr>
        <w:rPr>
          <w:rFonts w:ascii="Times New Roman" w:hAnsi="Times New Roman"/>
          <w:bCs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iCs/>
          <w:sz w:val="22"/>
          <w:szCs w:val="22"/>
          <w:lang w:eastAsia="sv-SE"/>
        </w:rPr>
      </w:pPr>
      <w:proofErr w:type="spellStart"/>
      <w:r w:rsidRPr="00657A8A">
        <w:rPr>
          <w:rFonts w:ascii="Times New Roman" w:hAnsi="Times New Roman"/>
          <w:iCs/>
          <w:sz w:val="22"/>
          <w:szCs w:val="22"/>
          <w:highlight w:val="lightGray"/>
          <w:lang w:eastAsia="sv-SE"/>
        </w:rPr>
        <w:lastRenderedPageBreak/>
        <w:t>Prjpadne</w:t>
      </w:r>
      <w:proofErr w:type="spellEnd"/>
      <w:r w:rsidRPr="00657A8A">
        <w:rPr>
          <w:rFonts w:ascii="Times New Roman" w:hAnsi="Times New Roman"/>
          <w:iCs/>
          <w:sz w:val="22"/>
          <w:szCs w:val="22"/>
          <w:highlight w:val="lightGray"/>
          <w:lang w:eastAsia="sv-SE"/>
        </w:rPr>
        <w:t xml:space="preserve"> nežiaduce účinky môžete nahlásiť národnej kompetentnej autorite {www.uskvbl.sk}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9.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Cieľové druhy</w:t>
      </w:r>
    </w:p>
    <w:p w:rsidR="00B11190" w:rsidRDefault="00B11190" w:rsidP="00657A8A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Kura domáca (brojlery, mladé sliepky, chovné sliepky), kačice (brojlery, chovné kačice), morky</w:t>
      </w:r>
    </w:p>
    <w:p w:rsidR="00657A8A" w:rsidRPr="00657A8A" w:rsidRDefault="00657A8A" w:rsidP="00657A8A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eastAsia="sv-SE"/>
        </w:rPr>
        <w:t>10.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 xml:space="preserve"> 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</w:r>
      <w:r w:rsidRPr="00657A8A">
        <w:rPr>
          <w:rFonts w:ascii="Times New Roman" w:hAnsi="Times New Roman"/>
          <w:b/>
          <w:bCs/>
          <w:sz w:val="22"/>
          <w:szCs w:val="22"/>
        </w:rPr>
        <w:t>Dávkovanie pre každý druh, cesta a spôsob podania lieku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 xml:space="preserve"> </w:t>
      </w:r>
    </w:p>
    <w:p w:rsidR="00B11190" w:rsidRDefault="00B11190" w:rsidP="00657A8A">
      <w:pPr>
        <w:spacing w:after="140" w:line="280" w:lineRule="atLeast"/>
        <w:rPr>
          <w:rFonts w:ascii="Times New Roman" w:eastAsia="Verdana" w:hAnsi="Times New Roman"/>
          <w:color w:val="000000"/>
          <w:sz w:val="22"/>
          <w:szCs w:val="22"/>
        </w:rPr>
      </w:pPr>
    </w:p>
    <w:p w:rsidR="00657A8A" w:rsidRPr="00657A8A" w:rsidRDefault="00657A8A" w:rsidP="00657A8A">
      <w:pPr>
        <w:spacing w:after="140" w:line="280" w:lineRule="atLeast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Podanie v pitnej vode. </w:t>
      </w:r>
    </w:p>
    <w:p w:rsidR="00657A8A" w:rsidRPr="00657A8A" w:rsidRDefault="00657A8A" w:rsidP="00657A8A">
      <w:pPr>
        <w:spacing w:after="140" w:line="280" w:lineRule="atLeast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  <w:u w:val="single"/>
        </w:rPr>
        <w:t>Kura domáca</w:t>
      </w:r>
      <w:r w:rsidRPr="00657A8A">
        <w:rPr>
          <w:rFonts w:ascii="Times New Roman" w:eastAsia="Verdana" w:hAnsi="Times New Roman"/>
          <w:color w:val="000000"/>
          <w:sz w:val="22"/>
          <w:szCs w:val="22"/>
          <w:u w:val="single"/>
        </w:rPr>
        <w:br/>
      </w: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Odporúčaná dávka je 13,1 mg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(zodpovedajúca 18,8 mg veterinárneho lieku) na kg živej hmotnosti denne počas 3 po sebe nasledujúcich dní, alebo u ťažkých prípadov počas 5 po sebe nasledujúcich dní.</w:t>
      </w:r>
    </w:p>
    <w:p w:rsidR="00657A8A" w:rsidRPr="00657A8A" w:rsidRDefault="00657A8A" w:rsidP="003E4568">
      <w:pPr>
        <w:spacing w:after="140" w:line="280" w:lineRule="atLeast"/>
        <w:jc w:val="both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  <w:u w:val="single"/>
        </w:rPr>
        <w:t>Kačice</w:t>
      </w:r>
      <w:r w:rsidRPr="00657A8A">
        <w:rPr>
          <w:rFonts w:ascii="Times New Roman" w:eastAsia="Verdana" w:hAnsi="Times New Roman"/>
          <w:color w:val="000000"/>
          <w:sz w:val="22"/>
          <w:szCs w:val="22"/>
          <w:u w:val="single"/>
        </w:rPr>
        <w:br/>
      </w: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Odporúčaná dávka je 17,4 mg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(zodpovedajúca 25 mg veterinárneho lieku) na kg živej hmotnosti denne počas 3 po sebe nasledujúcich dní.</w:t>
      </w:r>
    </w:p>
    <w:p w:rsidR="00657A8A" w:rsidRPr="00657A8A" w:rsidRDefault="00657A8A" w:rsidP="003E4568">
      <w:pPr>
        <w:spacing w:after="140" w:line="280" w:lineRule="atLeast"/>
        <w:jc w:val="both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Odporúčaná dávka je 13,1–17,4 mg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(zodpovedajúca 18,8 až 25 mg veterinárneho lieku) na kg živej hmotnosti denne počas 3 po sebe nasledujúcich dní alebo u ťažkých prípadov počas 5 po sebe nasledujúcich dní.</w:t>
      </w:r>
    </w:p>
    <w:p w:rsidR="00657A8A" w:rsidRPr="00657A8A" w:rsidRDefault="00657A8A" w:rsidP="003E4568">
      <w:pPr>
        <w:spacing w:after="140" w:line="280" w:lineRule="atLeast"/>
        <w:jc w:val="both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Roztok pripravte s čerstvou vodou z vodovodu bezprostredne pred použitím. Všetku nepoužitú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medikovanú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vodu zlikvidujte po 12 hodinách. Pre zabezpečenie konzumácie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medikovanej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vody je nutné, aby zvieratá nemali počas liečby žiaden prístup k iným vodným zdrojom. Pre výpočet požadovanej koncentrácie produktu (v miligramoch produktu na liter pitnej vody) sa môže použiť nasledujúci vzorec: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47"/>
        <w:gridCol w:w="554"/>
        <w:gridCol w:w="2716"/>
        <w:gridCol w:w="2837"/>
      </w:tblGrid>
      <w:tr w:rsidR="00657A8A" w:rsidRPr="00657A8A" w:rsidTr="00245D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___</w:t>
            </w:r>
            <w:r w:rsidRPr="00657A8A">
              <w:rPr>
                <w:rFonts w:ascii="Times New Roman" w:hAnsi="Times New Roman"/>
                <w:color w:val="000000"/>
                <w:sz w:val="22"/>
                <w:szCs w:val="22"/>
              </w:rPr>
              <w:t> mg produktu na kg živej hmotnosti denne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hAnsi="Times New Roman"/>
                <w:color w:val="000000"/>
                <w:sz w:val="22"/>
                <w:szCs w:val="22"/>
              </w:rPr>
              <w:t>priemerná živá hmotnosť zvierat (v kg), ktoré majú byť ošetrené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= </w:t>
            </w:r>
            <w:r w:rsidRPr="00657A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___</w:t>
            </w:r>
            <w:r w:rsidRPr="00657A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mg výrobku na liter pitnej vody</w:t>
            </w:r>
          </w:p>
        </w:tc>
      </w:tr>
      <w:tr w:rsidR="00657A8A" w:rsidRPr="00657A8A" w:rsidTr="00245D41"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57A8A">
              <w:rPr>
                <w:rFonts w:ascii="Times New Roman" w:hAnsi="Times New Roman"/>
                <w:color w:val="000000"/>
                <w:sz w:val="22"/>
                <w:szCs w:val="22"/>
              </w:rPr>
              <w:t>priemerná denná spotreba vody (v litroch) na jedno zviera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8A" w:rsidRPr="00657A8A" w:rsidRDefault="00657A8A" w:rsidP="00245D41">
            <w:pPr>
              <w:tabs>
                <w:tab w:val="left" w:pos="540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</w:tbl>
    <w:p w:rsidR="00657A8A" w:rsidRPr="00657A8A" w:rsidRDefault="00657A8A" w:rsidP="003E4568">
      <w:pPr>
        <w:tabs>
          <w:tab w:val="left" w:pos="567"/>
        </w:tabs>
        <w:spacing w:before="120" w:after="140" w:line="280" w:lineRule="atLeast"/>
        <w:jc w:val="both"/>
        <w:rPr>
          <w:rFonts w:ascii="Times New Roman" w:eastAsia="Verdana" w:hAnsi="Times New Roman"/>
          <w:color w:val="000000"/>
          <w:sz w:val="22"/>
          <w:szCs w:val="22"/>
        </w:rPr>
      </w:pPr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Pre zabezpečenie správneho dávkovania by sa živá hmotnosť mala stanoviť čo najpresnejšie, aby sa predišlo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poddávkovaniu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. Príjem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medikovanej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vody závisí od klinického stavu vtákov. Pre dosiahnutie správneho dávkovania sa musí primerane upraviť koncentrácia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amoxicilínu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vzhľadom na príjem vody. Po ukončení obdobia medikácie sa musí primerane vyčistiť celý vodovodný systém, aby sa predišlo príjmu </w:t>
      </w:r>
      <w:proofErr w:type="spellStart"/>
      <w:r w:rsidRPr="00657A8A">
        <w:rPr>
          <w:rFonts w:ascii="Times New Roman" w:eastAsia="Verdana" w:hAnsi="Times New Roman"/>
          <w:color w:val="000000"/>
          <w:sz w:val="22"/>
          <w:szCs w:val="22"/>
        </w:rPr>
        <w:t>subterapeutických</w:t>
      </w:r>
      <w:proofErr w:type="spellEnd"/>
      <w:r w:rsidRPr="00657A8A">
        <w:rPr>
          <w:rFonts w:ascii="Times New Roman" w:eastAsia="Verdana" w:hAnsi="Times New Roman"/>
          <w:color w:val="000000"/>
          <w:sz w:val="22"/>
          <w:szCs w:val="22"/>
        </w:rPr>
        <w:t xml:space="preserve"> množstiev účinnej látky. Maximálna rozpustnosť produktu vo vode je pri teplote 10 °C približne 6 g/l v priebehu 10 minút. Pri nižších teplotách (4 °C) je maximálna rozpustnosť približne 5 g/l v priebehu 10 minút.</w:t>
      </w:r>
    </w:p>
    <w:p w:rsidR="00657A8A" w:rsidRPr="00B11190" w:rsidRDefault="00657A8A" w:rsidP="00657A8A">
      <w:pPr>
        <w:tabs>
          <w:tab w:val="left" w:pos="567"/>
        </w:tabs>
        <w:spacing w:after="140" w:line="280" w:lineRule="atLeast"/>
        <w:rPr>
          <w:rFonts w:ascii="Times New Roman" w:eastAsia="Verdana" w:hAnsi="Times New Roman"/>
          <w:color w:val="000000"/>
          <w:sz w:val="22"/>
          <w:szCs w:val="22"/>
        </w:rPr>
      </w:pPr>
      <w:r w:rsidRPr="00B11190">
        <w:rPr>
          <w:rFonts w:ascii="Times New Roman" w:eastAsia="Verdana" w:hAnsi="Times New Roman"/>
          <w:color w:val="000000"/>
          <w:sz w:val="22"/>
          <w:szCs w:val="22"/>
        </w:rPr>
        <w:t>Vypočítaná dávka by sa mala odmerať pomocou kalibrovaných stupníc.</w:t>
      </w:r>
      <w:r w:rsidRPr="00B11190">
        <w:rPr>
          <w:rFonts w:ascii="Times New Roman" w:eastAsia="Verdana" w:hAnsi="Times New Roman"/>
          <w:color w:val="000000"/>
          <w:sz w:val="22"/>
          <w:szCs w:val="22"/>
        </w:rPr>
        <w:br/>
        <w:t>V prípade zásobných roztokov a pri použití dávkovača dávajte pozor, aby ste neprekročili maximálnu rozpustnosť, ktorú je možné dosiahnuť za daných podmienok. Upravte nastavenie prietoku dávkovacej pumpy podľa koncentrácie zásobného roztoku a príjmu vody ošetrovaných zvierat.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eastAsia="sv-SE"/>
        </w:rPr>
        <w:t>11.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 xml:space="preserve"> 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Pokyn o správnom podaní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Pozri časť 8. 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val="es-ES"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val="es-ES" w:eastAsia="sv-SE"/>
        </w:rPr>
        <w:t xml:space="preserve">12. </w:t>
      </w:r>
      <w:r w:rsidRPr="00657A8A">
        <w:rPr>
          <w:rFonts w:ascii="Times New Roman" w:hAnsi="Times New Roman"/>
          <w:b/>
          <w:bCs/>
          <w:sz w:val="22"/>
          <w:szCs w:val="22"/>
          <w:lang w:val="es-ES" w:eastAsia="sv-SE"/>
        </w:rPr>
        <w:tab/>
        <w:t>Ochranná lehota (-y)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val="es-ES" w:eastAsia="sv-SE"/>
        </w:rPr>
      </w:pP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lastRenderedPageBreak/>
        <w:t>Kura domáca (mäso a vnútornosti):</w:t>
      </w:r>
      <w:r w:rsidRPr="00657A8A">
        <w:rPr>
          <w:rFonts w:ascii="Times New Roman" w:hAnsi="Times New Roman"/>
          <w:sz w:val="22"/>
          <w:szCs w:val="22"/>
        </w:rPr>
        <w:tab/>
        <w:t>1 deň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Kačice (mäso a vnútornosti):</w:t>
      </w:r>
      <w:r w:rsidRPr="00657A8A">
        <w:rPr>
          <w:rFonts w:ascii="Times New Roman" w:hAnsi="Times New Roman"/>
          <w:sz w:val="22"/>
          <w:szCs w:val="22"/>
        </w:rPr>
        <w:tab/>
        <w:t>9 dní</w:t>
      </w:r>
    </w:p>
    <w:p w:rsidR="00657A8A" w:rsidRPr="00657A8A" w:rsidRDefault="00657A8A" w:rsidP="00657A8A">
      <w:pPr>
        <w:tabs>
          <w:tab w:val="right" w:pos="3969"/>
        </w:tabs>
        <w:rPr>
          <w:rFonts w:ascii="Times New Roman" w:hAnsi="Times New Roman"/>
          <w:iCs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Morky (mäso a vnútornosti):</w:t>
      </w:r>
      <w:r w:rsidRPr="00657A8A">
        <w:rPr>
          <w:rFonts w:ascii="Times New Roman" w:hAnsi="Times New Roman"/>
          <w:sz w:val="22"/>
          <w:szCs w:val="22"/>
        </w:rPr>
        <w:tab/>
        <w:t>5 dní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u vtákov, ktoré produkujú alebo sú určené na produkciu vajec na ľudskú spotrebu.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Nepoužívať počas 3 týždňov pred začiatkom znášky.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13.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Osobitné bezpečnostné opatrenia na uchovávanie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Tento veterinárny liek nevyžaduje žiadne zvláštne podmienky na uchovávanie.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Vrecko udržujte po prvom otvorení dôkladne uzavreté, aby ste obsah ochránili pred vlhkosťou.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Nepoužívajte veterinárny liek po dátume exspirácie, ktorý je uvedený na obale po „EXP". Dátum exspirácie sa vzťahuje na posledný deň v danom mesiaci.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val="pl-PL"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val="pl-PL" w:eastAsia="sv-SE"/>
        </w:rPr>
        <w:t>14.</w:t>
      </w:r>
      <w:r w:rsidRPr="00657A8A">
        <w:rPr>
          <w:rFonts w:ascii="Times New Roman" w:hAnsi="Times New Roman"/>
          <w:b/>
          <w:bCs/>
          <w:sz w:val="22"/>
          <w:szCs w:val="22"/>
          <w:lang w:val="pl-PL" w:eastAsia="sv-SE"/>
        </w:rPr>
        <w:tab/>
        <w:t>Osobitné upozornenia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val="pl-PL"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val="pl-PL"/>
        </w:rPr>
      </w:pPr>
      <w:r w:rsidRPr="00657A8A">
        <w:rPr>
          <w:rFonts w:ascii="Times New Roman" w:hAnsi="Times New Roman"/>
          <w:sz w:val="22"/>
          <w:szCs w:val="22"/>
          <w:u w:val="single"/>
          <w:lang w:val="pl-PL"/>
        </w:rPr>
        <w:t>Osobitné bezpečnostné opatrenia na používanie u zvierat:</w:t>
      </w:r>
    </w:p>
    <w:p w:rsidR="00657A8A" w:rsidRPr="00657A8A" w:rsidRDefault="00B11190" w:rsidP="00657A8A">
      <w:pPr>
        <w:tabs>
          <w:tab w:val="left" w:pos="567"/>
          <w:tab w:val="left" w:pos="720"/>
        </w:tabs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 používaní lieku zohľadniť</w:t>
      </w:r>
      <w:r w:rsidR="00657A8A" w:rsidRPr="00657A8A">
        <w:rPr>
          <w:rFonts w:ascii="Times New Roman" w:hAnsi="Times New Roman"/>
          <w:sz w:val="22"/>
          <w:szCs w:val="22"/>
        </w:rPr>
        <w:t xml:space="preserve"> národnú a miestnu </w:t>
      </w:r>
      <w:proofErr w:type="spellStart"/>
      <w:r w:rsidR="00657A8A" w:rsidRPr="00657A8A">
        <w:rPr>
          <w:rFonts w:ascii="Times New Roman" w:hAnsi="Times New Roman"/>
          <w:sz w:val="22"/>
          <w:szCs w:val="22"/>
        </w:rPr>
        <w:t>antimikrobiálnu</w:t>
      </w:r>
      <w:proofErr w:type="spellEnd"/>
      <w:r w:rsidR="00657A8A" w:rsidRPr="00657A8A">
        <w:rPr>
          <w:rFonts w:ascii="Times New Roman" w:hAnsi="Times New Roman"/>
          <w:sz w:val="22"/>
          <w:szCs w:val="22"/>
        </w:rPr>
        <w:t xml:space="preserve"> politiku. </w:t>
      </w:r>
    </w:p>
    <w:p w:rsidR="00657A8A" w:rsidRPr="00657A8A" w:rsidRDefault="00657A8A" w:rsidP="00657A8A">
      <w:pPr>
        <w:tabs>
          <w:tab w:val="left" w:pos="567"/>
          <w:tab w:val="left" w:pos="720"/>
        </w:tabs>
        <w:spacing w:line="260" w:lineRule="exact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Použitie lieku má byt’ založené na testovaní citlivosti baktérií izolovaných zo zvieraťa. Ak to nie je možné, liečba by mala vychádzať z miestnej (regionálnej, farmovej) epidemiologickej informácie o citlivosti cieľových baktérií. </w:t>
      </w:r>
    </w:p>
    <w:p w:rsidR="00657A8A" w:rsidRPr="00657A8A" w:rsidRDefault="00657A8A" w:rsidP="00657A8A">
      <w:pPr>
        <w:tabs>
          <w:tab w:val="left" w:pos="567"/>
          <w:tab w:val="left" w:pos="720"/>
        </w:tabs>
        <w:spacing w:line="260" w:lineRule="exact"/>
        <w:rPr>
          <w:rFonts w:ascii="Times New Roman" w:hAnsi="Times New Roman"/>
          <w:sz w:val="22"/>
          <w:szCs w:val="22"/>
        </w:rPr>
      </w:pPr>
    </w:p>
    <w:p w:rsidR="00657A8A" w:rsidRPr="00657A8A" w:rsidRDefault="00B11190" w:rsidP="00657A8A">
      <w:pPr>
        <w:tabs>
          <w:tab w:val="left" w:pos="567"/>
          <w:tab w:val="left" w:pos="720"/>
        </w:tabs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Použi</w:t>
      </w:r>
      <w:r w:rsidR="00657A8A" w:rsidRPr="00657A8A">
        <w:rPr>
          <w:rFonts w:ascii="Times New Roman" w:hAnsi="Times New Roman"/>
          <w:sz w:val="22"/>
          <w:szCs w:val="22"/>
        </w:rPr>
        <w:t xml:space="preserve">tie lieku v rozpore s pokynmi uvedenými v tejto písomnej informácii môže zvýšiť </w:t>
      </w:r>
      <w:proofErr w:type="spellStart"/>
      <w:r w:rsidR="00657A8A" w:rsidRPr="00657A8A">
        <w:rPr>
          <w:rFonts w:ascii="Times New Roman" w:hAnsi="Times New Roman"/>
          <w:sz w:val="22"/>
          <w:szCs w:val="22"/>
        </w:rPr>
        <w:t>prevalenciu</w:t>
      </w:r>
      <w:proofErr w:type="spellEnd"/>
      <w:r w:rsidR="00657A8A" w:rsidRPr="00657A8A">
        <w:rPr>
          <w:rFonts w:ascii="Times New Roman" w:hAnsi="Times New Roman"/>
          <w:sz w:val="22"/>
          <w:szCs w:val="22"/>
        </w:rPr>
        <w:t xml:space="preserve"> baktérii rezistentných na </w:t>
      </w:r>
      <w:proofErr w:type="spellStart"/>
      <w:r w:rsidR="00657A8A" w:rsidRPr="00657A8A">
        <w:rPr>
          <w:rFonts w:ascii="Times New Roman" w:hAnsi="Times New Roman"/>
          <w:sz w:val="22"/>
          <w:szCs w:val="22"/>
        </w:rPr>
        <w:t>amoxicilín</w:t>
      </w:r>
      <w:proofErr w:type="spellEnd"/>
      <w:r w:rsidR="00657A8A" w:rsidRPr="00657A8A">
        <w:rPr>
          <w:rFonts w:ascii="Times New Roman" w:hAnsi="Times New Roman"/>
          <w:sz w:val="22"/>
          <w:szCs w:val="22"/>
        </w:rPr>
        <w:t xml:space="preserve"> a môže znížiť účinnosť liečby.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u w:val="singl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Osobitné bezpečnostné opatrenia, ktoré má urobiť osoba podávajúca liek zvieratám:</w:t>
      </w:r>
    </w:p>
    <w:p w:rsidR="00657A8A" w:rsidRPr="00657A8A" w:rsidRDefault="00657A8A" w:rsidP="00B11190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Vyvarujte sa vdychovaniu prachu.</w:t>
      </w:r>
    </w:p>
    <w:p w:rsidR="00657A8A" w:rsidRPr="00657A8A" w:rsidRDefault="00657A8A" w:rsidP="00B11190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Použite buď jednorazovú ochrannú dýchaciu </w:t>
      </w:r>
      <w:proofErr w:type="spellStart"/>
      <w:r w:rsidRPr="00657A8A">
        <w:rPr>
          <w:rFonts w:ascii="Times New Roman" w:hAnsi="Times New Roman"/>
          <w:sz w:val="22"/>
          <w:szCs w:val="22"/>
        </w:rPr>
        <w:t>polomasku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zodpovedajúcu európskej norme EN149 alebo respirátor na opakované použitie podľa EN140 s filtrom podľa EN143.</w:t>
      </w:r>
    </w:p>
    <w:p w:rsidR="00657A8A" w:rsidRPr="00657A8A" w:rsidRDefault="00657A8A" w:rsidP="00B11190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B11190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Penicilíny 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môžu vyvolať </w:t>
      </w:r>
      <w:proofErr w:type="spellStart"/>
      <w:r w:rsidRPr="00657A8A">
        <w:rPr>
          <w:rFonts w:ascii="Times New Roman" w:hAnsi="Times New Roman"/>
          <w:sz w:val="22"/>
          <w:szCs w:val="22"/>
        </w:rPr>
        <w:t>hypersenzitívne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reakcie (alergia) po injekcii, inhalácii, požití alebo kontakte s pokožkou, ktoré môžu byť v niektorých prípadoch závažné. Precitlivenosť na penicilíny môže viesť ku krížovým reakciám na </w:t>
      </w:r>
      <w:proofErr w:type="spellStart"/>
      <w:r w:rsidRPr="00657A8A">
        <w:rPr>
          <w:rFonts w:ascii="Times New Roman" w:hAnsi="Times New Roman"/>
          <w:sz w:val="22"/>
          <w:szCs w:val="22"/>
        </w:rPr>
        <w:t>cefalosporíny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naopak. V prípade kontaktu s očami alebo kožou okamžite opláchnite vodou.</w:t>
      </w:r>
    </w:p>
    <w:p w:rsidR="00657A8A" w:rsidRPr="00657A8A" w:rsidRDefault="00657A8A" w:rsidP="00B11190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B11190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Nemanipulujte s týmto liekom, v prípade známej </w:t>
      </w:r>
      <w:proofErr w:type="spellStart"/>
      <w:r w:rsidRPr="00657A8A">
        <w:rPr>
          <w:rFonts w:ascii="Times New Roman" w:hAnsi="Times New Roman"/>
          <w:sz w:val="22"/>
          <w:szCs w:val="22"/>
        </w:rPr>
        <w:t>precitlivelosti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alebo ak vám bolo odporučené nepracovať s takýmito liekmi. Zaobchádzajte s týmto liekom čo najopatrnejšie, i dodržiavajte všetky odp</w:t>
      </w:r>
      <w:r w:rsidR="00B11190">
        <w:rPr>
          <w:rFonts w:ascii="Times New Roman" w:hAnsi="Times New Roman"/>
          <w:sz w:val="22"/>
          <w:szCs w:val="22"/>
        </w:rPr>
        <w:t>orúčané preventívne opatrenia ab</w:t>
      </w:r>
      <w:r w:rsidRPr="00657A8A">
        <w:rPr>
          <w:rFonts w:ascii="Times New Roman" w:hAnsi="Times New Roman"/>
          <w:sz w:val="22"/>
          <w:szCs w:val="22"/>
        </w:rPr>
        <w:t xml:space="preserve">y ste sa vyhli </w:t>
      </w:r>
      <w:proofErr w:type="spellStart"/>
      <w:r w:rsidRPr="00657A8A">
        <w:rPr>
          <w:rFonts w:ascii="Times New Roman" w:hAnsi="Times New Roman"/>
          <w:sz w:val="22"/>
          <w:szCs w:val="22"/>
        </w:rPr>
        <w:t>expozíci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. Ak sa po expozícii lieku objavia príznaky, ako je kožná vyrážka, vyhľadajte lekársku pomoc a ukážte lekárovi toto upozornenie. Opuchy tváre, pier alebo očí, alebo dýchacie ťažkosti sú závažnejšie príznaky a vyžadujú si okamžité lekárske ošetrenie. </w:t>
      </w:r>
    </w:p>
    <w:p w:rsidR="00657A8A" w:rsidRPr="00657A8A" w:rsidRDefault="00657A8A" w:rsidP="00B11190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 použití si umyte ruky.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u w:val="single"/>
          <w:lang w:eastAsia="sv-SE"/>
        </w:rPr>
      </w:pPr>
      <w:r w:rsidRPr="00657A8A">
        <w:rPr>
          <w:rFonts w:ascii="Times New Roman" w:hAnsi="Times New Roman"/>
          <w:color w:val="000000"/>
          <w:sz w:val="22"/>
          <w:szCs w:val="22"/>
          <w:u w:val="single"/>
          <w:lang w:val="nl-NL" w:eastAsia="sv-SE"/>
        </w:rPr>
        <w:t>Znáška</w:t>
      </w:r>
      <w:r w:rsidRPr="00657A8A">
        <w:rPr>
          <w:rFonts w:ascii="Times New Roman" w:hAnsi="Times New Roman"/>
          <w:color w:val="000000"/>
          <w:sz w:val="22"/>
          <w:szCs w:val="22"/>
          <w:u w:val="single"/>
          <w:lang w:eastAsia="sv-SE"/>
        </w:rPr>
        <w:t>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 xml:space="preserve">Laboratórne pokusy u potkanov neposkytli žiaden dôkaz </w:t>
      </w:r>
      <w:proofErr w:type="spellStart"/>
      <w:r w:rsidRPr="00657A8A">
        <w:rPr>
          <w:rFonts w:ascii="Times New Roman" w:hAnsi="Times New Roman"/>
          <w:sz w:val="22"/>
          <w:szCs w:val="22"/>
        </w:rPr>
        <w:t>teratogénneho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účinku v dôsledku podania </w:t>
      </w:r>
      <w:proofErr w:type="spellStart"/>
      <w:r w:rsidRPr="00657A8A">
        <w:rPr>
          <w:rFonts w:ascii="Times New Roman" w:hAnsi="Times New Roman"/>
          <w:sz w:val="22"/>
          <w:szCs w:val="22"/>
        </w:rPr>
        <w:t>amoxicilínu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.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Používajte len  na základe zhodnotenia pomeru prínosu a rizika zodpovedným veterinárnym lekárom.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>Liekové interakcie a iné formy vzájomného pôsobenia: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proofErr w:type="spellStart"/>
      <w:r w:rsidRPr="00657A8A">
        <w:rPr>
          <w:rFonts w:ascii="Times New Roman" w:hAnsi="Times New Roman"/>
          <w:sz w:val="22"/>
          <w:szCs w:val="22"/>
        </w:rPr>
        <w:t>Nepodávat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tento liek s antibiotikami, ktoré pôsobia </w:t>
      </w:r>
      <w:proofErr w:type="spellStart"/>
      <w:r w:rsidRPr="00657A8A">
        <w:rPr>
          <w:rFonts w:ascii="Times New Roman" w:hAnsi="Times New Roman"/>
          <w:sz w:val="22"/>
          <w:szCs w:val="22"/>
        </w:rPr>
        <w:t>bakteriostaticky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, ako sú tetracyklíny, </w:t>
      </w:r>
      <w:proofErr w:type="spellStart"/>
      <w:r w:rsidRPr="00657A8A">
        <w:rPr>
          <w:rFonts w:ascii="Times New Roman" w:hAnsi="Times New Roman"/>
          <w:sz w:val="22"/>
          <w:szCs w:val="22"/>
        </w:rPr>
        <w:t>makrolidy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 sulfónamidy. </w:t>
      </w:r>
      <w:proofErr w:type="spellStart"/>
      <w:r w:rsidRPr="00657A8A">
        <w:rPr>
          <w:rFonts w:ascii="Times New Roman" w:hAnsi="Times New Roman"/>
          <w:sz w:val="22"/>
          <w:szCs w:val="22"/>
        </w:rPr>
        <w:t>Synergizmus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sa vyskytuje s ß-</w:t>
      </w:r>
      <w:proofErr w:type="spellStart"/>
      <w:r w:rsidRPr="00657A8A">
        <w:rPr>
          <w:rFonts w:ascii="Times New Roman" w:hAnsi="Times New Roman"/>
          <w:sz w:val="22"/>
          <w:szCs w:val="22"/>
        </w:rPr>
        <w:t>laktámovými</w:t>
      </w:r>
      <w:proofErr w:type="spellEnd"/>
      <w:r w:rsidRPr="00657A8A">
        <w:rPr>
          <w:rFonts w:ascii="Times New Roman" w:hAnsi="Times New Roman"/>
          <w:sz w:val="22"/>
          <w:szCs w:val="22"/>
        </w:rPr>
        <w:t xml:space="preserve"> antibiotikami a </w:t>
      </w:r>
      <w:proofErr w:type="spellStart"/>
      <w:r w:rsidRPr="00657A8A">
        <w:rPr>
          <w:rFonts w:ascii="Times New Roman" w:hAnsi="Times New Roman"/>
          <w:sz w:val="22"/>
          <w:szCs w:val="22"/>
        </w:rPr>
        <w:t>aminoglykozidmi</w:t>
      </w:r>
      <w:proofErr w:type="spellEnd"/>
      <w:r w:rsidRPr="00657A8A">
        <w:rPr>
          <w:rFonts w:ascii="Times New Roman" w:hAnsi="Times New Roman"/>
          <w:sz w:val="22"/>
          <w:szCs w:val="22"/>
        </w:rPr>
        <w:t>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u w:val="single"/>
        </w:rPr>
        <w:t xml:space="preserve">Predávkovanie (príznaky, núdzové postupy, </w:t>
      </w:r>
      <w:proofErr w:type="spellStart"/>
      <w:r w:rsidRPr="00657A8A">
        <w:rPr>
          <w:rFonts w:ascii="Times New Roman" w:hAnsi="Times New Roman"/>
          <w:sz w:val="22"/>
          <w:szCs w:val="22"/>
          <w:u w:val="single"/>
        </w:rPr>
        <w:t>antidotá</w:t>
      </w:r>
      <w:proofErr w:type="spellEnd"/>
      <w:r w:rsidRPr="00657A8A">
        <w:rPr>
          <w:rFonts w:ascii="Times New Roman" w:hAnsi="Times New Roman"/>
          <w:sz w:val="22"/>
          <w:szCs w:val="22"/>
          <w:u w:val="single"/>
        </w:rPr>
        <w:t xml:space="preserve"> )</w:t>
      </w:r>
      <w:r w:rsidRPr="00657A8A">
        <w:rPr>
          <w:rFonts w:ascii="Times New Roman" w:hAnsi="Times New Roman"/>
          <w:sz w:val="22"/>
          <w:szCs w:val="22"/>
        </w:rPr>
        <w:t>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Nie sú známe.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bCs/>
          <w:sz w:val="22"/>
          <w:szCs w:val="22"/>
          <w:u w:val="single"/>
        </w:rPr>
        <w:t>Inkompatibility</w:t>
      </w:r>
      <w:r w:rsidRPr="00657A8A">
        <w:rPr>
          <w:rFonts w:ascii="Times New Roman" w:hAnsi="Times New Roman"/>
          <w:sz w:val="22"/>
          <w:szCs w:val="22"/>
          <w:u w:val="single"/>
        </w:rPr>
        <w:t>: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sz w:val="22"/>
          <w:szCs w:val="22"/>
        </w:rPr>
        <w:t>Z dôvodu chýbania štúdií kompatibility, sa tento veterinárny liek nesmie miešať s inými veterinárnymi liekmi.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b/>
          <w:bCs/>
          <w:sz w:val="22"/>
          <w:szCs w:val="22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eastAsia="sv-SE"/>
        </w:rPr>
        <w:t>15.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 xml:space="preserve"> 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</w:r>
      <w:r w:rsidRPr="00657A8A">
        <w:rPr>
          <w:rFonts w:ascii="Times New Roman" w:hAnsi="Times New Roman"/>
          <w:b/>
          <w:bCs/>
          <w:sz w:val="22"/>
          <w:szCs w:val="22"/>
        </w:rPr>
        <w:t>Osobitné bezpečnostné opatrenia na zneškodnenie nepoužitého lieku(-</w:t>
      </w:r>
      <w:proofErr w:type="spellStart"/>
      <w:r w:rsidRPr="00657A8A">
        <w:rPr>
          <w:rFonts w:ascii="Times New Roman" w:hAnsi="Times New Roman"/>
          <w:b/>
          <w:bCs/>
          <w:sz w:val="22"/>
          <w:szCs w:val="22"/>
        </w:rPr>
        <w:t>ov</w:t>
      </w:r>
      <w:proofErr w:type="spellEnd"/>
      <w:r w:rsidRPr="00657A8A">
        <w:rPr>
          <w:rFonts w:ascii="Times New Roman" w:hAnsi="Times New Roman"/>
          <w:b/>
          <w:bCs/>
          <w:sz w:val="22"/>
          <w:szCs w:val="22"/>
        </w:rPr>
        <w:t>) alebo odpadového materiálu, v prípade potreby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Každý nepoužitý veterinárny liek alebo odpadové materiály z tohto veterinárneho lieku musia byť zlikvidované v súlade s miestnymi požiadavkami.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eastAsia="sv-SE"/>
        </w:rPr>
        <w:t>16.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Dátum posledného schválenia textu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highlight w:val="lightGray"/>
          <w:lang w:eastAsia="sv-SE"/>
        </w:rPr>
        <w:t>17.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 xml:space="preserve"> 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Ďalšie informácie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100, 250, 500 g a 1 kg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Nie všetky veľkosti balenia musia byť uvedené na trh.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eastAsia="Calibri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highlight w:val="lightGray"/>
        </w:rPr>
        <w:t>Ak potrebujete akúkoľvek informáciu o tomto veterinárnom lieku, kontaktujte miestneho zástupcu držiteľa rozhodnutia o registrácii.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hAnsi="Times New Roman"/>
          <w:b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sz w:val="22"/>
          <w:szCs w:val="22"/>
          <w:lang w:eastAsia="sv-SE"/>
        </w:rPr>
        <w:t>18.</w:t>
      </w:r>
      <w:r w:rsidRPr="00657A8A">
        <w:rPr>
          <w:rFonts w:ascii="Times New Roman" w:hAnsi="Times New Roman"/>
          <w:b/>
          <w:sz w:val="22"/>
          <w:szCs w:val="22"/>
          <w:lang w:eastAsia="sv-SE"/>
        </w:rPr>
        <w:tab/>
      </w:r>
      <w:r w:rsidRPr="00657A8A">
        <w:rPr>
          <w:rFonts w:ascii="Times New Roman" w:hAnsi="Times New Roman"/>
          <w:b/>
          <w:bCs/>
          <w:sz w:val="22"/>
          <w:szCs w:val="22"/>
        </w:rPr>
        <w:t xml:space="preserve">Označenie „Len pre zvieratá“ a podmienky alebo obmedzenia týkajúce sa dodávky a použitia, ak sa uplatňujú 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Len pre zvieratá. Výdaj lieku je viazaný  na veterinárny predpis.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hAnsi="Times New Roman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sz w:val="22"/>
          <w:szCs w:val="22"/>
          <w:lang w:eastAsia="sv-SE"/>
        </w:rPr>
        <w:t>19.</w:t>
      </w:r>
      <w:r w:rsidRPr="00657A8A">
        <w:rPr>
          <w:rFonts w:ascii="Times New Roman" w:hAnsi="Times New Roman"/>
          <w:b/>
          <w:sz w:val="22"/>
          <w:szCs w:val="22"/>
          <w:lang w:eastAsia="sv-SE"/>
        </w:rPr>
        <w:tab/>
        <w:t>Označenie “Uchovávať mimo dohľadu a dosahu detí”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Uchovávať mimo dohľadu a dosahu detí.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rFonts w:ascii="Times New Roman" w:hAnsi="Times New Roman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20.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Dátum exspirácie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EXP (mesiac/rok)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Po otvorení použiť do: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prvom otvorení vnútorného obalu: 3 mesiace.</w:t>
      </w:r>
    </w:p>
    <w:p w:rsidR="00657A8A" w:rsidRPr="00B11190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Čas použiteľnosti po rozpustení alebo rekonštitúcii podľa návodu: 12 hodín.</w:t>
      </w:r>
    </w:p>
    <w:p w:rsidR="00657A8A" w:rsidRPr="00657A8A" w:rsidRDefault="00657A8A" w:rsidP="00657A8A">
      <w:pPr>
        <w:rPr>
          <w:rFonts w:ascii="Times New Roman" w:hAnsi="Times New Roman"/>
          <w:i/>
          <w:iCs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rFonts w:ascii="Times New Roman" w:hAnsi="Times New Roman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21.</w:t>
      </w: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ab/>
        <w:t>Registračné číslo (čísla)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ind w:left="567" w:hanging="567"/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</w:rPr>
        <w:t>96/035/DC/16-S</w:t>
      </w: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  <w:lang w:eastAsia="sv-SE"/>
        </w:rPr>
      </w:pPr>
    </w:p>
    <w:p w:rsidR="00657A8A" w:rsidRPr="00657A8A" w:rsidRDefault="00657A8A" w:rsidP="006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hAnsi="Times New Roman"/>
          <w:sz w:val="22"/>
          <w:szCs w:val="22"/>
          <w:lang w:eastAsia="sv-SE"/>
        </w:rPr>
      </w:pPr>
      <w:r w:rsidRPr="00657A8A">
        <w:rPr>
          <w:rFonts w:ascii="Times New Roman" w:hAnsi="Times New Roman"/>
          <w:b/>
          <w:bCs/>
          <w:sz w:val="22"/>
          <w:szCs w:val="22"/>
          <w:lang w:eastAsia="sv-SE"/>
        </w:rPr>
        <w:t>22. Číslo výrobnej šarže</w:t>
      </w:r>
    </w:p>
    <w:p w:rsidR="00657A8A" w:rsidRPr="00657A8A" w:rsidRDefault="00657A8A" w:rsidP="00657A8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v-SE"/>
        </w:rPr>
      </w:pPr>
    </w:p>
    <w:p w:rsidR="00657A8A" w:rsidRPr="00657A8A" w:rsidRDefault="00657A8A" w:rsidP="00657A8A">
      <w:pPr>
        <w:rPr>
          <w:rFonts w:ascii="Times New Roman" w:hAnsi="Times New Roman"/>
          <w:sz w:val="22"/>
          <w:szCs w:val="22"/>
        </w:rPr>
      </w:pPr>
      <w:r w:rsidRPr="00657A8A">
        <w:rPr>
          <w:rFonts w:ascii="Times New Roman" w:hAnsi="Times New Roman"/>
          <w:sz w:val="22"/>
          <w:szCs w:val="22"/>
          <w:lang w:eastAsia="sv-SE"/>
        </w:rPr>
        <w:t>Šarža{číslo}</w:t>
      </w:r>
    </w:p>
    <w:p w:rsidR="00B04EDC" w:rsidRDefault="00B04EDC"/>
    <w:sectPr w:rsidR="00B04E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CC" w:rsidRDefault="00E04DCC" w:rsidP="00657A8A">
      <w:r>
        <w:separator/>
      </w:r>
    </w:p>
  </w:endnote>
  <w:endnote w:type="continuationSeparator" w:id="0">
    <w:p w:rsidR="00E04DCC" w:rsidRDefault="00E04DCC" w:rsidP="0065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  <w:szCs w:val="22"/>
      </w:rPr>
      <w:id w:val="-2095004163"/>
      <w:docPartObj>
        <w:docPartGallery w:val="Page Numbers (Bottom of Page)"/>
        <w:docPartUnique/>
      </w:docPartObj>
    </w:sdtPr>
    <w:sdtContent>
      <w:p w:rsidR="00657A8A" w:rsidRPr="00657A8A" w:rsidRDefault="00657A8A">
        <w:pPr>
          <w:pStyle w:val="Pta"/>
          <w:jc w:val="right"/>
          <w:rPr>
            <w:rFonts w:ascii="Times New Roman" w:hAnsi="Times New Roman"/>
            <w:sz w:val="22"/>
            <w:szCs w:val="22"/>
          </w:rPr>
        </w:pPr>
        <w:r w:rsidRPr="00657A8A">
          <w:rPr>
            <w:rFonts w:ascii="Times New Roman" w:hAnsi="Times New Roman"/>
            <w:sz w:val="22"/>
            <w:szCs w:val="22"/>
          </w:rPr>
          <w:fldChar w:fldCharType="begin"/>
        </w:r>
        <w:r w:rsidRPr="00657A8A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657A8A">
          <w:rPr>
            <w:rFonts w:ascii="Times New Roman" w:hAnsi="Times New Roman"/>
            <w:sz w:val="22"/>
            <w:szCs w:val="22"/>
          </w:rPr>
          <w:fldChar w:fldCharType="separate"/>
        </w:r>
        <w:r w:rsidR="00AC2D67">
          <w:rPr>
            <w:rFonts w:ascii="Times New Roman" w:hAnsi="Times New Roman"/>
            <w:noProof/>
            <w:sz w:val="22"/>
            <w:szCs w:val="22"/>
          </w:rPr>
          <w:t>15</w:t>
        </w:r>
        <w:r w:rsidRPr="00657A8A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657A8A" w:rsidRDefault="00657A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CC" w:rsidRDefault="00E04DCC" w:rsidP="00657A8A">
      <w:r>
        <w:separator/>
      </w:r>
    </w:p>
  </w:footnote>
  <w:footnote w:type="continuationSeparator" w:id="0">
    <w:p w:rsidR="00E04DCC" w:rsidRDefault="00E04DCC" w:rsidP="0065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7BA"/>
    <w:multiLevelType w:val="multilevel"/>
    <w:tmpl w:val="114E58C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BA83FEC"/>
    <w:multiLevelType w:val="multilevel"/>
    <w:tmpl w:val="2556B95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F17592"/>
    <w:multiLevelType w:val="multilevel"/>
    <w:tmpl w:val="5032F9B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69065CF"/>
    <w:multiLevelType w:val="multilevel"/>
    <w:tmpl w:val="E6A4B1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1E364C1"/>
    <w:multiLevelType w:val="multilevel"/>
    <w:tmpl w:val="F72E69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2460933"/>
    <w:multiLevelType w:val="multilevel"/>
    <w:tmpl w:val="0C1CE7A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E633C39"/>
    <w:multiLevelType w:val="multilevel"/>
    <w:tmpl w:val="2A8CC252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4184299"/>
    <w:multiLevelType w:val="hybridMultilevel"/>
    <w:tmpl w:val="C13477BA"/>
    <w:lvl w:ilvl="0" w:tplc="6AD6F7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8A"/>
    <w:rsid w:val="003E4568"/>
    <w:rsid w:val="00531FAD"/>
    <w:rsid w:val="005459CF"/>
    <w:rsid w:val="00657A8A"/>
    <w:rsid w:val="00A756F6"/>
    <w:rsid w:val="00AC2D67"/>
    <w:rsid w:val="00B04EDC"/>
    <w:rsid w:val="00B11190"/>
    <w:rsid w:val="00BF12BA"/>
    <w:rsid w:val="00E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E74A"/>
  <w15:chartTrackingRefBased/>
  <w15:docId w15:val="{E0576E6D-CB5B-4E0B-8A0E-39D1FAE7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7A8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657A8A"/>
    <w:pPr>
      <w:widowControl/>
      <w:ind w:left="567" w:hanging="567"/>
    </w:pPr>
    <w:rPr>
      <w:rFonts w:ascii="Times New Roman" w:hAnsi="Times New Roman"/>
      <w:b/>
      <w:snapToGrid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657A8A"/>
    <w:rPr>
      <w:rFonts w:ascii="Times New Roman" w:eastAsia="Times New Roman" w:hAnsi="Times New Roman" w:cs="Times New Roman"/>
      <w:b/>
      <w:szCs w:val="20"/>
      <w:lang w:eastAsia="sk-SK" w:bidi="sk-SK"/>
    </w:rPr>
  </w:style>
  <w:style w:type="paragraph" w:styleId="Normlnywebov">
    <w:name w:val="Normal (Web)"/>
    <w:basedOn w:val="Normlny"/>
    <w:uiPriority w:val="99"/>
    <w:unhideWhenUsed/>
    <w:rsid w:val="00657A8A"/>
    <w:pPr>
      <w:adjustRightInd w:val="0"/>
      <w:spacing w:before="100" w:beforeAutospacing="1" w:after="100" w:afterAutospacing="1"/>
      <w:jc w:val="both"/>
      <w:textAlignment w:val="baseline"/>
    </w:pPr>
    <w:rPr>
      <w:rFonts w:ascii="Times New Roman" w:eastAsia="Calibri" w:hAnsi="Times New Roman"/>
      <w:snapToGrid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657A8A"/>
    <w:pPr>
      <w:widowControl/>
      <w:spacing w:after="140" w:line="280" w:lineRule="atLeast"/>
    </w:pPr>
    <w:rPr>
      <w:rFonts w:ascii="Verdana" w:eastAsia="Verdana" w:hAnsi="Verdana" w:cs="Verdana"/>
      <w:snapToGrid/>
      <w:sz w:val="18"/>
      <w:szCs w:val="18"/>
    </w:rPr>
  </w:style>
  <w:style w:type="character" w:customStyle="1" w:styleId="BodytextAgencyChar">
    <w:name w:val="Body text (Agency) Char"/>
    <w:link w:val="BodytextAgency"/>
    <w:rsid w:val="00657A8A"/>
    <w:rPr>
      <w:rFonts w:ascii="Verdana" w:eastAsia="Verdana" w:hAnsi="Verdana" w:cs="Verdana"/>
      <w:sz w:val="18"/>
      <w:szCs w:val="18"/>
      <w:lang w:eastAsia="sk-SK" w:bidi="sk-SK"/>
    </w:rPr>
  </w:style>
  <w:style w:type="paragraph" w:styleId="Zkladntext">
    <w:name w:val="Body Text"/>
    <w:basedOn w:val="Normlny"/>
    <w:link w:val="ZkladntextChar"/>
    <w:semiHidden/>
    <w:unhideWhenUsed/>
    <w:rsid w:val="00657A8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657A8A"/>
    <w:rPr>
      <w:rFonts w:ascii="Courier New" w:eastAsia="Times New Roman" w:hAnsi="Courier New" w:cs="Times New Roman"/>
      <w:snapToGrid w:val="0"/>
      <w:sz w:val="24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657A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A8A"/>
    <w:rPr>
      <w:rFonts w:ascii="Courier New" w:eastAsia="Times New Roman" w:hAnsi="Courier New" w:cs="Times New Roman"/>
      <w:snapToGrid w:val="0"/>
      <w:sz w:val="24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57A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A8A"/>
    <w:rPr>
      <w:rFonts w:ascii="Courier New" w:eastAsia="Times New Roman" w:hAnsi="Courier New" w:cs="Times New Roman"/>
      <w:snapToGrid w:val="0"/>
      <w:sz w:val="24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5</cp:revision>
  <dcterms:created xsi:type="dcterms:W3CDTF">2020-07-14T06:56:00Z</dcterms:created>
  <dcterms:modified xsi:type="dcterms:W3CDTF">2020-07-14T09:38:00Z</dcterms:modified>
</cp:coreProperties>
</file>