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1D84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43" w14:textId="77777777" w:rsidR="00C114FF" w:rsidRPr="001E1F22" w:rsidRDefault="0009029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014F8073" w14:textId="77777777" w:rsidR="000F7285" w:rsidRDefault="000F7285" w:rsidP="000F7285">
      <w:pPr>
        <w:pStyle w:val="Style1"/>
        <w:ind w:left="0" w:firstLine="0"/>
      </w:pPr>
    </w:p>
    <w:p w14:paraId="6461D844" w14:textId="51994DEE" w:rsidR="00C114FF" w:rsidRPr="001E1F22" w:rsidRDefault="00090299" w:rsidP="000F7285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6461D8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47" w14:textId="4DDA7800" w:rsidR="00C114FF" w:rsidRPr="001E1F22" w:rsidRDefault="00E17D8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17D8D">
        <w:t>P</w:t>
      </w:r>
      <w:r>
        <w:t>rasequine</w:t>
      </w:r>
      <w:proofErr w:type="spellEnd"/>
      <w:r w:rsidRPr="00E17D8D">
        <w:t xml:space="preserve"> 1 mg tablety pre kone</w:t>
      </w:r>
    </w:p>
    <w:p w14:paraId="6461D84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49" w14:textId="77777777" w:rsidR="00C114FF" w:rsidRPr="001E1F22" w:rsidRDefault="00090299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6461D8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AE200" w14:textId="0BE08F0F" w:rsidR="00E17D8D" w:rsidRPr="00E17D8D" w:rsidRDefault="00E17D8D" w:rsidP="00E17D8D">
      <w:pPr>
        <w:tabs>
          <w:tab w:val="clear" w:pos="567"/>
        </w:tabs>
        <w:spacing w:line="240" w:lineRule="auto"/>
        <w:rPr>
          <w:bCs/>
          <w:szCs w:val="22"/>
        </w:rPr>
      </w:pPr>
      <w:r w:rsidRPr="00E17D8D">
        <w:rPr>
          <w:bCs/>
          <w:szCs w:val="22"/>
        </w:rPr>
        <w:t>Každá tableta obsahu</w:t>
      </w:r>
      <w:r w:rsidR="00E042BF">
        <w:rPr>
          <w:bCs/>
          <w:szCs w:val="22"/>
        </w:rPr>
        <w:t>je</w:t>
      </w:r>
      <w:r w:rsidRPr="00E17D8D">
        <w:rPr>
          <w:bCs/>
          <w:szCs w:val="22"/>
        </w:rPr>
        <w:t>:</w:t>
      </w:r>
    </w:p>
    <w:p w14:paraId="075CEB27" w14:textId="77777777" w:rsidR="00E17D8D" w:rsidRPr="00E17D8D" w:rsidRDefault="00E17D8D" w:rsidP="00E17D8D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2B5DFC8" w14:textId="77777777" w:rsidR="00E17D8D" w:rsidRPr="00E17D8D" w:rsidRDefault="00E17D8D" w:rsidP="00E17D8D">
      <w:pPr>
        <w:tabs>
          <w:tab w:val="clear" w:pos="567"/>
        </w:tabs>
        <w:spacing w:line="240" w:lineRule="auto"/>
        <w:rPr>
          <w:b/>
          <w:szCs w:val="22"/>
        </w:rPr>
      </w:pPr>
      <w:r w:rsidRPr="00E17D8D">
        <w:rPr>
          <w:b/>
          <w:szCs w:val="22"/>
        </w:rPr>
        <w:t xml:space="preserve">Účinná látka: </w:t>
      </w:r>
    </w:p>
    <w:p w14:paraId="6656C05D" w14:textId="77777777" w:rsidR="00E17D8D" w:rsidRPr="00E17D8D" w:rsidRDefault="00E17D8D" w:rsidP="00E17D8D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17D8D">
        <w:rPr>
          <w:bCs/>
          <w:szCs w:val="22"/>
        </w:rPr>
        <w:t>Pergolid</w:t>
      </w:r>
      <w:proofErr w:type="spellEnd"/>
      <w:r w:rsidRPr="00E17D8D">
        <w:rPr>
          <w:bCs/>
          <w:szCs w:val="22"/>
        </w:rPr>
        <w:tab/>
        <w:t>1,0 mg</w:t>
      </w:r>
    </w:p>
    <w:p w14:paraId="6461D84E" w14:textId="16D14B6D" w:rsidR="00C114FF" w:rsidRDefault="00E17D8D" w:rsidP="00E17D8D">
      <w:pPr>
        <w:tabs>
          <w:tab w:val="clear" w:pos="567"/>
        </w:tabs>
        <w:spacing w:line="240" w:lineRule="auto"/>
        <w:rPr>
          <w:bCs/>
          <w:szCs w:val="22"/>
        </w:rPr>
      </w:pPr>
      <w:r w:rsidRPr="00E17D8D">
        <w:rPr>
          <w:bCs/>
          <w:szCs w:val="22"/>
        </w:rPr>
        <w:t xml:space="preserve">zodpovedá 1,31 mg </w:t>
      </w:r>
      <w:proofErr w:type="spellStart"/>
      <w:r w:rsidRPr="00E17D8D">
        <w:rPr>
          <w:bCs/>
          <w:szCs w:val="22"/>
        </w:rPr>
        <w:t>pergolid</w:t>
      </w:r>
      <w:proofErr w:type="spellEnd"/>
      <w:r w:rsidRPr="00E17D8D">
        <w:rPr>
          <w:bCs/>
          <w:szCs w:val="22"/>
        </w:rPr>
        <w:t xml:space="preserve"> </w:t>
      </w:r>
      <w:proofErr w:type="spellStart"/>
      <w:r w:rsidRPr="00E17D8D">
        <w:rPr>
          <w:bCs/>
          <w:szCs w:val="22"/>
        </w:rPr>
        <w:t>mesylátu</w:t>
      </w:r>
      <w:proofErr w:type="spellEnd"/>
    </w:p>
    <w:p w14:paraId="764745E6" w14:textId="77777777" w:rsidR="00E17D8D" w:rsidRPr="00E17D8D" w:rsidRDefault="00E17D8D" w:rsidP="00E17D8D">
      <w:pPr>
        <w:tabs>
          <w:tab w:val="clear" w:pos="567"/>
        </w:tabs>
        <w:spacing w:line="240" w:lineRule="auto"/>
        <w:rPr>
          <w:bCs/>
          <w:szCs w:val="22"/>
        </w:rPr>
      </w:pPr>
    </w:p>
    <w:p w14:paraId="6461D84F" w14:textId="7B352C09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6461D85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56FAA" w14:paraId="6461D853" w14:textId="77777777" w:rsidTr="00872C48">
        <w:tc>
          <w:tcPr>
            <w:tcW w:w="4643" w:type="dxa"/>
            <w:shd w:val="clear" w:color="auto" w:fill="auto"/>
            <w:vAlign w:val="center"/>
          </w:tcPr>
          <w:p w14:paraId="6461D851" w14:textId="29F9F3E8" w:rsidR="00872C48" w:rsidRPr="001E1F22" w:rsidRDefault="0009029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61D852" w14:textId="2240B55F" w:rsidR="00872C48" w:rsidRPr="001E1F22" w:rsidRDefault="0009029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8943AA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F56FAA" w14:paraId="6461D856" w14:textId="77777777" w:rsidTr="00872C48">
        <w:tc>
          <w:tcPr>
            <w:tcW w:w="4643" w:type="dxa"/>
            <w:shd w:val="clear" w:color="auto" w:fill="auto"/>
            <w:vAlign w:val="center"/>
          </w:tcPr>
          <w:p w14:paraId="6461D854" w14:textId="2E1FADF5" w:rsidR="00872C48" w:rsidRPr="001E1F22" w:rsidRDefault="00E17D8D" w:rsidP="00E17D8D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FC3034">
              <w:rPr>
                <w:szCs w:val="22"/>
              </w:rPr>
              <w:t>Monohydrát</w:t>
            </w:r>
            <w:proofErr w:type="spellEnd"/>
            <w:r w:rsidRPr="00FC3034">
              <w:rPr>
                <w:szCs w:val="22"/>
              </w:rPr>
              <w:t xml:space="preserve"> laktózy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61D855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56FAA" w14:paraId="6461D859" w14:textId="77777777" w:rsidTr="00872C48">
        <w:tc>
          <w:tcPr>
            <w:tcW w:w="4643" w:type="dxa"/>
            <w:shd w:val="clear" w:color="auto" w:fill="auto"/>
            <w:vAlign w:val="center"/>
          </w:tcPr>
          <w:p w14:paraId="6461D857" w14:textId="66B3A1C2" w:rsidR="00872C48" w:rsidRPr="001E1F22" w:rsidRDefault="00E17D8D" w:rsidP="00E17D8D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rPr>
                <w:szCs w:val="22"/>
              </w:rPr>
              <w:t>S</w:t>
            </w:r>
            <w:r w:rsidRPr="00FC3034">
              <w:rPr>
                <w:szCs w:val="22"/>
              </w:rPr>
              <w:t xml:space="preserve">odná soľ </w:t>
            </w:r>
            <w:proofErr w:type="spellStart"/>
            <w:r w:rsidRPr="00FC3034">
              <w:rPr>
                <w:szCs w:val="22"/>
              </w:rPr>
              <w:t>kroskarmelózy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461D858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56FAA" w14:paraId="6461D85C" w14:textId="77777777" w:rsidTr="00872C48">
        <w:tc>
          <w:tcPr>
            <w:tcW w:w="4643" w:type="dxa"/>
            <w:shd w:val="clear" w:color="auto" w:fill="auto"/>
            <w:vAlign w:val="center"/>
          </w:tcPr>
          <w:p w14:paraId="6461D85A" w14:textId="4D0D6CAE" w:rsidR="00872C48" w:rsidRPr="00E17D8D" w:rsidRDefault="00E17D8D" w:rsidP="00E17D8D">
            <w:pPr>
              <w:tabs>
                <w:tab w:val="clear" w:pos="567"/>
              </w:tabs>
              <w:spacing w:line="240" w:lineRule="auto"/>
              <w:jc w:val="both"/>
              <w:rPr>
                <w:rFonts w:eastAsia="Arial Unicode MS"/>
                <w:color w:val="000000"/>
                <w:szCs w:val="22"/>
              </w:rPr>
            </w:pPr>
            <w:proofErr w:type="spellStart"/>
            <w:r w:rsidRPr="00FC3034">
              <w:rPr>
                <w:szCs w:val="22"/>
              </w:rPr>
              <w:t>Povidón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461D85B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56FAA" w14:paraId="6461D85F" w14:textId="77777777" w:rsidTr="00872C48">
        <w:tc>
          <w:tcPr>
            <w:tcW w:w="4643" w:type="dxa"/>
            <w:shd w:val="clear" w:color="auto" w:fill="auto"/>
            <w:vAlign w:val="center"/>
          </w:tcPr>
          <w:p w14:paraId="6461D85D" w14:textId="00427714" w:rsidR="00872C48" w:rsidRPr="001E1F22" w:rsidRDefault="00E17D8D" w:rsidP="00E17D8D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iCs/>
                <w:szCs w:val="22"/>
              </w:rPr>
            </w:pPr>
            <w:proofErr w:type="spellStart"/>
            <w:r w:rsidRPr="00FC3034">
              <w:rPr>
                <w:szCs w:val="22"/>
              </w:rPr>
              <w:t>Stearát</w:t>
            </w:r>
            <w:proofErr w:type="spellEnd"/>
            <w:r w:rsidRPr="00FC3034">
              <w:rPr>
                <w:szCs w:val="22"/>
              </w:rPr>
              <w:t xml:space="preserve"> </w:t>
            </w:r>
            <w:proofErr w:type="spellStart"/>
            <w:r w:rsidRPr="00FC3034">
              <w:rPr>
                <w:szCs w:val="22"/>
              </w:rPr>
              <w:t>horečnatý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6461D85E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56FAA" w14:paraId="6461D862" w14:textId="77777777" w:rsidTr="00872C48">
        <w:tc>
          <w:tcPr>
            <w:tcW w:w="4643" w:type="dxa"/>
            <w:shd w:val="clear" w:color="auto" w:fill="auto"/>
            <w:vAlign w:val="center"/>
          </w:tcPr>
          <w:p w14:paraId="6461D860" w14:textId="61B654DD" w:rsidR="00872C48" w:rsidRPr="001E1F22" w:rsidRDefault="00E17D8D" w:rsidP="00E17D8D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 w:rsidRPr="00FC3034">
              <w:rPr>
                <w:szCs w:val="22"/>
              </w:rPr>
              <w:t>Červen</w:t>
            </w:r>
            <w:r>
              <w:rPr>
                <w:szCs w:val="22"/>
              </w:rPr>
              <w:t>ý</w:t>
            </w:r>
            <w:r w:rsidRPr="00FC3034">
              <w:rPr>
                <w:szCs w:val="22"/>
              </w:rPr>
              <w:t xml:space="preserve"> oxid železitý (E172)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61D861" w14:textId="77777777" w:rsidR="00872C48" w:rsidRPr="001E1F22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461D86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C0FB6F" w14:textId="77777777" w:rsidR="00E17D8D" w:rsidRPr="00E17D8D" w:rsidRDefault="00E17D8D" w:rsidP="00E17D8D">
      <w:pPr>
        <w:tabs>
          <w:tab w:val="clear" w:pos="567"/>
        </w:tabs>
        <w:spacing w:line="240" w:lineRule="auto"/>
        <w:rPr>
          <w:szCs w:val="22"/>
        </w:rPr>
      </w:pPr>
      <w:r w:rsidRPr="00E17D8D">
        <w:rPr>
          <w:szCs w:val="22"/>
        </w:rPr>
        <w:t>Tableta.</w:t>
      </w:r>
    </w:p>
    <w:p w14:paraId="4C7ACA09" w14:textId="681F14A8" w:rsidR="00E17D8D" w:rsidRPr="00E17D8D" w:rsidRDefault="00CC5005" w:rsidP="00E17D8D">
      <w:pPr>
        <w:tabs>
          <w:tab w:val="clear" w:pos="567"/>
        </w:tabs>
        <w:spacing w:line="240" w:lineRule="auto"/>
        <w:rPr>
          <w:szCs w:val="22"/>
        </w:rPr>
      </w:pPr>
      <w:r>
        <w:t>Béžová</w:t>
      </w:r>
      <w:r w:rsidR="00E17D8D" w:rsidRPr="00E17D8D">
        <w:rPr>
          <w:szCs w:val="22"/>
        </w:rPr>
        <w:t xml:space="preserve"> okrúhla a konvexná tableta s deliacou ryhou na jednej strane.</w:t>
      </w:r>
    </w:p>
    <w:p w14:paraId="1DA586BA" w14:textId="77777777" w:rsidR="00E17D8D" w:rsidRPr="00E17D8D" w:rsidRDefault="00E17D8D" w:rsidP="00E17D8D">
      <w:pPr>
        <w:tabs>
          <w:tab w:val="clear" w:pos="567"/>
        </w:tabs>
        <w:spacing w:line="240" w:lineRule="auto"/>
        <w:rPr>
          <w:szCs w:val="22"/>
        </w:rPr>
      </w:pPr>
    </w:p>
    <w:p w14:paraId="6461D864" w14:textId="7300E0D9" w:rsidR="00C114FF" w:rsidRDefault="00E17D8D" w:rsidP="00E17D8D">
      <w:pPr>
        <w:tabs>
          <w:tab w:val="clear" w:pos="567"/>
        </w:tabs>
        <w:spacing w:line="240" w:lineRule="auto"/>
        <w:rPr>
          <w:szCs w:val="22"/>
        </w:rPr>
      </w:pPr>
      <w:r w:rsidRPr="00E17D8D">
        <w:rPr>
          <w:szCs w:val="22"/>
        </w:rPr>
        <w:t>Tablety môžu byť rozdelené na 2 alebo 4 rovnaké časti.</w:t>
      </w:r>
    </w:p>
    <w:p w14:paraId="03BEDE4B" w14:textId="77777777" w:rsidR="00E17D8D" w:rsidRPr="001E1F22" w:rsidRDefault="00E17D8D" w:rsidP="00E17D8D">
      <w:pPr>
        <w:tabs>
          <w:tab w:val="clear" w:pos="567"/>
        </w:tabs>
        <w:spacing w:line="240" w:lineRule="auto"/>
        <w:rPr>
          <w:szCs w:val="22"/>
        </w:rPr>
      </w:pPr>
    </w:p>
    <w:p w14:paraId="6461D865" w14:textId="77777777" w:rsidR="00C114FF" w:rsidRPr="001E1F22" w:rsidRDefault="00090299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6461D8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67" w14:textId="6C191515" w:rsidR="00C114FF" w:rsidRDefault="00090299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194AA916" w14:textId="77777777" w:rsidR="00E17D8D" w:rsidRPr="001E1F22" w:rsidRDefault="00E17D8D" w:rsidP="00B13B6D">
      <w:pPr>
        <w:pStyle w:val="Style1"/>
      </w:pPr>
    </w:p>
    <w:p w14:paraId="6461D868" w14:textId="67DA4AD6" w:rsidR="00C114FF" w:rsidRDefault="00D2306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Kone </w:t>
      </w:r>
      <w:r>
        <w:rPr>
          <w:szCs w:val="22"/>
          <w:lang w:val="en-US"/>
        </w:rPr>
        <w:t>(</w:t>
      </w:r>
      <w:proofErr w:type="spellStart"/>
      <w:r>
        <w:rPr>
          <w:szCs w:val="22"/>
          <w:lang w:val="en-US"/>
        </w:rPr>
        <w:t>nepotravinové</w:t>
      </w:r>
      <w:proofErr w:type="spellEnd"/>
      <w:r>
        <w:rPr>
          <w:szCs w:val="22"/>
          <w:lang w:val="en-US"/>
        </w:rPr>
        <w:t>)</w:t>
      </w:r>
      <w:r w:rsidR="000F7285">
        <w:rPr>
          <w:szCs w:val="22"/>
          <w:lang w:val="en-US"/>
        </w:rPr>
        <w:t>.</w:t>
      </w:r>
    </w:p>
    <w:p w14:paraId="65147442" w14:textId="77777777" w:rsidR="00E17D8D" w:rsidRPr="001E1F22" w:rsidRDefault="00E17D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69" w14:textId="77777777" w:rsidR="00C114FF" w:rsidRPr="001E1F22" w:rsidRDefault="00090299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461D8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FB697" w14:textId="77777777" w:rsidR="00E17D8D" w:rsidRPr="00FC3034" w:rsidRDefault="00E17D8D" w:rsidP="00E17D8D">
      <w:pPr>
        <w:tabs>
          <w:tab w:val="clear" w:pos="567"/>
        </w:tabs>
        <w:spacing w:line="255" w:lineRule="atLeast"/>
        <w:jc w:val="both"/>
        <w:rPr>
          <w:szCs w:val="22"/>
        </w:rPr>
      </w:pPr>
      <w:r w:rsidRPr="00FC3034">
        <w:rPr>
          <w:szCs w:val="22"/>
        </w:rPr>
        <w:t>Symptomatická liečba klinických príznakov spojen</w:t>
      </w:r>
      <w:r>
        <w:rPr>
          <w:szCs w:val="22"/>
        </w:rPr>
        <w:t>ých s dysfunkciou stredovej časti</w:t>
      </w:r>
      <w:r w:rsidRPr="00FC3034">
        <w:rPr>
          <w:szCs w:val="22"/>
        </w:rPr>
        <w:t xml:space="preserve"> hypofýzy (PPID) (</w:t>
      </w:r>
      <w:proofErr w:type="spellStart"/>
      <w:r w:rsidRPr="00FC3034">
        <w:rPr>
          <w:szCs w:val="22"/>
        </w:rPr>
        <w:t>Cushingova</w:t>
      </w:r>
      <w:proofErr w:type="spellEnd"/>
      <w:r w:rsidRPr="00FC3034">
        <w:rPr>
          <w:szCs w:val="22"/>
        </w:rPr>
        <w:t xml:space="preserve"> choroba koní).</w:t>
      </w:r>
    </w:p>
    <w:p w14:paraId="6461D86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61D86F" w14:textId="77777777" w:rsidR="00C114FF" w:rsidRPr="001E1F22" w:rsidRDefault="00090299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6461D8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C5B9C2" w14:textId="77777777" w:rsidR="00E17D8D" w:rsidRPr="00FC3034" w:rsidRDefault="00E17D8D" w:rsidP="00E17D8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 xml:space="preserve">Nepoužívať u koní so známou precitlivenosťou na </w:t>
      </w:r>
      <w:proofErr w:type="spellStart"/>
      <w:r w:rsidRPr="00FC3034">
        <w:rPr>
          <w:szCs w:val="22"/>
        </w:rPr>
        <w:t>pergolid</w:t>
      </w:r>
      <w:proofErr w:type="spellEnd"/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mes</w:t>
      </w:r>
      <w:r>
        <w:rPr>
          <w:szCs w:val="22"/>
        </w:rPr>
        <w:t>y</w:t>
      </w:r>
      <w:r w:rsidRPr="00FC3034">
        <w:rPr>
          <w:szCs w:val="22"/>
        </w:rPr>
        <w:t>lát</w:t>
      </w:r>
      <w:proofErr w:type="spellEnd"/>
      <w:r w:rsidRPr="00FC3034">
        <w:rPr>
          <w:szCs w:val="22"/>
        </w:rPr>
        <w:t xml:space="preserve"> alebo iné deriváty námeľov alebo na niektorú z pomocných látok.</w:t>
      </w:r>
    </w:p>
    <w:p w14:paraId="70741F84" w14:textId="77777777" w:rsidR="00E17D8D" w:rsidRPr="00FC3034" w:rsidRDefault="00E17D8D" w:rsidP="00E17D8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Nepoužívať u koní mladších ako 2 roky.</w:t>
      </w:r>
    </w:p>
    <w:p w14:paraId="6461D87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75" w14:textId="77777777" w:rsidR="00C114FF" w:rsidRPr="001E1F22" w:rsidRDefault="00090299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6461D87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8C46EE" w14:textId="77777777" w:rsidR="00E17D8D" w:rsidRPr="00FC3034" w:rsidRDefault="00E17D8D" w:rsidP="00E17D8D">
      <w:pPr>
        <w:tabs>
          <w:tab w:val="clear" w:pos="567"/>
        </w:tabs>
        <w:spacing w:line="255" w:lineRule="atLeast"/>
        <w:jc w:val="both"/>
        <w:rPr>
          <w:szCs w:val="22"/>
        </w:rPr>
      </w:pPr>
      <w:r w:rsidRPr="00FC3034">
        <w:rPr>
          <w:szCs w:val="22"/>
          <w:lang w:eastAsia="en-GB"/>
        </w:rPr>
        <w:t>Mali by sa vykonať vhodné endokrinologické laboratórne testy, ako aj vyhodnotenie klinických príznakov s cieľom stanoviť diagnózu PPID.</w:t>
      </w:r>
    </w:p>
    <w:p w14:paraId="6461D87A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6461D87B" w14:textId="77777777" w:rsidR="00C114FF" w:rsidRPr="001E1F22" w:rsidRDefault="00090299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6461D87C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61D87D" w14:textId="77777777" w:rsidR="00C114FF" w:rsidRPr="001E1F22" w:rsidRDefault="0009029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659D62A3" w14:textId="26F67BA0" w:rsidR="00E17D8D" w:rsidRPr="00FC3034" w:rsidRDefault="00E17D8D" w:rsidP="00E17D8D">
      <w:pPr>
        <w:tabs>
          <w:tab w:val="clear" w:pos="567"/>
          <w:tab w:val="left" w:pos="90"/>
        </w:tabs>
        <w:spacing w:line="255" w:lineRule="atLeast"/>
        <w:jc w:val="both"/>
        <w:rPr>
          <w:szCs w:val="22"/>
          <w:lang w:eastAsia="en-GB"/>
        </w:rPr>
      </w:pPr>
      <w:r w:rsidRPr="00FC3034">
        <w:rPr>
          <w:szCs w:val="22"/>
          <w:lang w:eastAsia="en-GB"/>
        </w:rPr>
        <w:t xml:space="preserve">Pretože väčšina prípadov PPID je diagnostikovaná u starších koní, často sú prítomné ďalšie patologické procesy. Informácie o monitorovaní a frekvencii testovania nájdete v časti </w:t>
      </w:r>
      <w:r>
        <w:rPr>
          <w:szCs w:val="22"/>
          <w:lang w:eastAsia="en-GB"/>
        </w:rPr>
        <w:t>3</w:t>
      </w:r>
      <w:r w:rsidRPr="00FC3034">
        <w:rPr>
          <w:szCs w:val="22"/>
          <w:lang w:eastAsia="en-GB"/>
        </w:rPr>
        <w:t>.9.</w:t>
      </w:r>
    </w:p>
    <w:p w14:paraId="6461D8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89" w14:textId="77777777" w:rsidR="00C114FF" w:rsidRPr="001E1F22" w:rsidRDefault="0009029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0222054E" w14:textId="6D9EFABE" w:rsidR="00E17D8D" w:rsidRPr="00FC3034" w:rsidRDefault="00E17D8D" w:rsidP="00E17D8D">
      <w:pPr>
        <w:spacing w:line="240" w:lineRule="auto"/>
        <w:jc w:val="both"/>
        <w:rPr>
          <w:lang w:eastAsia="en-GB"/>
        </w:rPr>
      </w:pPr>
      <w:bookmarkStart w:id="0" w:name="_Hlk5270318"/>
      <w:bookmarkStart w:id="1" w:name="_Hlk5270353"/>
      <w:r w:rsidRPr="00FC3034">
        <w:rPr>
          <w:lang w:eastAsia="en-GB"/>
        </w:rPr>
        <w:t xml:space="preserve">Tento veterinárny liek môže spôsobiť podráždenie očí, dráždivý zápach alebo bolesť hlavy po rozdelení tabliet. Pri manipulácii s tabletami sa vyhýbajte kontaktu s očami a vdýchnutiu. Minimalizujte riziká expozície pri </w:t>
      </w:r>
      <w:r w:rsidR="006C6719" w:rsidRPr="006C6719">
        <w:rPr>
          <w:lang w:eastAsia="en-GB"/>
        </w:rPr>
        <w:t>delení alebo rozpúšťanie</w:t>
      </w:r>
      <w:r w:rsidR="006C6719">
        <w:rPr>
          <w:lang w:eastAsia="en-GB"/>
        </w:rPr>
        <w:t xml:space="preserve"> tabliet</w:t>
      </w:r>
      <w:r w:rsidRPr="00FC3034">
        <w:rPr>
          <w:lang w:eastAsia="en-GB"/>
        </w:rPr>
        <w:t>, napr. tablety sa nesmú drviť.</w:t>
      </w:r>
    </w:p>
    <w:p w14:paraId="6E322E37" w14:textId="77777777" w:rsidR="00E17D8D" w:rsidRPr="00FC3034" w:rsidRDefault="00E17D8D" w:rsidP="00E17D8D">
      <w:pPr>
        <w:spacing w:line="240" w:lineRule="auto"/>
        <w:jc w:val="both"/>
        <w:rPr>
          <w:lang w:eastAsia="en-GB"/>
        </w:rPr>
      </w:pPr>
      <w:r w:rsidRPr="00FC3034">
        <w:rPr>
          <w:lang w:eastAsia="en-GB"/>
        </w:rPr>
        <w:t xml:space="preserve">V prípade kontaktu s pokožkou umyte exponovanú pokožku vodou. V prípade </w:t>
      </w:r>
      <w:r>
        <w:rPr>
          <w:lang w:eastAsia="en-GB"/>
        </w:rPr>
        <w:t>zasiahnutia</w:t>
      </w:r>
      <w:r w:rsidRPr="00FC3034">
        <w:rPr>
          <w:lang w:eastAsia="en-GB"/>
        </w:rPr>
        <w:t xml:space="preserve"> očí okamžite opláchnite postihnuté oko vodou a vyhľadajte lekársku pomoc. Pr</w:t>
      </w:r>
      <w:r>
        <w:rPr>
          <w:lang w:eastAsia="en-GB"/>
        </w:rPr>
        <w:t>i</w:t>
      </w:r>
      <w:r w:rsidRPr="00FC3034">
        <w:rPr>
          <w:lang w:eastAsia="en-GB"/>
        </w:rPr>
        <w:t xml:space="preserve"> podrážden</w:t>
      </w:r>
      <w:r>
        <w:rPr>
          <w:lang w:eastAsia="en-GB"/>
        </w:rPr>
        <w:t>í</w:t>
      </w:r>
      <w:r w:rsidRPr="00FC3034">
        <w:rPr>
          <w:lang w:eastAsia="en-GB"/>
        </w:rPr>
        <w:t xml:space="preserve"> nosa</w:t>
      </w:r>
      <w:r>
        <w:rPr>
          <w:lang w:eastAsia="en-GB"/>
        </w:rPr>
        <w:t xml:space="preserve"> sa</w:t>
      </w:r>
      <w:r w:rsidRPr="00FC3034">
        <w:rPr>
          <w:lang w:eastAsia="en-GB"/>
        </w:rPr>
        <w:t xml:space="preserve"> presuňte na čerstvý vzduch a vyhľadajte lekársku pomoc, ak sa vyvin</w:t>
      </w:r>
      <w:r>
        <w:rPr>
          <w:lang w:eastAsia="en-GB"/>
        </w:rPr>
        <w:t>ú</w:t>
      </w:r>
      <w:r w:rsidRPr="00FC3034">
        <w:rPr>
          <w:lang w:eastAsia="en-GB"/>
        </w:rPr>
        <w:t xml:space="preserve"> ťažkosti s dýchaním. </w:t>
      </w:r>
    </w:p>
    <w:p w14:paraId="1623EC9F" w14:textId="77777777" w:rsidR="00E17D8D" w:rsidRPr="00FC3034" w:rsidRDefault="00E17D8D" w:rsidP="00E17D8D">
      <w:pPr>
        <w:autoSpaceDE w:val="0"/>
        <w:autoSpaceDN w:val="0"/>
        <w:adjustRightInd w:val="0"/>
        <w:spacing w:line="240" w:lineRule="auto"/>
        <w:ind w:left="426"/>
        <w:jc w:val="both"/>
        <w:rPr>
          <w:lang w:eastAsia="en-GB"/>
        </w:rPr>
      </w:pPr>
    </w:p>
    <w:p w14:paraId="7B3944E2" w14:textId="09A4E2F9" w:rsidR="00E17D8D" w:rsidRPr="00FC3034" w:rsidRDefault="00E17D8D" w:rsidP="00E17D8D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  <w:r w:rsidRPr="00FC3034">
        <w:rPr>
          <w:lang w:eastAsia="en-GB"/>
        </w:rPr>
        <w:t>Tento</w:t>
      </w:r>
      <w:r w:rsidR="002C759D" w:rsidRPr="002C759D">
        <w:rPr>
          <w:lang w:eastAsia="en-GB"/>
        </w:rPr>
        <w:t xml:space="preserve"> </w:t>
      </w:r>
      <w:r w:rsidR="002C759D" w:rsidRPr="00FC3034">
        <w:rPr>
          <w:lang w:eastAsia="en-GB"/>
        </w:rPr>
        <w:t>veterinárny</w:t>
      </w:r>
      <w:r w:rsidRPr="00FC3034">
        <w:rPr>
          <w:lang w:eastAsia="en-GB"/>
        </w:rPr>
        <w:t xml:space="preserve"> liek môže spôsobiť reakcie z precitlivenosti (alergie). Ľudia so známou precitlivenosťou na </w:t>
      </w:r>
      <w:proofErr w:type="spellStart"/>
      <w:r w:rsidRPr="00FC3034">
        <w:rPr>
          <w:lang w:eastAsia="en-GB"/>
        </w:rPr>
        <w:t>pergolid</w:t>
      </w:r>
      <w:proofErr w:type="spellEnd"/>
      <w:r w:rsidRPr="00FC3034">
        <w:rPr>
          <w:lang w:eastAsia="en-GB"/>
        </w:rPr>
        <w:t xml:space="preserve"> alebo iné deriváty námeľov by sa mali vyhýbať kontaktu s veterinárnym liekom.</w:t>
      </w:r>
    </w:p>
    <w:p w14:paraId="5F1489FC" w14:textId="45E2DF65" w:rsidR="00E17D8D" w:rsidRPr="00FC3034" w:rsidRDefault="00E17D8D" w:rsidP="00E17D8D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  <w:r w:rsidRPr="00FC3034">
        <w:rPr>
          <w:lang w:eastAsia="en-GB"/>
        </w:rPr>
        <w:t xml:space="preserve">Tento </w:t>
      </w:r>
      <w:r w:rsidR="002C759D" w:rsidRPr="00FC3034">
        <w:rPr>
          <w:lang w:eastAsia="en-GB"/>
        </w:rPr>
        <w:t xml:space="preserve">veterinárny </w:t>
      </w:r>
      <w:r w:rsidRPr="00FC3034">
        <w:rPr>
          <w:lang w:eastAsia="en-GB"/>
        </w:rPr>
        <w:t xml:space="preserve">liek môže spôsobiť nežiaduce účinky v dôsledku znížených hladín </w:t>
      </w:r>
      <w:proofErr w:type="spellStart"/>
      <w:r w:rsidRPr="00FC3034">
        <w:rPr>
          <w:lang w:eastAsia="en-GB"/>
        </w:rPr>
        <w:t>prolaktínu</w:t>
      </w:r>
      <w:proofErr w:type="spellEnd"/>
      <w:r w:rsidRPr="00FC3034">
        <w:rPr>
          <w:lang w:eastAsia="en-GB"/>
        </w:rPr>
        <w:t xml:space="preserve">, čo predstavuje osobitné riziko pre tehotné a dojčiace ženy. Tehotné alebo dojčiace ženy by sa mali pri podávaní lieku vyhýbať kontaktu s pokožkou alebo </w:t>
      </w:r>
      <w:r w:rsidRPr="00F86B1A">
        <w:rPr>
          <w:lang w:eastAsia="en-GB"/>
        </w:rPr>
        <w:t xml:space="preserve">kontaktom </w:t>
      </w:r>
      <w:proofErr w:type="spellStart"/>
      <w:r w:rsidRPr="00F86B1A">
        <w:rPr>
          <w:lang w:eastAsia="en-GB"/>
        </w:rPr>
        <w:t>ruky-ústa</w:t>
      </w:r>
      <w:proofErr w:type="spellEnd"/>
      <w:r>
        <w:rPr>
          <w:lang w:eastAsia="en-GB"/>
        </w:rPr>
        <w:t xml:space="preserve"> tým, že budú pri podávaní </w:t>
      </w:r>
      <w:r w:rsidR="002C759D" w:rsidRPr="00FC3034">
        <w:rPr>
          <w:szCs w:val="22"/>
        </w:rPr>
        <w:t>veterinárneho</w:t>
      </w:r>
      <w:r w:rsidR="002C759D" w:rsidRPr="00FC3034">
        <w:rPr>
          <w:lang w:eastAsia="en-GB"/>
        </w:rPr>
        <w:t xml:space="preserve"> lie</w:t>
      </w:r>
      <w:r w:rsidR="002C759D">
        <w:rPr>
          <w:lang w:eastAsia="en-GB"/>
        </w:rPr>
        <w:t>ku</w:t>
      </w:r>
      <w:r>
        <w:rPr>
          <w:lang w:eastAsia="en-GB"/>
        </w:rPr>
        <w:t xml:space="preserve"> používať rukavice</w:t>
      </w:r>
      <w:r w:rsidRPr="009D7D27">
        <w:rPr>
          <w:lang w:eastAsia="en-GB"/>
        </w:rPr>
        <w:t xml:space="preserve">. </w:t>
      </w:r>
    </w:p>
    <w:p w14:paraId="31FE7A5D" w14:textId="77777777" w:rsidR="00E17D8D" w:rsidRPr="00FC3034" w:rsidRDefault="00E17D8D" w:rsidP="00E17D8D">
      <w:pPr>
        <w:spacing w:line="240" w:lineRule="auto"/>
        <w:ind w:left="426"/>
        <w:jc w:val="both"/>
      </w:pPr>
    </w:p>
    <w:p w14:paraId="0AA91842" w14:textId="42DFF1F6" w:rsidR="00E17D8D" w:rsidRPr="00FC3034" w:rsidRDefault="006C6719" w:rsidP="00E17D8D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  <w:r w:rsidRPr="006C6719">
        <w:rPr>
          <w:lang w:eastAsia="en-GB"/>
        </w:rPr>
        <w:t>Náhodné požitie, najmä u detí, môže spôsobiť vracanie, závraty, únav</w:t>
      </w:r>
      <w:r w:rsidR="00EA1156">
        <w:rPr>
          <w:lang w:eastAsia="en-GB"/>
        </w:rPr>
        <w:t>u</w:t>
      </w:r>
      <w:r w:rsidRPr="006C6719">
        <w:rPr>
          <w:lang w:eastAsia="en-GB"/>
        </w:rPr>
        <w:t xml:space="preserve"> alebo nízky krvný tlak.</w:t>
      </w:r>
      <w:r w:rsidR="00E17D8D" w:rsidRPr="00FC3034">
        <w:rPr>
          <w:lang w:eastAsia="en-GB"/>
        </w:rPr>
        <w:t xml:space="preserve"> Aby ste predišli náhodnému požitiu, uchovávajte </w:t>
      </w:r>
      <w:r w:rsidR="00EA1156">
        <w:rPr>
          <w:lang w:eastAsia="en-GB"/>
        </w:rPr>
        <w:t>liek</w:t>
      </w:r>
      <w:r w:rsidR="00E17D8D" w:rsidRPr="00FC3034">
        <w:rPr>
          <w:lang w:eastAsia="en-GB"/>
        </w:rPr>
        <w:t xml:space="preserve"> mimo dosahu a dohľadu detí. </w:t>
      </w:r>
      <w:r w:rsidR="00E17D8D">
        <w:rPr>
          <w:lang w:eastAsia="en-GB"/>
        </w:rPr>
        <w:t>Časti t</w:t>
      </w:r>
      <w:r w:rsidR="00E17D8D" w:rsidRPr="009D7D27">
        <w:rPr>
          <w:lang w:eastAsia="en-GB"/>
        </w:rPr>
        <w:t>a</w:t>
      </w:r>
      <w:r w:rsidR="00E17D8D">
        <w:rPr>
          <w:lang w:eastAsia="en-GB"/>
        </w:rPr>
        <w:t>bliet</w:t>
      </w:r>
      <w:r w:rsidR="00E17D8D" w:rsidRPr="009D7D27">
        <w:rPr>
          <w:lang w:eastAsia="en-GB"/>
        </w:rPr>
        <w:t xml:space="preserve"> </w:t>
      </w:r>
      <w:r w:rsidR="00E17D8D" w:rsidRPr="00FC3034">
        <w:rPr>
          <w:lang w:eastAsia="en-GB"/>
        </w:rPr>
        <w:t>by sa mali vrátiť do otvoreného</w:t>
      </w:r>
      <w:r w:rsidR="00E17D8D">
        <w:rPr>
          <w:lang w:eastAsia="en-GB"/>
        </w:rPr>
        <w:t xml:space="preserve"> </w:t>
      </w:r>
      <w:proofErr w:type="spellStart"/>
      <w:r w:rsidR="00E17D8D" w:rsidRPr="00FC3034">
        <w:rPr>
          <w:lang w:eastAsia="en-GB"/>
        </w:rPr>
        <w:t>blistra</w:t>
      </w:r>
      <w:proofErr w:type="spellEnd"/>
      <w:r w:rsidR="00E17D8D" w:rsidRPr="00FC3034">
        <w:rPr>
          <w:lang w:eastAsia="en-GB"/>
        </w:rPr>
        <w:t xml:space="preserve">. </w:t>
      </w:r>
      <w:proofErr w:type="spellStart"/>
      <w:r w:rsidR="00E17D8D" w:rsidRPr="00FC3034">
        <w:rPr>
          <w:lang w:eastAsia="en-GB"/>
        </w:rPr>
        <w:t>Blistre</w:t>
      </w:r>
      <w:proofErr w:type="spellEnd"/>
      <w:r w:rsidR="00E17D8D" w:rsidRPr="00FC3034">
        <w:rPr>
          <w:lang w:eastAsia="en-GB"/>
        </w:rPr>
        <w:t xml:space="preserve"> musia byť vložené späť do vonkajšieho obalu a uchovávané na bezpečnom mieste. V prípade náhodného požitia okamžite vyhľadajte lekársku pomoc a ukážte písomnú informáciu pre používateľov alebo obal lekárovi.</w:t>
      </w:r>
    </w:p>
    <w:bookmarkEnd w:id="0"/>
    <w:p w14:paraId="1414409F" w14:textId="77777777" w:rsidR="00E17D8D" w:rsidRPr="00FC3034" w:rsidRDefault="00E17D8D" w:rsidP="00E17D8D">
      <w:pPr>
        <w:spacing w:line="240" w:lineRule="auto"/>
        <w:jc w:val="both"/>
        <w:rPr>
          <w:lang w:eastAsia="en-GB"/>
        </w:rPr>
      </w:pPr>
    </w:p>
    <w:p w14:paraId="67FFC06B" w14:textId="2452421C" w:rsidR="00E17D8D" w:rsidRPr="00FC3034" w:rsidRDefault="00E17D8D" w:rsidP="00E17D8D">
      <w:pPr>
        <w:spacing w:line="240" w:lineRule="auto"/>
        <w:jc w:val="both"/>
        <w:rPr>
          <w:lang w:eastAsia="en-GB"/>
        </w:rPr>
      </w:pPr>
      <w:r w:rsidRPr="00FC3034">
        <w:t xml:space="preserve">Pri používaní tohto </w:t>
      </w:r>
      <w:r w:rsidR="00EA1156">
        <w:t>lieku</w:t>
      </w:r>
      <w:r w:rsidRPr="00FC3034">
        <w:t xml:space="preserve"> nejedzte, nepite ani nefajčite. Po použití si umyte ruky</w:t>
      </w:r>
      <w:r w:rsidRPr="00FC3034">
        <w:rPr>
          <w:lang w:eastAsia="en-GB"/>
        </w:rPr>
        <w:t>.</w:t>
      </w:r>
    </w:p>
    <w:bookmarkEnd w:id="1"/>
    <w:p w14:paraId="6461D88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61D8A3" w14:textId="77777777" w:rsidR="00295140" w:rsidRPr="001E1F22" w:rsidRDefault="0009029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6461D8A5" w14:textId="09898745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461D8A6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A9" w14:textId="77777777" w:rsidR="00C114FF" w:rsidRPr="001E1F22" w:rsidRDefault="00090299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6461D8AA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461D8AB" w14:textId="147F6095" w:rsidR="00AD0710" w:rsidRPr="001E1F22" w:rsidRDefault="006C6719" w:rsidP="00AD0710">
      <w:pPr>
        <w:tabs>
          <w:tab w:val="clear" w:pos="567"/>
        </w:tabs>
        <w:spacing w:line="240" w:lineRule="auto"/>
        <w:rPr>
          <w:szCs w:val="22"/>
        </w:rPr>
      </w:pPr>
      <w:r>
        <w:t>Kone:</w:t>
      </w:r>
    </w:p>
    <w:p w14:paraId="6461D8AC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F56FAA" w14:paraId="6461D8BC" w14:textId="77777777" w:rsidTr="00617B81">
        <w:tc>
          <w:tcPr>
            <w:tcW w:w="1957" w:type="pct"/>
          </w:tcPr>
          <w:p w14:paraId="6461D8B9" w14:textId="77777777" w:rsidR="00082200" w:rsidRPr="001E1F22" w:rsidRDefault="00090299" w:rsidP="00617B81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6461D8BA" w14:textId="77777777" w:rsidR="00295140" w:rsidRPr="001E1F22" w:rsidRDefault="00090299" w:rsidP="00617B81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</w:tcPr>
          <w:p w14:paraId="6461D8BB" w14:textId="6005679E" w:rsidR="00295140" w:rsidRPr="001E1F22" w:rsidRDefault="006C6719" w:rsidP="0073656A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Pr="006C6719">
              <w:t xml:space="preserve">evoľnosť, prechodná </w:t>
            </w:r>
            <w:proofErr w:type="spellStart"/>
            <w:r w:rsidRPr="006C6719">
              <w:t>anorexia</w:t>
            </w:r>
            <w:proofErr w:type="spellEnd"/>
            <w:r w:rsidRPr="006C6719">
              <w:t xml:space="preserve"> a letargia, mierne príznaky centrálneho nervového systému (napr. mierna depresia a mierna </w:t>
            </w:r>
            <w:proofErr w:type="spellStart"/>
            <w:r w:rsidRPr="006C6719">
              <w:t>ataxia</w:t>
            </w:r>
            <w:proofErr w:type="spellEnd"/>
            <w:r w:rsidRPr="006C6719">
              <w:t>), hnačka a kolika.</w:t>
            </w:r>
          </w:p>
        </w:tc>
      </w:tr>
      <w:tr w:rsidR="00F56FAA" w14:paraId="6461D8C0" w14:textId="77777777" w:rsidTr="00617B81">
        <w:tc>
          <w:tcPr>
            <w:tcW w:w="1957" w:type="pct"/>
          </w:tcPr>
          <w:p w14:paraId="6461D8BD" w14:textId="77777777" w:rsidR="00295140" w:rsidRPr="001E1F22" w:rsidRDefault="00090299" w:rsidP="00617B81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6461D8BE" w14:textId="77777777" w:rsidR="00295140" w:rsidRPr="001E1F22" w:rsidRDefault="00090299" w:rsidP="00617B81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6461D8BF" w14:textId="3A53360C" w:rsidR="00295140" w:rsidRPr="001E1F22" w:rsidRDefault="006C6719" w:rsidP="0073656A">
            <w:pPr>
              <w:spacing w:before="60" w:after="60"/>
              <w:rPr>
                <w:iCs/>
                <w:szCs w:val="22"/>
              </w:rPr>
            </w:pPr>
            <w:r>
              <w:t>P</w:t>
            </w:r>
            <w:r w:rsidRPr="006C6719">
              <w:t>otenie</w:t>
            </w:r>
          </w:p>
        </w:tc>
      </w:tr>
    </w:tbl>
    <w:p w14:paraId="6461D8C1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461D8C2" w14:textId="50E80CDC" w:rsidR="00247A48" w:rsidRPr="001E1F22" w:rsidRDefault="00090299" w:rsidP="00247A48">
      <w:pPr>
        <w:rPr>
          <w:szCs w:val="22"/>
        </w:rPr>
      </w:pPr>
      <w:bookmarkStart w:id="2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</w:t>
      </w:r>
      <w:r w:rsidR="00362A12">
        <w:t> </w:t>
      </w:r>
      <w:r w:rsidRPr="001E1F22">
        <w:t xml:space="preserve">časti </w:t>
      </w:r>
      <w:r w:rsidR="002C759D">
        <w:t xml:space="preserve">16 </w:t>
      </w:r>
      <w:r w:rsidRPr="001E1F22">
        <w:t>písomnej informácie pre používateľov.</w:t>
      </w:r>
    </w:p>
    <w:bookmarkEnd w:id="2"/>
    <w:p w14:paraId="6461D8C3" w14:textId="77777777" w:rsidR="00247A48" w:rsidRPr="001E1F2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461D8C4" w14:textId="77777777" w:rsidR="00C114FF" w:rsidRPr="001E1F22" w:rsidRDefault="00090299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6461D8C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61D8C8" w14:textId="1D5E65B5" w:rsidR="00C114FF" w:rsidRPr="001E1F22" w:rsidRDefault="00090299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4E54B73B" w14:textId="6BCD0E23" w:rsidR="006C6719" w:rsidRPr="00FC3034" w:rsidRDefault="006C6719" w:rsidP="006C6719">
      <w:pPr>
        <w:jc w:val="both"/>
        <w:rPr>
          <w:szCs w:val="22"/>
        </w:rPr>
      </w:pPr>
      <w:r w:rsidRPr="00FC3034">
        <w:rPr>
          <w:szCs w:val="22"/>
        </w:rPr>
        <w:t xml:space="preserve">Bezpečnosť tohto veterinárneho lieku nebola preukázaná u gravidných kobýl. Laboratórne štúdie na myšiach a králikoch nepreukázali </w:t>
      </w:r>
      <w:proofErr w:type="spellStart"/>
      <w:r w:rsidRPr="00FC3034">
        <w:rPr>
          <w:szCs w:val="22"/>
        </w:rPr>
        <w:t>teratogénne</w:t>
      </w:r>
      <w:proofErr w:type="spellEnd"/>
      <w:r w:rsidRPr="00FC3034">
        <w:rPr>
          <w:szCs w:val="22"/>
        </w:rPr>
        <w:t xml:space="preserve"> účinky. U myší sa pozorovala znížená </w:t>
      </w:r>
      <w:proofErr w:type="spellStart"/>
      <w:r w:rsidRPr="00FC3034">
        <w:rPr>
          <w:szCs w:val="22"/>
        </w:rPr>
        <w:t>fertilita</w:t>
      </w:r>
      <w:proofErr w:type="spellEnd"/>
      <w:r w:rsidRPr="00FC3034">
        <w:rPr>
          <w:szCs w:val="22"/>
        </w:rPr>
        <w:t xml:space="preserve"> v dávke </w:t>
      </w:r>
      <w:r w:rsidRPr="00FC3034">
        <w:rPr>
          <w:szCs w:val="22"/>
        </w:rPr>
        <w:lastRenderedPageBreak/>
        <w:t xml:space="preserve">5,6 mg / kg </w:t>
      </w:r>
      <w:r>
        <w:rPr>
          <w:szCs w:val="22"/>
        </w:rPr>
        <w:t>živej</w:t>
      </w:r>
      <w:r w:rsidRPr="00FC3034">
        <w:rPr>
          <w:szCs w:val="22"/>
        </w:rPr>
        <w:t xml:space="preserve"> hmotnosti denne.</w:t>
      </w:r>
      <w:r w:rsidRPr="006C6719">
        <w:t xml:space="preserve"> </w:t>
      </w:r>
      <w:r w:rsidRPr="006C6719">
        <w:rPr>
          <w:szCs w:val="22"/>
        </w:rPr>
        <w:t>Používajte len podľa posúdenia prínosu a rizika zodpovedným veterinárnym lekárom.</w:t>
      </w:r>
    </w:p>
    <w:p w14:paraId="156C18D4" w14:textId="4E245224" w:rsidR="006C6719" w:rsidRPr="001E1F22" w:rsidRDefault="006C6719" w:rsidP="006C6719">
      <w:pPr>
        <w:tabs>
          <w:tab w:val="clear" w:pos="567"/>
        </w:tabs>
        <w:spacing w:line="240" w:lineRule="auto"/>
        <w:rPr>
          <w:szCs w:val="22"/>
        </w:rPr>
      </w:pPr>
    </w:p>
    <w:p w14:paraId="6461D8D2" w14:textId="1A5E468B" w:rsidR="00C114FF" w:rsidRPr="001E1F22" w:rsidRDefault="00090299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Laktácia</w:t>
      </w:r>
      <w:r w:rsidRPr="001E1F22">
        <w:t>:</w:t>
      </w:r>
    </w:p>
    <w:p w14:paraId="11E88B9F" w14:textId="578B785F" w:rsidR="006C6719" w:rsidRPr="00FC3034" w:rsidRDefault="006C6719" w:rsidP="006C6719">
      <w:pPr>
        <w:jc w:val="both"/>
        <w:rPr>
          <w:szCs w:val="22"/>
        </w:rPr>
      </w:pPr>
      <w:r w:rsidRPr="00FC3034">
        <w:rPr>
          <w:szCs w:val="22"/>
        </w:rPr>
        <w:t xml:space="preserve">Použitie sa neodporúča u dojčiacich koní, u ktorých nebola preukázaná bezpečnosť tohto veterinárneho lieku. U myší sa znížená </w:t>
      </w:r>
      <w:r>
        <w:rPr>
          <w:szCs w:val="22"/>
        </w:rPr>
        <w:t>živá</w:t>
      </w:r>
      <w:r w:rsidRPr="00FC3034">
        <w:rPr>
          <w:szCs w:val="22"/>
        </w:rPr>
        <w:t xml:space="preserve"> hmotnosť a miera prežitia u potomstva pripisovala farmakologickej inhibícii sekrécie </w:t>
      </w:r>
      <w:proofErr w:type="spellStart"/>
      <w:r w:rsidRPr="00FC3034">
        <w:rPr>
          <w:szCs w:val="22"/>
        </w:rPr>
        <w:t>prolaktínu</w:t>
      </w:r>
      <w:proofErr w:type="spellEnd"/>
      <w:r w:rsidRPr="00FC3034">
        <w:rPr>
          <w:szCs w:val="22"/>
        </w:rPr>
        <w:t>, čo viedlo k zlyhaniu laktácie.</w:t>
      </w:r>
    </w:p>
    <w:p w14:paraId="5635910E" w14:textId="3D8E7CB7" w:rsidR="006C6719" w:rsidRDefault="00090299" w:rsidP="00A9226B">
      <w:pPr>
        <w:tabs>
          <w:tab w:val="clear" w:pos="567"/>
        </w:tabs>
        <w:spacing w:line="240" w:lineRule="auto"/>
      </w:pPr>
      <w:r w:rsidRPr="001E1F22">
        <w:t>Neuplatňuje sa.</w:t>
      </w:r>
    </w:p>
    <w:p w14:paraId="18B58569" w14:textId="77777777" w:rsidR="006C6719" w:rsidRPr="001E1F22" w:rsidRDefault="006C67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EA6CE2" w14:textId="6405F86A" w:rsidR="006C6719" w:rsidRDefault="00090299" w:rsidP="00B13B6D">
      <w:pPr>
        <w:pStyle w:val="Style1"/>
      </w:pPr>
      <w:r w:rsidRPr="001E1F22">
        <w:t>3.8</w:t>
      </w:r>
      <w:r w:rsidRPr="001E1F22">
        <w:tab/>
      </w:r>
      <w:r w:rsidR="002C759D">
        <w:t>Interakcie s inými liekmi a ďalšie formy interakcií</w:t>
      </w:r>
    </w:p>
    <w:p w14:paraId="5417DCE3" w14:textId="77777777" w:rsidR="00EA1156" w:rsidRPr="001E1F22" w:rsidRDefault="00EA1156" w:rsidP="00B13B6D">
      <w:pPr>
        <w:pStyle w:val="Style1"/>
      </w:pPr>
    </w:p>
    <w:p w14:paraId="6C985B3E" w14:textId="77777777" w:rsidR="006C6719" w:rsidRPr="006C6719" w:rsidRDefault="006C6719" w:rsidP="006C6719">
      <w:pPr>
        <w:tabs>
          <w:tab w:val="clear" w:pos="567"/>
        </w:tabs>
        <w:spacing w:line="240" w:lineRule="auto"/>
        <w:rPr>
          <w:szCs w:val="22"/>
        </w:rPr>
      </w:pPr>
      <w:r w:rsidRPr="006C6719">
        <w:rPr>
          <w:szCs w:val="22"/>
        </w:rPr>
        <w:t>Používajte opatrne v prípade, že sa veterinárny liek podáva súčasne s inými liekmi, o ktorých je známe, že ovplyvňujú väzbu na bielkoviny.</w:t>
      </w:r>
    </w:p>
    <w:p w14:paraId="6461D8DC" w14:textId="697F766F" w:rsidR="00C114FF" w:rsidRDefault="006C6719" w:rsidP="006C6719">
      <w:pPr>
        <w:tabs>
          <w:tab w:val="clear" w:pos="567"/>
        </w:tabs>
        <w:spacing w:line="240" w:lineRule="auto"/>
        <w:rPr>
          <w:szCs w:val="22"/>
        </w:rPr>
      </w:pPr>
      <w:r w:rsidRPr="006C6719">
        <w:rPr>
          <w:szCs w:val="22"/>
        </w:rPr>
        <w:t xml:space="preserve">Nepodávajte súbežne s antagonistami </w:t>
      </w:r>
      <w:proofErr w:type="spellStart"/>
      <w:r w:rsidRPr="006C6719">
        <w:rPr>
          <w:szCs w:val="22"/>
        </w:rPr>
        <w:t>dopamínu</w:t>
      </w:r>
      <w:proofErr w:type="spellEnd"/>
      <w:r w:rsidRPr="006C6719">
        <w:rPr>
          <w:szCs w:val="22"/>
        </w:rPr>
        <w:t xml:space="preserve">, ako sú </w:t>
      </w:r>
      <w:proofErr w:type="spellStart"/>
      <w:r w:rsidRPr="006C6719">
        <w:rPr>
          <w:szCs w:val="22"/>
        </w:rPr>
        <w:t>neuroleptiká</w:t>
      </w:r>
      <w:proofErr w:type="spellEnd"/>
      <w:r w:rsidRPr="006C6719">
        <w:rPr>
          <w:szCs w:val="22"/>
        </w:rPr>
        <w:t xml:space="preserve"> (</w:t>
      </w:r>
      <w:proofErr w:type="spellStart"/>
      <w:r w:rsidRPr="006C6719">
        <w:rPr>
          <w:szCs w:val="22"/>
        </w:rPr>
        <w:t>fenotiazíny</w:t>
      </w:r>
      <w:proofErr w:type="spellEnd"/>
      <w:r w:rsidRPr="006C6719">
        <w:rPr>
          <w:szCs w:val="22"/>
        </w:rPr>
        <w:t xml:space="preserve"> - napr. </w:t>
      </w:r>
      <w:proofErr w:type="spellStart"/>
      <w:r w:rsidRPr="006C6719">
        <w:rPr>
          <w:szCs w:val="22"/>
        </w:rPr>
        <w:t>Acepromazín</w:t>
      </w:r>
      <w:proofErr w:type="spellEnd"/>
      <w:r w:rsidRPr="006C6719">
        <w:rPr>
          <w:szCs w:val="22"/>
        </w:rPr>
        <w:t xml:space="preserve">), </w:t>
      </w:r>
      <w:proofErr w:type="spellStart"/>
      <w:r w:rsidRPr="006C6719">
        <w:rPr>
          <w:szCs w:val="22"/>
        </w:rPr>
        <w:t>domperidón</w:t>
      </w:r>
      <w:proofErr w:type="spellEnd"/>
      <w:r w:rsidRPr="006C6719">
        <w:rPr>
          <w:szCs w:val="22"/>
        </w:rPr>
        <w:t xml:space="preserve"> alebo </w:t>
      </w:r>
      <w:proofErr w:type="spellStart"/>
      <w:r w:rsidRPr="006C6719">
        <w:rPr>
          <w:szCs w:val="22"/>
        </w:rPr>
        <w:t>metoklopramid</w:t>
      </w:r>
      <w:proofErr w:type="spellEnd"/>
      <w:r w:rsidRPr="006C6719">
        <w:rPr>
          <w:szCs w:val="22"/>
        </w:rPr>
        <w:t xml:space="preserve">, pretože tieto látky môžu znížiť účinnosť </w:t>
      </w:r>
      <w:proofErr w:type="spellStart"/>
      <w:r w:rsidRPr="006C6719">
        <w:rPr>
          <w:szCs w:val="22"/>
        </w:rPr>
        <w:t>pergolidu</w:t>
      </w:r>
      <w:proofErr w:type="spellEnd"/>
      <w:r>
        <w:rPr>
          <w:szCs w:val="22"/>
        </w:rPr>
        <w:t>.</w:t>
      </w:r>
    </w:p>
    <w:p w14:paraId="700E9557" w14:textId="77777777" w:rsidR="006C6719" w:rsidRPr="001E1F22" w:rsidRDefault="006C67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EC" w14:textId="77777777" w:rsidR="00C114FF" w:rsidRPr="001E1F22" w:rsidRDefault="00090299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6461D8ED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9ABB71" w14:textId="77777777" w:rsidR="006C6719" w:rsidRPr="00FC3034" w:rsidRDefault="006C6719" w:rsidP="006C671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Perorálne použitie raz denne.</w:t>
      </w:r>
    </w:p>
    <w:p w14:paraId="570B437A" w14:textId="09D05274" w:rsidR="006C6719" w:rsidRDefault="006C6719" w:rsidP="006C6719">
      <w:pPr>
        <w:tabs>
          <w:tab w:val="clear" w:pos="567"/>
        </w:tabs>
        <w:spacing w:line="240" w:lineRule="auto"/>
        <w:rPr>
          <w:szCs w:val="22"/>
        </w:rPr>
      </w:pPr>
      <w:r w:rsidRPr="00FC3034">
        <w:rPr>
          <w:szCs w:val="22"/>
        </w:rPr>
        <w:t xml:space="preserve">Na uľahčenie podávania sa má požadovaná denná dávka </w:t>
      </w:r>
      <w:r>
        <w:rPr>
          <w:szCs w:val="22"/>
        </w:rPr>
        <w:t>dať</w:t>
      </w:r>
      <w:r w:rsidRPr="00FC3034">
        <w:rPr>
          <w:szCs w:val="22"/>
        </w:rPr>
        <w:t xml:space="preserve"> do malého množstva vody a / alebo zmiešať s melasou alebo iným sladidlom a miešať až do rozpustenia. V tomto prípade sa rozpustené tablety majú podávať injekčnou striekačkou. Celé množstvo sa má podať okamžite. Tablety sa nesmú drviť</w:t>
      </w:r>
      <w:r>
        <w:rPr>
          <w:szCs w:val="22"/>
        </w:rPr>
        <w:t>,</w:t>
      </w:r>
      <w:r w:rsidRPr="006C6719">
        <w:rPr>
          <w:szCs w:val="22"/>
        </w:rPr>
        <w:t xml:space="preserve"> pozri časť 3.5. </w:t>
      </w:r>
      <w:r w:rsidR="002604F7">
        <w:rPr>
          <w:szCs w:val="22"/>
        </w:rPr>
        <w:t>Ak</w:t>
      </w:r>
      <w:r w:rsidRPr="006C6719">
        <w:rPr>
          <w:szCs w:val="22"/>
        </w:rPr>
        <w:t xml:space="preserve"> sa tablety rozdelia, zvyšná časť tablety sa má podať pri ďalšom podaní.</w:t>
      </w:r>
    </w:p>
    <w:p w14:paraId="1215C6F4" w14:textId="1E915EBA" w:rsidR="006C6719" w:rsidRDefault="006C6719" w:rsidP="006C671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EE4E7E" w14:textId="77777777" w:rsidR="007646A6" w:rsidRPr="007646A6" w:rsidRDefault="007646A6" w:rsidP="007646A6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bookmarkStart w:id="3" w:name="_Hlk119062361"/>
      <w:r w:rsidRPr="007646A6">
        <w:rPr>
          <w:b/>
          <w:bCs/>
          <w:szCs w:val="22"/>
        </w:rPr>
        <w:t xml:space="preserve">Počiatočná dávka </w:t>
      </w:r>
    </w:p>
    <w:bookmarkEnd w:id="3"/>
    <w:p w14:paraId="49EBD31F" w14:textId="121CB024" w:rsidR="007646A6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646A6">
        <w:rPr>
          <w:szCs w:val="22"/>
        </w:rPr>
        <w:t xml:space="preserve">Počiatočná dávka je približne 2 </w:t>
      </w:r>
      <w:proofErr w:type="spellStart"/>
      <w:r w:rsidRPr="007646A6">
        <w:rPr>
          <w:szCs w:val="22"/>
        </w:rPr>
        <w:t>μg</w:t>
      </w:r>
      <w:proofErr w:type="spellEnd"/>
      <w:r w:rsidRPr="007646A6">
        <w:rPr>
          <w:szCs w:val="22"/>
        </w:rPr>
        <w:t xml:space="preserve"> </w:t>
      </w:r>
      <w:proofErr w:type="spellStart"/>
      <w:r w:rsidRPr="007646A6">
        <w:rPr>
          <w:szCs w:val="22"/>
        </w:rPr>
        <w:t>pergolidu</w:t>
      </w:r>
      <w:proofErr w:type="spellEnd"/>
      <w:r w:rsidRPr="007646A6">
        <w:rPr>
          <w:szCs w:val="22"/>
        </w:rPr>
        <w:t>/kg (rozsah dávky: 1,</w:t>
      </w:r>
      <w:r w:rsidR="002C759D">
        <w:rPr>
          <w:szCs w:val="22"/>
        </w:rPr>
        <w:t>7</w:t>
      </w:r>
      <w:r w:rsidRPr="007646A6">
        <w:rPr>
          <w:szCs w:val="22"/>
        </w:rPr>
        <w:t xml:space="preserve"> až 2,5 </w:t>
      </w:r>
      <w:proofErr w:type="spellStart"/>
      <w:r w:rsidRPr="007646A6">
        <w:rPr>
          <w:szCs w:val="22"/>
        </w:rPr>
        <w:t>μg</w:t>
      </w:r>
      <w:proofErr w:type="spellEnd"/>
      <w:r w:rsidRPr="007646A6">
        <w:rPr>
          <w:szCs w:val="22"/>
        </w:rPr>
        <w:t xml:space="preserve">/kg, pozri tabuľku nižšie). Udržiavacia dávka sa má potom </w:t>
      </w:r>
      <w:proofErr w:type="spellStart"/>
      <w:r w:rsidRPr="007646A6">
        <w:rPr>
          <w:szCs w:val="22"/>
        </w:rPr>
        <w:t>titrovať</w:t>
      </w:r>
      <w:proofErr w:type="spellEnd"/>
      <w:r w:rsidRPr="007646A6">
        <w:rPr>
          <w:szCs w:val="22"/>
        </w:rPr>
        <w:t xml:space="preserve"> podľa individuálnej odpovede stanovenej sledovaním (pozri nižšie), až do priemernej udržiavacej dávky 2 µg </w:t>
      </w:r>
      <w:proofErr w:type="spellStart"/>
      <w:r w:rsidRPr="007646A6">
        <w:rPr>
          <w:szCs w:val="22"/>
        </w:rPr>
        <w:t>pergolidu</w:t>
      </w:r>
      <w:proofErr w:type="spellEnd"/>
      <w:r w:rsidRPr="007646A6">
        <w:rPr>
          <w:szCs w:val="22"/>
        </w:rPr>
        <w:t xml:space="preserve">/kg živej hmotnosti s dávkou v rozsahu 0,6 až 10 µg </w:t>
      </w:r>
      <w:proofErr w:type="spellStart"/>
      <w:r w:rsidRPr="007646A6">
        <w:rPr>
          <w:szCs w:val="22"/>
        </w:rPr>
        <w:t>pergolidu</w:t>
      </w:r>
      <w:proofErr w:type="spellEnd"/>
      <w:r w:rsidRPr="007646A6">
        <w:rPr>
          <w:szCs w:val="22"/>
        </w:rPr>
        <w:t>/kg živej hmotnosti.</w:t>
      </w:r>
    </w:p>
    <w:p w14:paraId="051C58A1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70F3BD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Odporúčané počiatočné dávky sú nasledovné:</w:t>
      </w:r>
    </w:p>
    <w:p w14:paraId="0A437B25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0"/>
        <w:gridCol w:w="2089"/>
        <w:gridCol w:w="1843"/>
        <w:gridCol w:w="2268"/>
      </w:tblGrid>
      <w:tr w:rsidR="007646A6" w:rsidRPr="00FC3034" w14:paraId="405E8AF6" w14:textId="77777777" w:rsidTr="002604F7">
        <w:tc>
          <w:tcPr>
            <w:tcW w:w="2560" w:type="dxa"/>
          </w:tcPr>
          <w:p w14:paraId="59D7F9FB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Živá</w:t>
            </w:r>
            <w:r w:rsidRPr="00FC3034">
              <w:rPr>
                <w:szCs w:val="22"/>
              </w:rPr>
              <w:t xml:space="preserve"> hmotnosť koňa</w:t>
            </w:r>
          </w:p>
        </w:tc>
        <w:tc>
          <w:tcPr>
            <w:tcW w:w="2089" w:type="dxa"/>
          </w:tcPr>
          <w:p w14:paraId="4D9DED39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Počet tabliet</w:t>
            </w:r>
          </w:p>
        </w:tc>
        <w:tc>
          <w:tcPr>
            <w:tcW w:w="1843" w:type="dxa"/>
          </w:tcPr>
          <w:p w14:paraId="3EA271C8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Počiatočná dávka</w:t>
            </w:r>
          </w:p>
        </w:tc>
        <w:tc>
          <w:tcPr>
            <w:tcW w:w="2268" w:type="dxa"/>
          </w:tcPr>
          <w:p w14:paraId="78F3E9D5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Rozsah dávkovania</w:t>
            </w:r>
          </w:p>
        </w:tc>
      </w:tr>
      <w:tr w:rsidR="007646A6" w:rsidRPr="00FC3034" w14:paraId="4B65A0F6" w14:textId="77777777" w:rsidTr="002604F7">
        <w:tc>
          <w:tcPr>
            <w:tcW w:w="2560" w:type="dxa"/>
          </w:tcPr>
          <w:p w14:paraId="0605DF81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200 - 300 kg</w:t>
            </w:r>
          </w:p>
        </w:tc>
        <w:tc>
          <w:tcPr>
            <w:tcW w:w="2089" w:type="dxa"/>
          </w:tcPr>
          <w:p w14:paraId="2A5C0D10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½</w:t>
            </w:r>
          </w:p>
        </w:tc>
        <w:tc>
          <w:tcPr>
            <w:tcW w:w="1843" w:type="dxa"/>
          </w:tcPr>
          <w:p w14:paraId="286DF74E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0,50 mg</w:t>
            </w:r>
          </w:p>
        </w:tc>
        <w:tc>
          <w:tcPr>
            <w:tcW w:w="2268" w:type="dxa"/>
          </w:tcPr>
          <w:p w14:paraId="1DB532AC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 xml:space="preserve">1,7 – 2,5 </w:t>
            </w:r>
            <w:proofErr w:type="spellStart"/>
            <w:r w:rsidRPr="00FC3034">
              <w:rPr>
                <w:szCs w:val="22"/>
              </w:rPr>
              <w:t>μg</w:t>
            </w:r>
            <w:proofErr w:type="spellEnd"/>
            <w:r w:rsidRPr="00FC3034">
              <w:rPr>
                <w:szCs w:val="22"/>
              </w:rPr>
              <w:t>/kg</w:t>
            </w:r>
          </w:p>
        </w:tc>
      </w:tr>
      <w:tr w:rsidR="007646A6" w:rsidRPr="00FC3034" w14:paraId="6616F37D" w14:textId="77777777" w:rsidTr="002604F7">
        <w:tc>
          <w:tcPr>
            <w:tcW w:w="2560" w:type="dxa"/>
          </w:tcPr>
          <w:p w14:paraId="14DCEB37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301 – 400 kg</w:t>
            </w:r>
          </w:p>
        </w:tc>
        <w:tc>
          <w:tcPr>
            <w:tcW w:w="2089" w:type="dxa"/>
          </w:tcPr>
          <w:p w14:paraId="7A385B64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¾</w:t>
            </w:r>
          </w:p>
        </w:tc>
        <w:tc>
          <w:tcPr>
            <w:tcW w:w="1843" w:type="dxa"/>
          </w:tcPr>
          <w:p w14:paraId="5F17174B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0,75 mg</w:t>
            </w:r>
          </w:p>
        </w:tc>
        <w:tc>
          <w:tcPr>
            <w:tcW w:w="2268" w:type="dxa"/>
          </w:tcPr>
          <w:p w14:paraId="13E57DC7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1,9 – 2,5 µg/kg</w:t>
            </w:r>
          </w:p>
        </w:tc>
      </w:tr>
      <w:tr w:rsidR="007646A6" w:rsidRPr="00FC3034" w14:paraId="5800247D" w14:textId="77777777" w:rsidTr="002604F7">
        <w:tc>
          <w:tcPr>
            <w:tcW w:w="2560" w:type="dxa"/>
          </w:tcPr>
          <w:p w14:paraId="1987E518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401 - 600 kg</w:t>
            </w:r>
          </w:p>
        </w:tc>
        <w:tc>
          <w:tcPr>
            <w:tcW w:w="2089" w:type="dxa"/>
          </w:tcPr>
          <w:p w14:paraId="0D6C85AA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</w:t>
            </w:r>
          </w:p>
        </w:tc>
        <w:tc>
          <w:tcPr>
            <w:tcW w:w="1843" w:type="dxa"/>
          </w:tcPr>
          <w:p w14:paraId="17508A3A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1,00 mg</w:t>
            </w:r>
          </w:p>
        </w:tc>
        <w:tc>
          <w:tcPr>
            <w:tcW w:w="2268" w:type="dxa"/>
          </w:tcPr>
          <w:p w14:paraId="07D380C8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1,7 – 2,5 µg/kg</w:t>
            </w:r>
          </w:p>
        </w:tc>
      </w:tr>
      <w:tr w:rsidR="007646A6" w:rsidRPr="00FC3034" w14:paraId="3E4B2006" w14:textId="77777777" w:rsidTr="002604F7">
        <w:tc>
          <w:tcPr>
            <w:tcW w:w="2560" w:type="dxa"/>
          </w:tcPr>
          <w:p w14:paraId="1884B338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601 - 850 kg</w:t>
            </w:r>
          </w:p>
        </w:tc>
        <w:tc>
          <w:tcPr>
            <w:tcW w:w="2089" w:type="dxa"/>
          </w:tcPr>
          <w:p w14:paraId="35DC1CB9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 ½</w:t>
            </w:r>
          </w:p>
        </w:tc>
        <w:tc>
          <w:tcPr>
            <w:tcW w:w="1843" w:type="dxa"/>
          </w:tcPr>
          <w:p w14:paraId="5846B395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1,50 mg</w:t>
            </w:r>
          </w:p>
        </w:tc>
        <w:tc>
          <w:tcPr>
            <w:tcW w:w="2268" w:type="dxa"/>
          </w:tcPr>
          <w:p w14:paraId="2B6434D2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1,8 – 2,5 µg/kg</w:t>
            </w:r>
          </w:p>
        </w:tc>
      </w:tr>
      <w:tr w:rsidR="007646A6" w:rsidRPr="00FC3034" w14:paraId="02543429" w14:textId="77777777" w:rsidTr="002604F7">
        <w:tc>
          <w:tcPr>
            <w:tcW w:w="2560" w:type="dxa"/>
          </w:tcPr>
          <w:p w14:paraId="631867CF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 xml:space="preserve"> 851 - 1000 kg</w:t>
            </w:r>
          </w:p>
        </w:tc>
        <w:tc>
          <w:tcPr>
            <w:tcW w:w="2089" w:type="dxa"/>
          </w:tcPr>
          <w:p w14:paraId="3A53640A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2</w:t>
            </w:r>
          </w:p>
        </w:tc>
        <w:tc>
          <w:tcPr>
            <w:tcW w:w="1843" w:type="dxa"/>
          </w:tcPr>
          <w:p w14:paraId="2C31A66E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2,00 mg</w:t>
            </w:r>
          </w:p>
        </w:tc>
        <w:tc>
          <w:tcPr>
            <w:tcW w:w="2268" w:type="dxa"/>
          </w:tcPr>
          <w:p w14:paraId="07CA98CA" w14:textId="77777777" w:rsidR="007646A6" w:rsidRPr="00FC3034" w:rsidRDefault="007646A6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2,0 – 2,4 µg/kg</w:t>
            </w:r>
          </w:p>
        </w:tc>
      </w:tr>
    </w:tbl>
    <w:p w14:paraId="7361B3E7" w14:textId="77777777" w:rsidR="007646A6" w:rsidRPr="00FC3034" w:rsidRDefault="007646A6" w:rsidP="007646A6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063F88CE" w14:textId="77777777" w:rsidR="007646A6" w:rsidRPr="00FC3034" w:rsidRDefault="007646A6" w:rsidP="007646A6">
      <w:pPr>
        <w:tabs>
          <w:tab w:val="left" w:pos="0"/>
        </w:tabs>
        <w:spacing w:line="240" w:lineRule="auto"/>
        <w:jc w:val="both"/>
        <w:rPr>
          <w:b/>
          <w:szCs w:val="22"/>
        </w:rPr>
      </w:pPr>
      <w:r w:rsidRPr="00FC3034">
        <w:rPr>
          <w:b/>
          <w:szCs w:val="22"/>
        </w:rPr>
        <w:t>Udržiavacia dávka</w:t>
      </w:r>
    </w:p>
    <w:p w14:paraId="4E6FEFD2" w14:textId="77777777" w:rsidR="007646A6" w:rsidRPr="009D7D27" w:rsidRDefault="007646A6" w:rsidP="007646A6">
      <w:pPr>
        <w:tabs>
          <w:tab w:val="left" w:pos="0"/>
        </w:tabs>
        <w:spacing w:line="240" w:lineRule="auto"/>
        <w:jc w:val="both"/>
        <w:rPr>
          <w:bCs/>
          <w:szCs w:val="22"/>
        </w:rPr>
      </w:pPr>
      <w:r w:rsidRPr="009D7D27">
        <w:rPr>
          <w:bCs/>
          <w:szCs w:val="22"/>
        </w:rPr>
        <w:t>Pre túto chorobu sa predpokladá celoživotná liečba.</w:t>
      </w:r>
    </w:p>
    <w:p w14:paraId="375032D7" w14:textId="1998759A" w:rsidR="007646A6" w:rsidRPr="00FC3034" w:rsidRDefault="007646A6" w:rsidP="007646A6">
      <w:pPr>
        <w:tabs>
          <w:tab w:val="left" w:pos="0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 xml:space="preserve">Väčšina koní reaguje na liečbu a je stabilizovaná v priemernej dávke 2 </w:t>
      </w:r>
      <w:r w:rsidR="002604F7" w:rsidRPr="007646A6">
        <w:rPr>
          <w:szCs w:val="22"/>
        </w:rPr>
        <w:t>µg</w:t>
      </w:r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pergolidu</w:t>
      </w:r>
      <w:proofErr w:type="spellEnd"/>
      <w:r w:rsidRPr="00FC3034">
        <w:rPr>
          <w:szCs w:val="22"/>
        </w:rPr>
        <w:t xml:space="preserve">/kg </w:t>
      </w:r>
      <w:r>
        <w:rPr>
          <w:szCs w:val="22"/>
        </w:rPr>
        <w:t>živej</w:t>
      </w:r>
      <w:r w:rsidRPr="00FC3034">
        <w:rPr>
          <w:szCs w:val="22"/>
        </w:rPr>
        <w:t xml:space="preserve"> hmotnosti. Klinické zlepšenie </w:t>
      </w:r>
      <w:r>
        <w:rPr>
          <w:szCs w:val="22"/>
        </w:rPr>
        <w:t xml:space="preserve">s </w:t>
      </w:r>
      <w:proofErr w:type="spellStart"/>
      <w:r w:rsidRPr="00FC3034">
        <w:rPr>
          <w:szCs w:val="22"/>
        </w:rPr>
        <w:t>pergolid</w:t>
      </w:r>
      <w:r>
        <w:rPr>
          <w:szCs w:val="22"/>
        </w:rPr>
        <w:t>om</w:t>
      </w:r>
      <w:proofErr w:type="spellEnd"/>
      <w:r w:rsidRPr="00FC3034">
        <w:rPr>
          <w:szCs w:val="22"/>
        </w:rPr>
        <w:t xml:space="preserve"> sa očakáva v priebehu 6 až 12 týždňov. Kone môžu klinicky reagovať pri nižších alebo meniacich sa dávkach; preto sa odporúča </w:t>
      </w:r>
      <w:proofErr w:type="spellStart"/>
      <w:r w:rsidRPr="00FC3034">
        <w:rPr>
          <w:szCs w:val="22"/>
        </w:rPr>
        <w:t>titrovať</w:t>
      </w:r>
      <w:proofErr w:type="spellEnd"/>
      <w:r w:rsidRPr="00FC3034">
        <w:rPr>
          <w:szCs w:val="22"/>
        </w:rPr>
        <w:t xml:space="preserve"> na najnižšiu účinnú dávku na jednotlivca na základe odpovede na liečbu, či ide o účinnosť alebo príznaky intolerancie. Niektoré kone môžu vyžadovať dávky až 10 </w:t>
      </w:r>
      <w:r w:rsidR="002604F7" w:rsidRPr="007646A6">
        <w:rPr>
          <w:szCs w:val="22"/>
        </w:rPr>
        <w:t>µg</w:t>
      </w:r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pergolidu</w:t>
      </w:r>
      <w:proofErr w:type="spellEnd"/>
      <w:r w:rsidRPr="00FC3034">
        <w:rPr>
          <w:szCs w:val="22"/>
        </w:rPr>
        <w:t xml:space="preserve">/kg </w:t>
      </w:r>
      <w:r>
        <w:rPr>
          <w:szCs w:val="22"/>
        </w:rPr>
        <w:t>živej</w:t>
      </w:r>
      <w:r w:rsidRPr="00FC3034">
        <w:rPr>
          <w:szCs w:val="22"/>
        </w:rPr>
        <w:t xml:space="preserve"> hmotnosti denne. V týchto zriedkavých situáciách sa odporúča ďalšie monitorovanie.</w:t>
      </w:r>
    </w:p>
    <w:p w14:paraId="1ABB3CFF" w14:textId="77777777" w:rsidR="007646A6" w:rsidRPr="00FC3034" w:rsidRDefault="007646A6" w:rsidP="007646A6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1C1FC2C7" w14:textId="77777777" w:rsidR="007646A6" w:rsidRPr="00FC3034" w:rsidRDefault="007646A6" w:rsidP="007646A6">
      <w:pPr>
        <w:tabs>
          <w:tab w:val="left" w:pos="0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Po počiatočnej diagnóze opakujte endokrinologické testovanie na titráciu dávky a monitorovanie liečby v intervaloch 4 až 6 týždňov, kým sa neuskutoční stabilizácia alebo zlepšenie klinických príznakov a/alebo diagnostického testovania.</w:t>
      </w:r>
    </w:p>
    <w:p w14:paraId="0980125B" w14:textId="77777777" w:rsidR="007646A6" w:rsidRPr="00FC3034" w:rsidRDefault="007646A6" w:rsidP="007646A6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114CDA2B" w14:textId="16F1290A" w:rsidR="007646A6" w:rsidRPr="00FC3034" w:rsidRDefault="007646A6" w:rsidP="007646A6">
      <w:pPr>
        <w:tabs>
          <w:tab w:val="left" w:pos="0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Ak sa klinické príznaky alebo diagnostické test</w:t>
      </w:r>
      <w:r>
        <w:rPr>
          <w:szCs w:val="22"/>
        </w:rPr>
        <w:t>ovanie</w:t>
      </w:r>
      <w:r w:rsidRPr="00FC3034">
        <w:rPr>
          <w:szCs w:val="22"/>
        </w:rPr>
        <w:t xml:space="preserve"> ešte nezlepšili v prvých 4 až 6 týždňoch, celková denná dávka sa môže zvýšiť o </w:t>
      </w:r>
      <w:r w:rsidR="0096450C">
        <w:rPr>
          <w:szCs w:val="22"/>
        </w:rPr>
        <w:t>0,25 - 0,5</w:t>
      </w:r>
      <w:r w:rsidRPr="00FC3034">
        <w:rPr>
          <w:szCs w:val="22"/>
        </w:rPr>
        <w:t xml:space="preserve">0 mg. V prípade, že sa klinické príznaky zlepšili, ale ešte nie sú normalizované, veterinárny lekár sa môže rozhodnúť </w:t>
      </w:r>
      <w:proofErr w:type="spellStart"/>
      <w:r w:rsidRPr="00FC3034">
        <w:rPr>
          <w:szCs w:val="22"/>
        </w:rPr>
        <w:t>titrovať</w:t>
      </w:r>
      <w:proofErr w:type="spellEnd"/>
      <w:r w:rsidRPr="00FC3034">
        <w:rPr>
          <w:szCs w:val="22"/>
        </w:rPr>
        <w:t xml:space="preserve"> alebo </w:t>
      </w:r>
      <w:proofErr w:type="spellStart"/>
      <w:r w:rsidRPr="00FC3034">
        <w:rPr>
          <w:szCs w:val="22"/>
        </w:rPr>
        <w:t>n</w:t>
      </w:r>
      <w:r>
        <w:rPr>
          <w:szCs w:val="22"/>
        </w:rPr>
        <w:t>e</w:t>
      </w:r>
      <w:r w:rsidRPr="00FC3034">
        <w:rPr>
          <w:szCs w:val="22"/>
        </w:rPr>
        <w:t>titrovať</w:t>
      </w:r>
      <w:proofErr w:type="spellEnd"/>
      <w:r w:rsidRPr="00FC3034">
        <w:rPr>
          <w:szCs w:val="22"/>
        </w:rPr>
        <w:t xml:space="preserve"> dávku, berúc do úvahy individuálnu odpoveď / toleranciu na dávku.</w:t>
      </w:r>
    </w:p>
    <w:p w14:paraId="4C5A646F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CBD4BC" w14:textId="317ADDED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lastRenderedPageBreak/>
        <w:t xml:space="preserve">V prípade, že klinické príznaky nie sú adekvátne kontrolované (klinické hodnotenie a/alebo diagnostické testovanie), odporúča sa zvyšovať celkovú dennú dávku o </w:t>
      </w:r>
      <w:r w:rsidR="0096450C">
        <w:rPr>
          <w:szCs w:val="22"/>
        </w:rPr>
        <w:t>0,25 - 0,50</w:t>
      </w:r>
      <w:r w:rsidRPr="00FC3034">
        <w:rPr>
          <w:szCs w:val="22"/>
        </w:rPr>
        <w:t xml:space="preserve"> mg po krokoch (ak je liek pri tejto dávke tolerovaný) každých 4 až 6 týždňov, kým sa nedosiahne stabilizácia.</w:t>
      </w:r>
    </w:p>
    <w:p w14:paraId="20AD050B" w14:textId="1A67DFEA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 xml:space="preserve">Ak sa vyvinú príznaky neznášanlivosti dávky, liečba sa má ukončiť na 2 až 3 dni a obnoviť na polovicu predchádzajúcej dávky. Celková denná dávka sa potom môže </w:t>
      </w:r>
      <w:proofErr w:type="spellStart"/>
      <w:r w:rsidRPr="00FC3034">
        <w:rPr>
          <w:szCs w:val="22"/>
        </w:rPr>
        <w:t>titrovať</w:t>
      </w:r>
      <w:proofErr w:type="spellEnd"/>
      <w:r w:rsidRPr="00FC3034">
        <w:rPr>
          <w:szCs w:val="22"/>
        </w:rPr>
        <w:t xml:space="preserve"> späť na požadovaný klinický účinok po prírastkoch </w:t>
      </w:r>
      <w:r w:rsidR="0096450C">
        <w:rPr>
          <w:szCs w:val="22"/>
        </w:rPr>
        <w:t>0,25 - 0,50</w:t>
      </w:r>
      <w:r w:rsidRPr="00FC3034">
        <w:rPr>
          <w:szCs w:val="22"/>
        </w:rPr>
        <w:t xml:space="preserve"> mg každé 2 až 4 týždne. Ak sa vynechá dávka, nasledujúca predpísaná dávka sa má podať podľa predpisu.</w:t>
      </w:r>
    </w:p>
    <w:p w14:paraId="28A73B2F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0D787F" w14:textId="40DF09DB" w:rsidR="007646A6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 xml:space="preserve">Po stabilizácii sa má každých 6 mesiacov vykonávať pravidelné klinické hodnotenie a diagnostické testovanie na monitorovanie liečby a dávky. </w:t>
      </w:r>
      <w:r w:rsidRPr="007646A6">
        <w:rPr>
          <w:szCs w:val="22"/>
        </w:rPr>
        <w:t xml:space="preserve">Tam, kde nie je zjavná odpoveď na liečbu, by sa mala diagnóza alebo liečebný </w:t>
      </w:r>
      <w:proofErr w:type="spellStart"/>
      <w:r w:rsidRPr="007646A6">
        <w:rPr>
          <w:szCs w:val="22"/>
        </w:rPr>
        <w:t>plánprehodnotiť</w:t>
      </w:r>
      <w:proofErr w:type="spellEnd"/>
      <w:r w:rsidRPr="007646A6">
        <w:rPr>
          <w:szCs w:val="22"/>
        </w:rPr>
        <w:t>.</w:t>
      </w:r>
    </w:p>
    <w:p w14:paraId="4789E1C9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D4752E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FC3034">
        <w:rPr>
          <w:szCs w:val="22"/>
        </w:rPr>
        <w:t>Tablety možno rozdeliť na 2 alebo 4 rovnaké časti, aby sa zabezpečilo presné dávkovanie. Tabletu umiestnite na rovný povrch s ryhovanou stranou smerom nahor a konvexnou (zaoblenou) stranou smerom k povrchu</w:t>
      </w:r>
      <w:r w:rsidRPr="00FC3034">
        <w:rPr>
          <w:noProof/>
          <w:szCs w:val="22"/>
        </w:rPr>
        <w:t>.</w:t>
      </w:r>
    </w:p>
    <w:p w14:paraId="3CA045C5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6BA16B28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FC3034">
        <w:rPr>
          <w:noProof/>
          <w:lang w:eastAsia="sk-SK"/>
        </w:rPr>
        <w:drawing>
          <wp:inline distT="0" distB="0" distL="0" distR="0" wp14:anchorId="131719D7" wp14:editId="7846F796">
            <wp:extent cx="2466975" cy="2028825"/>
            <wp:effectExtent l="0" t="0" r="9525" b="9525"/>
            <wp:docPr id="1" name="Afbeelding 1" descr="cid:image002.jpg@01D46478.DD2A5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2.jpg@01D46478.DD2A586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3034">
        <w:rPr>
          <w:noProof/>
          <w:szCs w:val="22"/>
        </w:rPr>
        <w:t xml:space="preserve"> </w:t>
      </w:r>
    </w:p>
    <w:p w14:paraId="2A98E082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</w:p>
    <w:p w14:paraId="45E9A22F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noProof/>
          <w:szCs w:val="22"/>
        </w:rPr>
      </w:pPr>
      <w:r w:rsidRPr="00FC3034">
        <w:rPr>
          <w:noProof/>
          <w:szCs w:val="22"/>
        </w:rPr>
        <w:t>2 rovnaké časti: stlačte palce po oboch stranách tablety.</w:t>
      </w:r>
    </w:p>
    <w:p w14:paraId="246007C7" w14:textId="168B67F9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noProof/>
          <w:szCs w:val="22"/>
        </w:rPr>
        <w:t>4 rovnaké časti: zatlačte palcom do stredu tablety.</w:t>
      </w:r>
    </w:p>
    <w:p w14:paraId="6461D8F7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F8" w14:textId="77777777" w:rsidR="00C114FF" w:rsidRPr="001E1F22" w:rsidRDefault="00090299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6461D8F9" w14:textId="5D582EE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4F248" w14:textId="77777777" w:rsidR="007646A6" w:rsidRPr="00FC3034" w:rsidRDefault="007646A6" w:rsidP="007646A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Nie sú dostupné žiadne informácie.</w:t>
      </w:r>
    </w:p>
    <w:p w14:paraId="1B0B60E8" w14:textId="77777777" w:rsidR="007646A6" w:rsidRPr="001E1F22" w:rsidRDefault="007646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8FA" w14:textId="77777777" w:rsidR="009A6509" w:rsidRPr="001E1F22" w:rsidRDefault="00090299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6461D8FB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04" w14:textId="2A2AD9BA" w:rsidR="009A6509" w:rsidRPr="001E1F22" w:rsidRDefault="00090299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461D905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461D906" w14:textId="77777777" w:rsidR="00C114FF" w:rsidRPr="001E1F22" w:rsidRDefault="00090299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461D90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F5CC82" w14:textId="77777777" w:rsidR="007646A6" w:rsidRPr="00FC3034" w:rsidRDefault="007646A6" w:rsidP="007646A6">
      <w:pPr>
        <w:jc w:val="both"/>
        <w:rPr>
          <w:szCs w:val="22"/>
        </w:rPr>
      </w:pPr>
      <w:r w:rsidRPr="00FC3034">
        <w:rPr>
          <w:szCs w:val="22"/>
        </w:rPr>
        <w:t>Nie je povolené používať u koní určených na ľudskú spotrebu.</w:t>
      </w:r>
    </w:p>
    <w:p w14:paraId="4B22AC16" w14:textId="77777777" w:rsidR="007646A6" w:rsidRPr="00FC3034" w:rsidRDefault="007646A6" w:rsidP="007646A6">
      <w:pPr>
        <w:jc w:val="both"/>
        <w:rPr>
          <w:szCs w:val="22"/>
        </w:rPr>
      </w:pPr>
      <w:r w:rsidRPr="00FC3034">
        <w:rPr>
          <w:szCs w:val="22"/>
        </w:rPr>
        <w:t>Kôň musí byť podľa vnútroštátnych právnych predpisov o cestovných pasoch pre kone vyhlásený za nevyhovujúc</w:t>
      </w:r>
      <w:r>
        <w:rPr>
          <w:szCs w:val="22"/>
        </w:rPr>
        <w:t>eho</w:t>
      </w:r>
      <w:r w:rsidRPr="00FC3034">
        <w:rPr>
          <w:szCs w:val="22"/>
        </w:rPr>
        <w:t xml:space="preserve"> na ľudskú spotrebu.</w:t>
      </w:r>
    </w:p>
    <w:p w14:paraId="0C309253" w14:textId="77777777" w:rsidR="007646A6" w:rsidRPr="00FC3034" w:rsidRDefault="007646A6" w:rsidP="007646A6">
      <w:pPr>
        <w:jc w:val="both"/>
        <w:rPr>
          <w:szCs w:val="22"/>
        </w:rPr>
      </w:pPr>
      <w:r w:rsidRPr="00FC3034">
        <w:rPr>
          <w:szCs w:val="22"/>
        </w:rPr>
        <w:t>Nie je povolené používať u kobýl produkujúcich mlieko na ľudskú spotrebu.</w:t>
      </w:r>
    </w:p>
    <w:p w14:paraId="6461D912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13" w14:textId="4DDF45D7" w:rsidR="00C114FF" w:rsidRPr="001E1F22" w:rsidRDefault="00090299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6461D914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7B0F61" w14:textId="26084821" w:rsidR="007646A6" w:rsidRPr="00491791" w:rsidRDefault="00090299" w:rsidP="00491791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FB1268">
        <w:t xml:space="preserve"> </w:t>
      </w:r>
      <w:r w:rsidR="007646A6" w:rsidRPr="00491791">
        <w:rPr>
          <w:b w:val="0"/>
        </w:rPr>
        <w:t>QN04BC02</w:t>
      </w:r>
    </w:p>
    <w:p w14:paraId="40BF3BA8" w14:textId="77777777" w:rsidR="007646A6" w:rsidRPr="001E1F22" w:rsidRDefault="007646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18" w14:textId="601F4D37" w:rsidR="00C114FF" w:rsidRDefault="00090299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2C759D">
        <w:t>ka</w:t>
      </w:r>
      <w:proofErr w:type="spellEnd"/>
    </w:p>
    <w:p w14:paraId="2BE22D72" w14:textId="77777777" w:rsidR="00FB1268" w:rsidRPr="001E1F22" w:rsidRDefault="00FB1268" w:rsidP="00B13B6D">
      <w:pPr>
        <w:pStyle w:val="Style1"/>
      </w:pPr>
    </w:p>
    <w:p w14:paraId="7F0936FD" w14:textId="77777777" w:rsidR="007646A6" w:rsidRPr="00FC3034" w:rsidRDefault="007646A6" w:rsidP="007646A6">
      <w:pPr>
        <w:tabs>
          <w:tab w:val="clear" w:pos="567"/>
        </w:tabs>
        <w:spacing w:line="255" w:lineRule="atLeast"/>
        <w:jc w:val="both"/>
        <w:rPr>
          <w:szCs w:val="22"/>
        </w:rPr>
      </w:pPr>
      <w:proofErr w:type="spellStart"/>
      <w:r w:rsidRPr="00FC3034">
        <w:rPr>
          <w:szCs w:val="22"/>
        </w:rPr>
        <w:lastRenderedPageBreak/>
        <w:t>Pergolid</w:t>
      </w:r>
      <w:proofErr w:type="spellEnd"/>
      <w:r w:rsidRPr="00FC3034">
        <w:rPr>
          <w:szCs w:val="22"/>
        </w:rPr>
        <w:t xml:space="preserve"> je syntetický derivát námeľa a je silným dlhodobo pôsobiacim </w:t>
      </w:r>
      <w:proofErr w:type="spellStart"/>
      <w:r w:rsidRPr="00FC3034">
        <w:rPr>
          <w:szCs w:val="22"/>
        </w:rPr>
        <w:t>agonistom</w:t>
      </w:r>
      <w:proofErr w:type="spellEnd"/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dopamínového</w:t>
      </w:r>
      <w:proofErr w:type="spellEnd"/>
      <w:r w:rsidRPr="00FC3034">
        <w:rPr>
          <w:szCs w:val="22"/>
        </w:rPr>
        <w:t xml:space="preserve"> receptora. Farmakologické štúdie in </w:t>
      </w:r>
      <w:proofErr w:type="spellStart"/>
      <w:r w:rsidRPr="00FC3034">
        <w:rPr>
          <w:szCs w:val="22"/>
        </w:rPr>
        <w:t>vitro</w:t>
      </w:r>
      <w:proofErr w:type="spellEnd"/>
      <w:r w:rsidRPr="00FC3034">
        <w:rPr>
          <w:szCs w:val="22"/>
        </w:rPr>
        <w:t xml:space="preserve"> aj in </w:t>
      </w:r>
      <w:proofErr w:type="spellStart"/>
      <w:r w:rsidRPr="00FC3034">
        <w:rPr>
          <w:szCs w:val="22"/>
        </w:rPr>
        <w:t>vivo</w:t>
      </w:r>
      <w:proofErr w:type="spellEnd"/>
      <w:r w:rsidRPr="00FC3034">
        <w:rPr>
          <w:szCs w:val="22"/>
        </w:rPr>
        <w:t xml:space="preserve"> preukázali aktivitu </w:t>
      </w:r>
      <w:proofErr w:type="spellStart"/>
      <w:r w:rsidRPr="00FC3034">
        <w:rPr>
          <w:szCs w:val="22"/>
        </w:rPr>
        <w:t>pergolidu</w:t>
      </w:r>
      <w:proofErr w:type="spellEnd"/>
      <w:r w:rsidRPr="00FC3034">
        <w:rPr>
          <w:szCs w:val="22"/>
        </w:rPr>
        <w:t xml:space="preserve"> ako selektívneho </w:t>
      </w:r>
      <w:proofErr w:type="spellStart"/>
      <w:r w:rsidRPr="00FC3034">
        <w:rPr>
          <w:szCs w:val="22"/>
        </w:rPr>
        <w:t>dopamínového</w:t>
      </w:r>
      <w:proofErr w:type="spellEnd"/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agonistu</w:t>
      </w:r>
      <w:proofErr w:type="spellEnd"/>
      <w:r w:rsidRPr="00FC3034">
        <w:rPr>
          <w:szCs w:val="22"/>
        </w:rPr>
        <w:t xml:space="preserve"> s malým alebo žiadnym účinkom na cesty </w:t>
      </w:r>
      <w:proofErr w:type="spellStart"/>
      <w:r w:rsidRPr="00FC3034">
        <w:rPr>
          <w:szCs w:val="22"/>
        </w:rPr>
        <w:t>norepinefrínu</w:t>
      </w:r>
      <w:proofErr w:type="spellEnd"/>
      <w:r w:rsidRPr="00FC3034">
        <w:rPr>
          <w:szCs w:val="22"/>
        </w:rPr>
        <w:t xml:space="preserve">, </w:t>
      </w:r>
      <w:proofErr w:type="spellStart"/>
      <w:r w:rsidRPr="00FC3034">
        <w:rPr>
          <w:szCs w:val="22"/>
        </w:rPr>
        <w:t>epinefrínu</w:t>
      </w:r>
      <w:proofErr w:type="spellEnd"/>
      <w:r w:rsidRPr="00FC3034">
        <w:rPr>
          <w:szCs w:val="22"/>
        </w:rPr>
        <w:t xml:space="preserve"> alebo </w:t>
      </w:r>
      <w:proofErr w:type="spellStart"/>
      <w:r w:rsidRPr="00FC3034">
        <w:rPr>
          <w:szCs w:val="22"/>
        </w:rPr>
        <w:t>serotonínu</w:t>
      </w:r>
      <w:proofErr w:type="spellEnd"/>
      <w:r w:rsidRPr="00FC3034">
        <w:rPr>
          <w:szCs w:val="22"/>
        </w:rPr>
        <w:t xml:space="preserve"> pri terapeutických dávkach. Tak ako u iných </w:t>
      </w:r>
      <w:proofErr w:type="spellStart"/>
      <w:r w:rsidRPr="00FC3034">
        <w:rPr>
          <w:szCs w:val="22"/>
        </w:rPr>
        <w:t>agonistov</w:t>
      </w:r>
      <w:proofErr w:type="spellEnd"/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dopamínu</w:t>
      </w:r>
      <w:proofErr w:type="spellEnd"/>
      <w:r w:rsidRPr="00FC3034">
        <w:rPr>
          <w:szCs w:val="22"/>
        </w:rPr>
        <w:t xml:space="preserve">, aj </w:t>
      </w:r>
      <w:proofErr w:type="spellStart"/>
      <w:r w:rsidRPr="00FC3034">
        <w:rPr>
          <w:szCs w:val="22"/>
        </w:rPr>
        <w:t>pergolid</w:t>
      </w:r>
      <w:proofErr w:type="spellEnd"/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inhibuje</w:t>
      </w:r>
      <w:proofErr w:type="spellEnd"/>
      <w:r w:rsidRPr="00FC3034">
        <w:rPr>
          <w:szCs w:val="22"/>
        </w:rPr>
        <w:t xml:space="preserve"> uvoľňovanie </w:t>
      </w:r>
      <w:proofErr w:type="spellStart"/>
      <w:r w:rsidRPr="00FC3034">
        <w:rPr>
          <w:szCs w:val="22"/>
        </w:rPr>
        <w:t>prolaktínu</w:t>
      </w:r>
      <w:proofErr w:type="spellEnd"/>
      <w:r w:rsidRPr="00FC3034">
        <w:rPr>
          <w:szCs w:val="22"/>
        </w:rPr>
        <w:t xml:space="preserve">. U koní s dysfunkciou </w:t>
      </w:r>
      <w:r>
        <w:rPr>
          <w:szCs w:val="22"/>
        </w:rPr>
        <w:t>stredovej časti</w:t>
      </w:r>
      <w:r w:rsidRPr="00FC3034">
        <w:rPr>
          <w:szCs w:val="22"/>
        </w:rPr>
        <w:t xml:space="preserve"> hypofýzy (PPID) </w:t>
      </w:r>
      <w:proofErr w:type="spellStart"/>
      <w:r w:rsidRPr="00FC3034">
        <w:rPr>
          <w:szCs w:val="22"/>
        </w:rPr>
        <w:t>pergolid</w:t>
      </w:r>
      <w:proofErr w:type="spellEnd"/>
      <w:r w:rsidRPr="00FC3034">
        <w:rPr>
          <w:szCs w:val="22"/>
        </w:rPr>
        <w:t xml:space="preserve"> vyvoláva terapeutický účinok stimuláciou </w:t>
      </w:r>
      <w:proofErr w:type="spellStart"/>
      <w:r w:rsidRPr="00FC3034">
        <w:rPr>
          <w:szCs w:val="22"/>
        </w:rPr>
        <w:t>dopamínových</w:t>
      </w:r>
      <w:proofErr w:type="spellEnd"/>
      <w:r w:rsidRPr="00FC3034">
        <w:rPr>
          <w:szCs w:val="22"/>
        </w:rPr>
        <w:t xml:space="preserve"> receptorov. Okrem toho sa u koní s PPID preukázalo, že </w:t>
      </w:r>
      <w:proofErr w:type="spellStart"/>
      <w:r w:rsidRPr="00FC3034">
        <w:rPr>
          <w:szCs w:val="22"/>
        </w:rPr>
        <w:t>pergolid</w:t>
      </w:r>
      <w:proofErr w:type="spellEnd"/>
      <w:r w:rsidRPr="00FC3034">
        <w:rPr>
          <w:szCs w:val="22"/>
        </w:rPr>
        <w:t xml:space="preserve"> znižuje plazmatické hladiny ACTH, MSH a iných </w:t>
      </w:r>
      <w:proofErr w:type="spellStart"/>
      <w:r w:rsidRPr="00FC3034">
        <w:rPr>
          <w:szCs w:val="22"/>
        </w:rPr>
        <w:t>proopiomelanokortínových</w:t>
      </w:r>
      <w:proofErr w:type="spellEnd"/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peptidov</w:t>
      </w:r>
      <w:proofErr w:type="spellEnd"/>
      <w:r w:rsidRPr="00FC3034">
        <w:rPr>
          <w:szCs w:val="22"/>
        </w:rPr>
        <w:t>.</w:t>
      </w:r>
    </w:p>
    <w:p w14:paraId="6461D91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1A" w14:textId="052E2BA5" w:rsidR="00C114FF" w:rsidRPr="001E1F22" w:rsidRDefault="00090299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2C759D">
        <w:t>ka</w:t>
      </w:r>
      <w:proofErr w:type="spellEnd"/>
    </w:p>
    <w:p w14:paraId="6461D91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5671D" w14:textId="77777777" w:rsidR="007646A6" w:rsidRPr="00FC3034" w:rsidRDefault="007646A6" w:rsidP="007646A6">
      <w:pPr>
        <w:jc w:val="both"/>
      </w:pPr>
      <w:proofErr w:type="spellStart"/>
      <w:r w:rsidRPr="00FC3034">
        <w:t>Farmakokinetické</w:t>
      </w:r>
      <w:proofErr w:type="spellEnd"/>
      <w:r w:rsidRPr="00FC3034">
        <w:t xml:space="preserve"> informácie u koňa sú dostupné pre perorálne dávky 2, 4 a 10 </w:t>
      </w:r>
      <w:proofErr w:type="spellStart"/>
      <w:r w:rsidRPr="00FC3034">
        <w:t>μg</w:t>
      </w:r>
      <w:proofErr w:type="spellEnd"/>
      <w:r w:rsidRPr="00FC3034">
        <w:t xml:space="preserve"> </w:t>
      </w:r>
      <w:proofErr w:type="spellStart"/>
      <w:r w:rsidRPr="00FC3034">
        <w:t>pergolidu</w:t>
      </w:r>
      <w:proofErr w:type="spellEnd"/>
      <w:r w:rsidRPr="00FC3034">
        <w:t xml:space="preserve"> / kg </w:t>
      </w:r>
      <w:r>
        <w:t>živej</w:t>
      </w:r>
      <w:r w:rsidRPr="00FC3034">
        <w:t xml:space="preserve"> hmotnosti. Bolo preukázané, že </w:t>
      </w:r>
      <w:proofErr w:type="spellStart"/>
      <w:r w:rsidRPr="00FC3034">
        <w:t>pergolid</w:t>
      </w:r>
      <w:proofErr w:type="spellEnd"/>
      <w:r w:rsidRPr="00FC3034">
        <w:t xml:space="preserve"> sa rýchlo absorbuje </w:t>
      </w:r>
      <w:r>
        <w:t>a v</w:t>
      </w:r>
      <w:r w:rsidRPr="00FC3034">
        <w:t xml:space="preserve"> krátko</w:t>
      </w:r>
      <w:r>
        <w:t>m</w:t>
      </w:r>
      <w:r w:rsidRPr="00FC3034">
        <w:t xml:space="preserve"> </w:t>
      </w:r>
      <w:r>
        <w:t>čase dosahuje</w:t>
      </w:r>
      <w:r w:rsidRPr="00FC3034">
        <w:t xml:space="preserve"> maximáln</w:t>
      </w:r>
      <w:r>
        <w:t>u</w:t>
      </w:r>
      <w:r w:rsidRPr="00FC3034">
        <w:t xml:space="preserve"> koncentráci</w:t>
      </w:r>
      <w:r>
        <w:t>u</w:t>
      </w:r>
      <w:r w:rsidRPr="00FC3034">
        <w:t>.</w:t>
      </w:r>
    </w:p>
    <w:p w14:paraId="0FA196EF" w14:textId="77777777" w:rsidR="007646A6" w:rsidRPr="00FC3034" w:rsidRDefault="007646A6" w:rsidP="007646A6">
      <w:pPr>
        <w:jc w:val="both"/>
      </w:pPr>
    </w:p>
    <w:p w14:paraId="452808AB" w14:textId="77777777" w:rsidR="007646A6" w:rsidRPr="00FC3034" w:rsidRDefault="007646A6" w:rsidP="007646A6">
      <w:pPr>
        <w:jc w:val="both"/>
      </w:pPr>
      <w:r w:rsidRPr="00FC3034">
        <w:t>Maximálne koncentrácie (</w:t>
      </w:r>
      <w:proofErr w:type="spellStart"/>
      <w:r w:rsidRPr="00FC3034">
        <w:t>Cmax</w:t>
      </w:r>
      <w:proofErr w:type="spellEnd"/>
      <w:r w:rsidRPr="00FC3034">
        <w:t xml:space="preserve">) po dávke 10 </w:t>
      </w:r>
      <w:proofErr w:type="spellStart"/>
      <w:r w:rsidRPr="00FC3034">
        <w:t>μg</w:t>
      </w:r>
      <w:proofErr w:type="spellEnd"/>
      <w:r w:rsidRPr="00FC3034">
        <w:t xml:space="preserve"> / kg boli nízke a premenlivé s priemerom ~ 4 </w:t>
      </w:r>
      <w:proofErr w:type="spellStart"/>
      <w:r w:rsidRPr="00FC3034">
        <w:t>ng</w:t>
      </w:r>
      <w:proofErr w:type="spellEnd"/>
      <w:r w:rsidRPr="00FC3034">
        <w:t>/ml a priemerným polčasom</w:t>
      </w:r>
      <w:r>
        <w:t xml:space="preserve"> rozpadu</w:t>
      </w:r>
      <w:r w:rsidRPr="00FC3034">
        <w:t xml:space="preserve"> (T ½) ~ 6 hodín. Medián času maximálnej koncentrácie (</w:t>
      </w:r>
      <w:proofErr w:type="spellStart"/>
      <w:r w:rsidRPr="00FC3034">
        <w:t>Tmax</w:t>
      </w:r>
      <w:proofErr w:type="spellEnd"/>
      <w:r w:rsidRPr="00FC3034">
        <w:t xml:space="preserve">) bol ~ 0,4 hodiny a plocha pod krivkou (AUC) bola ~ 14 </w:t>
      </w:r>
      <w:proofErr w:type="spellStart"/>
      <w:r w:rsidRPr="00FC3034">
        <w:t>ng</w:t>
      </w:r>
      <w:proofErr w:type="spellEnd"/>
      <w:r w:rsidRPr="00FC3034">
        <w:t xml:space="preserve"> x hodín/ml.</w:t>
      </w:r>
    </w:p>
    <w:p w14:paraId="2BE16AA7" w14:textId="77777777" w:rsidR="007646A6" w:rsidRPr="00FC3034" w:rsidRDefault="007646A6" w:rsidP="007646A6">
      <w:pPr>
        <w:jc w:val="both"/>
      </w:pPr>
    </w:p>
    <w:p w14:paraId="01C55D0B" w14:textId="77777777" w:rsidR="007646A6" w:rsidRDefault="007646A6" w:rsidP="007646A6">
      <w:pPr>
        <w:jc w:val="both"/>
      </w:pPr>
      <w:r w:rsidRPr="00FC3034">
        <w:t xml:space="preserve">V citlivejšom analytickom teste boli plazmatické koncentrácie po dávke 2 </w:t>
      </w:r>
      <w:proofErr w:type="spellStart"/>
      <w:r w:rsidRPr="00FC3034">
        <w:t>μg</w:t>
      </w:r>
      <w:proofErr w:type="spellEnd"/>
      <w:r w:rsidRPr="00FC3034">
        <w:t xml:space="preserve"> </w:t>
      </w:r>
      <w:proofErr w:type="spellStart"/>
      <w:r w:rsidRPr="00FC3034">
        <w:t>pergolidu</w:t>
      </w:r>
      <w:proofErr w:type="spellEnd"/>
      <w:r w:rsidRPr="00FC3034">
        <w:t xml:space="preserve">/kg veľmi nízke a premenlivé s maximálnymi koncentráciami od 0,138 do 0,551 </w:t>
      </w:r>
      <w:proofErr w:type="spellStart"/>
      <w:r w:rsidRPr="00FC3034">
        <w:t>ng</w:t>
      </w:r>
      <w:proofErr w:type="spellEnd"/>
      <w:r w:rsidRPr="00FC3034">
        <w:t xml:space="preserve">/ml. </w:t>
      </w:r>
      <w:r>
        <w:t xml:space="preserve">Maximálne </w:t>
      </w:r>
      <w:r w:rsidRPr="00FC3034">
        <w:t xml:space="preserve"> koncentrácie </w:t>
      </w:r>
      <w:r>
        <w:t>boli pozorované</w:t>
      </w:r>
      <w:r w:rsidRPr="00FC3034">
        <w:t xml:space="preserve"> </w:t>
      </w:r>
      <w:r>
        <w:t>o</w:t>
      </w:r>
      <w:r w:rsidRPr="00FC3034">
        <w:t xml:space="preserve"> 1,25 ± 0,5 hodiny (</w:t>
      </w:r>
      <w:proofErr w:type="spellStart"/>
      <w:r w:rsidRPr="00FC3034">
        <w:t>Tmax</w:t>
      </w:r>
      <w:proofErr w:type="spellEnd"/>
      <w:r w:rsidRPr="00FC3034">
        <w:t xml:space="preserve">). Plazmatické koncentrácie u väčšiny koní boli </w:t>
      </w:r>
      <w:r>
        <w:t>merateľné</w:t>
      </w:r>
      <w:r w:rsidRPr="00FC3034">
        <w:t xml:space="preserve"> iba 6 hodín po dávke. Jeden kôň však mal merateľné koncentrácie počas 24 hodín. </w:t>
      </w:r>
    </w:p>
    <w:p w14:paraId="0B8F1058" w14:textId="77777777" w:rsidR="007646A6" w:rsidRPr="00FC3034" w:rsidRDefault="007646A6" w:rsidP="007646A6">
      <w:pPr>
        <w:jc w:val="both"/>
      </w:pPr>
      <w:r>
        <w:t>P</w:t>
      </w:r>
      <w:r w:rsidRPr="00DA317C">
        <w:t xml:space="preserve">olčasy </w:t>
      </w:r>
      <w:r>
        <w:t xml:space="preserve">rozpadu </w:t>
      </w:r>
      <w:r w:rsidRPr="00DA317C">
        <w:t>neboli vypočítané, pretože u väčšiny koní došlo k neúplnému objasneniu krivky závislosti plazmatickej koncentrácie od času</w:t>
      </w:r>
      <w:r>
        <w:t>.</w:t>
      </w:r>
    </w:p>
    <w:p w14:paraId="0A72ACEF" w14:textId="77777777" w:rsidR="007646A6" w:rsidRPr="00FC3034" w:rsidRDefault="007646A6" w:rsidP="007646A6">
      <w:pPr>
        <w:jc w:val="both"/>
      </w:pPr>
    </w:p>
    <w:p w14:paraId="6C60F054" w14:textId="19B01D1F" w:rsidR="007646A6" w:rsidRPr="00FC3034" w:rsidRDefault="007646A6" w:rsidP="007646A6">
      <w:pPr>
        <w:jc w:val="both"/>
      </w:pPr>
      <w:r w:rsidRPr="00FC3034">
        <w:t>Maximálne koncentrácie (</w:t>
      </w:r>
      <w:proofErr w:type="spellStart"/>
      <w:r w:rsidRPr="00FC3034">
        <w:t>Cmax</w:t>
      </w:r>
      <w:proofErr w:type="spellEnd"/>
      <w:r w:rsidRPr="00FC3034">
        <w:t xml:space="preserve">) po dávke 4 </w:t>
      </w:r>
      <w:proofErr w:type="spellStart"/>
      <w:r w:rsidRPr="00FC3034">
        <w:t>ug</w:t>
      </w:r>
      <w:proofErr w:type="spellEnd"/>
      <w:r w:rsidRPr="00FC3034">
        <w:t xml:space="preserve"> / kg boli nízke a variabilné s rozsahom od 0,</w:t>
      </w:r>
      <w:r>
        <w:t>4</w:t>
      </w:r>
      <w:r w:rsidRPr="00FC3034">
        <w:t xml:space="preserve"> do </w:t>
      </w:r>
      <w:r>
        <w:t>4,2</w:t>
      </w:r>
      <w:r w:rsidRPr="00FC3034">
        <w:t xml:space="preserve"> </w:t>
      </w:r>
      <w:proofErr w:type="spellStart"/>
      <w:r w:rsidRPr="00FC3034">
        <w:t>ng</w:t>
      </w:r>
      <w:proofErr w:type="spellEnd"/>
      <w:r w:rsidRPr="00FC3034">
        <w:t>/ml s priemerom ~ 1,</w:t>
      </w:r>
      <w:r>
        <w:t>8</w:t>
      </w:r>
      <w:r w:rsidRPr="00FC3034">
        <w:t xml:space="preserve"> </w:t>
      </w:r>
      <w:proofErr w:type="spellStart"/>
      <w:r w:rsidRPr="00FC3034">
        <w:t>ng</w:t>
      </w:r>
      <w:proofErr w:type="spellEnd"/>
      <w:r w:rsidRPr="00FC3034">
        <w:t>/ml a priemerný polčas</w:t>
      </w:r>
      <w:r>
        <w:t xml:space="preserve"> rozpadu</w:t>
      </w:r>
      <w:r w:rsidRPr="00FC3034">
        <w:t xml:space="preserve"> (T½)</w:t>
      </w:r>
      <w:r w:rsidR="00E042BF">
        <w:t xml:space="preserve"> </w:t>
      </w:r>
      <w:r w:rsidR="00E042BF" w:rsidRPr="00FC3034">
        <w:t>~</w:t>
      </w:r>
      <w:r w:rsidRPr="00FC3034">
        <w:t xml:space="preserve"> </w:t>
      </w:r>
      <w:r>
        <w:t>5</w:t>
      </w:r>
      <w:r w:rsidRPr="00FC3034">
        <w:t xml:space="preserve"> hodín. Stredná doba maximálnej koncentrácie (</w:t>
      </w:r>
      <w:proofErr w:type="spellStart"/>
      <w:r w:rsidRPr="00FC3034">
        <w:t>Tmax</w:t>
      </w:r>
      <w:proofErr w:type="spellEnd"/>
      <w:r w:rsidRPr="00FC3034">
        <w:t xml:space="preserve">) bola ~ 0,6 hodiny a AUC ~ </w:t>
      </w:r>
      <w:r>
        <w:t>3,</w:t>
      </w:r>
      <w:r w:rsidRPr="00FC3034">
        <w:t xml:space="preserve">4 </w:t>
      </w:r>
      <w:proofErr w:type="spellStart"/>
      <w:r w:rsidRPr="00FC3034">
        <w:t>ng</w:t>
      </w:r>
      <w:proofErr w:type="spellEnd"/>
      <w:r w:rsidRPr="00FC3034">
        <w:t xml:space="preserve"> x h/ml.</w:t>
      </w:r>
    </w:p>
    <w:p w14:paraId="5DF0BB35" w14:textId="77777777" w:rsidR="007646A6" w:rsidRPr="00FC3034" w:rsidRDefault="007646A6" w:rsidP="007646A6">
      <w:pPr>
        <w:jc w:val="both"/>
      </w:pPr>
    </w:p>
    <w:p w14:paraId="774ABA64" w14:textId="77777777" w:rsidR="007646A6" w:rsidRPr="004168CB" w:rsidRDefault="007646A6" w:rsidP="007646A6">
      <w:pPr>
        <w:jc w:val="both"/>
      </w:pPr>
      <w:proofErr w:type="spellStart"/>
      <w:r>
        <w:t>Pergolid</w:t>
      </w:r>
      <w:proofErr w:type="spellEnd"/>
      <w:r>
        <w:t xml:space="preserve"> </w:t>
      </w:r>
      <w:proofErr w:type="spellStart"/>
      <w:r>
        <w:t>mesylát</w:t>
      </w:r>
      <w:proofErr w:type="spellEnd"/>
      <w:r>
        <w:t xml:space="preserve"> je približne na 90% naviazaný na plazmatické proteíny</w:t>
      </w:r>
      <w:r w:rsidRPr="00355044">
        <w:t xml:space="preserve"> u ľudí a laboratórnych zvierat. Cesta vylučovania je obličkami</w:t>
      </w:r>
      <w:r>
        <w:t>.</w:t>
      </w:r>
      <w:r w:rsidRPr="00355044" w:rsidDel="00355044">
        <w:t xml:space="preserve"> </w:t>
      </w:r>
    </w:p>
    <w:p w14:paraId="6461D91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1F" w14:textId="77777777" w:rsidR="00C114FF" w:rsidRPr="001E1F22" w:rsidRDefault="00090299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6461D92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21" w14:textId="77777777" w:rsidR="00C114FF" w:rsidRPr="001E1F22" w:rsidRDefault="00090299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6461D922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61D923" w14:textId="0BDB1FFA" w:rsidR="00C114FF" w:rsidRPr="001E1F22" w:rsidRDefault="00090299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461D9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29" w14:textId="77777777" w:rsidR="00C114FF" w:rsidRPr="001E1F22" w:rsidRDefault="00090299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6461D92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FFE1D8" w14:textId="3537A5F7" w:rsidR="00B36CE7" w:rsidRPr="00FC3034" w:rsidRDefault="00B36CE7" w:rsidP="00B36CE7">
      <w:pPr>
        <w:tabs>
          <w:tab w:val="clear" w:pos="567"/>
        </w:tabs>
        <w:spacing w:line="240" w:lineRule="auto"/>
        <w:ind w:right="-318"/>
        <w:jc w:val="both"/>
        <w:rPr>
          <w:szCs w:val="22"/>
        </w:rPr>
      </w:pPr>
      <w:r w:rsidRPr="00FC3034">
        <w:t>Čas použiteľnosti veterinárneho lieku zabaleného v neporušenom  obale</w:t>
      </w:r>
      <w:r w:rsidR="00186BC0">
        <w:rPr>
          <w:szCs w:val="22"/>
        </w:rPr>
        <w:t>: 3</w:t>
      </w:r>
      <w:r w:rsidRPr="00FC3034">
        <w:rPr>
          <w:szCs w:val="22"/>
        </w:rPr>
        <w:t xml:space="preserve"> roky</w:t>
      </w:r>
      <w:r>
        <w:rPr>
          <w:szCs w:val="22"/>
        </w:rPr>
        <w:t>.</w:t>
      </w:r>
    </w:p>
    <w:p w14:paraId="6461D93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32" w14:textId="77777777" w:rsidR="00C114FF" w:rsidRPr="001E1F22" w:rsidRDefault="00090299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6461D93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61D947" w14:textId="61436822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14:paraId="6461D94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51" w14:textId="77777777" w:rsidR="00C114FF" w:rsidRPr="001E1F22" w:rsidRDefault="00090299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6461D952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18FF7F" w14:textId="1F2FCC38" w:rsidR="00B36CE7" w:rsidRPr="00FC3034" w:rsidRDefault="00B36CE7" w:rsidP="00B36CE7">
      <w:pPr>
        <w:tabs>
          <w:tab w:val="clear" w:pos="567"/>
        </w:tabs>
        <w:spacing w:line="240" w:lineRule="auto"/>
        <w:jc w:val="both"/>
        <w:rPr>
          <w:szCs w:val="24"/>
        </w:rPr>
      </w:pPr>
      <w:r w:rsidRPr="00FC3034">
        <w:rPr>
          <w:szCs w:val="24"/>
        </w:rPr>
        <w:t xml:space="preserve">OPA / hliníkové / </w:t>
      </w:r>
      <w:proofErr w:type="spellStart"/>
      <w:r w:rsidRPr="00FC3034">
        <w:rPr>
          <w:szCs w:val="24"/>
        </w:rPr>
        <w:t>PVC</w:t>
      </w:r>
      <w:r>
        <w:rPr>
          <w:szCs w:val="24"/>
        </w:rPr>
        <w:t>-</w:t>
      </w:r>
      <w:r w:rsidR="00E042BF">
        <w:rPr>
          <w:szCs w:val="24"/>
        </w:rPr>
        <w:t>h</w:t>
      </w:r>
      <w:r w:rsidRPr="00B36CE7">
        <w:rPr>
          <w:szCs w:val="24"/>
        </w:rPr>
        <w:t>liník</w:t>
      </w:r>
      <w:r w:rsidR="00E042BF">
        <w:rPr>
          <w:szCs w:val="24"/>
        </w:rPr>
        <w:t>ové</w:t>
      </w:r>
      <w:proofErr w:type="spellEnd"/>
      <w:r w:rsidRPr="00FC3034">
        <w:rPr>
          <w:szCs w:val="24"/>
        </w:rPr>
        <w:t xml:space="preserve"> </w:t>
      </w:r>
      <w:proofErr w:type="spellStart"/>
      <w:r w:rsidRPr="00FC3034">
        <w:rPr>
          <w:szCs w:val="24"/>
        </w:rPr>
        <w:t>blistre</w:t>
      </w:r>
      <w:proofErr w:type="spellEnd"/>
      <w:r w:rsidRPr="00FC3034">
        <w:rPr>
          <w:szCs w:val="24"/>
        </w:rPr>
        <w:t xml:space="preserve"> obsahujúce </w:t>
      </w:r>
      <w:r>
        <w:rPr>
          <w:szCs w:val="24"/>
        </w:rPr>
        <w:t xml:space="preserve">7 alebo </w:t>
      </w:r>
      <w:r w:rsidRPr="00FC3034">
        <w:rPr>
          <w:szCs w:val="24"/>
        </w:rPr>
        <w:t>10 tabliet</w:t>
      </w:r>
      <w:r>
        <w:rPr>
          <w:szCs w:val="24"/>
        </w:rPr>
        <w:t>.</w:t>
      </w:r>
    </w:p>
    <w:p w14:paraId="410E5D44" w14:textId="13BF9235" w:rsidR="00B36CE7" w:rsidRPr="00FC3034" w:rsidRDefault="00B36CE7" w:rsidP="00B36CE7">
      <w:pPr>
        <w:tabs>
          <w:tab w:val="clear" w:pos="567"/>
        </w:tabs>
        <w:spacing w:line="240" w:lineRule="auto"/>
        <w:jc w:val="both"/>
        <w:rPr>
          <w:szCs w:val="24"/>
        </w:rPr>
      </w:pPr>
      <w:r w:rsidRPr="00FC3034">
        <w:rPr>
          <w:szCs w:val="24"/>
        </w:rPr>
        <w:t>Kartónová škatuľa s</w:t>
      </w:r>
      <w:r w:rsidR="00E042BF">
        <w:rPr>
          <w:szCs w:val="24"/>
        </w:rPr>
        <w:t>o</w:t>
      </w:r>
      <w:r w:rsidRPr="00FC3034">
        <w:rPr>
          <w:szCs w:val="24"/>
        </w:rPr>
        <w:t xml:space="preserve"> 60, </w:t>
      </w:r>
      <w:r>
        <w:rPr>
          <w:szCs w:val="24"/>
        </w:rPr>
        <w:t xml:space="preserve">91, </w:t>
      </w:r>
      <w:r w:rsidRPr="00FC3034">
        <w:rPr>
          <w:szCs w:val="24"/>
        </w:rPr>
        <w:t>100, 160 alebo 2</w:t>
      </w:r>
      <w:r>
        <w:rPr>
          <w:szCs w:val="24"/>
        </w:rPr>
        <w:t>4</w:t>
      </w:r>
      <w:r w:rsidRPr="00FC3034">
        <w:rPr>
          <w:szCs w:val="24"/>
        </w:rPr>
        <w:t>0 tabletami.</w:t>
      </w:r>
    </w:p>
    <w:p w14:paraId="125688F5" w14:textId="1CD0D8C7" w:rsidR="00B36CE7" w:rsidRDefault="00B36CE7" w:rsidP="00A9226B">
      <w:pPr>
        <w:tabs>
          <w:tab w:val="clear" w:pos="567"/>
        </w:tabs>
        <w:spacing w:line="240" w:lineRule="auto"/>
      </w:pPr>
    </w:p>
    <w:p w14:paraId="6461D953" w14:textId="0FF1739D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6461D9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55" w14:textId="77777777" w:rsidR="00C114FF" w:rsidRPr="001E1F22" w:rsidRDefault="00090299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6461D9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61D957" w14:textId="101791CC" w:rsidR="00FD1E45" w:rsidRPr="001E1F22" w:rsidRDefault="00090299" w:rsidP="00FD1E45">
      <w:pPr>
        <w:rPr>
          <w:szCs w:val="22"/>
        </w:rPr>
      </w:pPr>
      <w:r w:rsidRPr="001E1F22">
        <w:lastRenderedPageBreak/>
        <w:t xml:space="preserve">Lieky sa nesmú likvidovať prostredníctvom odpadovej </w:t>
      </w:r>
      <w:r w:rsidRPr="002C759D">
        <w:t>vody ani odpadu v</w:t>
      </w:r>
      <w:r w:rsidR="002C759D" w:rsidRPr="002C759D">
        <w:t> </w:t>
      </w:r>
      <w:r w:rsidRPr="002C759D">
        <w:t>domácnostiach.</w:t>
      </w:r>
    </w:p>
    <w:p w14:paraId="6461D9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5B" w14:textId="2539891F" w:rsidR="0078538F" w:rsidRPr="001E1F22" w:rsidRDefault="00090299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6461D9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60" w14:textId="77777777" w:rsidR="00C114FF" w:rsidRPr="001E1F22" w:rsidRDefault="00090299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6461D96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2803B1" w14:textId="77777777" w:rsidR="004028AE" w:rsidRPr="00EA2D1F" w:rsidRDefault="004028AE" w:rsidP="004028AE">
      <w:pPr>
        <w:tabs>
          <w:tab w:val="clear" w:pos="567"/>
        </w:tabs>
        <w:spacing w:line="240" w:lineRule="auto"/>
        <w:rPr>
          <w:szCs w:val="22"/>
          <w:lang w:val="de-DE"/>
        </w:rPr>
      </w:pPr>
      <w:bookmarkStart w:id="4" w:name="_Hlk85542354"/>
      <w:r w:rsidRPr="00EA2D1F">
        <w:rPr>
          <w:szCs w:val="22"/>
          <w:lang w:val="de-DE"/>
        </w:rPr>
        <w:t>CP-</w:t>
      </w:r>
      <w:proofErr w:type="spellStart"/>
      <w:r w:rsidRPr="00EA2D1F">
        <w:rPr>
          <w:szCs w:val="22"/>
          <w:lang w:val="de-DE"/>
        </w:rPr>
        <w:t>Pharma</w:t>
      </w:r>
      <w:proofErr w:type="spellEnd"/>
      <w:r w:rsidRPr="00EA2D1F">
        <w:rPr>
          <w:szCs w:val="22"/>
          <w:lang w:val="de-DE"/>
        </w:rPr>
        <w:t xml:space="preserve"> Handelsgesellschaft mbH</w:t>
      </w:r>
    </w:p>
    <w:bookmarkEnd w:id="4"/>
    <w:p w14:paraId="6461D96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65" w14:textId="7340F667" w:rsidR="00C114FF" w:rsidRPr="001E1F22" w:rsidRDefault="00090299" w:rsidP="00B13B6D">
      <w:pPr>
        <w:pStyle w:val="Style1"/>
      </w:pPr>
      <w:r w:rsidRPr="001E1F22">
        <w:t>7.</w:t>
      </w:r>
      <w:r w:rsidRPr="001E1F22">
        <w:tab/>
        <w:t>REGISTRAČNÉ ČÍSLO</w:t>
      </w:r>
    </w:p>
    <w:p w14:paraId="6461D966" w14:textId="0551215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77C9C0" w14:textId="7E7CE3C9" w:rsidR="000F7285" w:rsidRPr="001E1F22" w:rsidRDefault="000F728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96/057/DC/22-S</w:t>
      </w:r>
    </w:p>
    <w:p w14:paraId="6461D9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68" w14:textId="77777777" w:rsidR="00C114FF" w:rsidRPr="001E1F22" w:rsidRDefault="00090299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461D96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6A" w14:textId="09E19112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FB72ED">
        <w:t xml:space="preserve"> 24/02/</w:t>
      </w:r>
      <w:r w:rsidR="0064067A">
        <w:t>2023</w:t>
      </w:r>
    </w:p>
    <w:p w14:paraId="6461D96B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6C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6D" w14:textId="35597431" w:rsidR="00C114FF" w:rsidRPr="001E1F22" w:rsidRDefault="00090299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6461D96E" w14:textId="16F3CFC0" w:rsidR="00C114FF" w:rsidRPr="001E1F22" w:rsidRDefault="005553D8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6461D9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7B" w14:textId="77777777" w:rsidR="00C114FF" w:rsidRPr="001E1F22" w:rsidRDefault="00090299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461D97C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97D" w14:textId="690ABFDE" w:rsidR="0078538F" w:rsidRPr="001E1F22" w:rsidRDefault="00090299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461D980" w14:textId="77777777" w:rsidR="0078538F" w:rsidRPr="001E1F22" w:rsidRDefault="0078538F" w:rsidP="0078538F">
      <w:pPr>
        <w:ind w:right="-318"/>
        <w:rPr>
          <w:szCs w:val="22"/>
        </w:rPr>
      </w:pPr>
    </w:p>
    <w:p w14:paraId="6461D9FB" w14:textId="78A76BA4" w:rsidR="00C114FF" w:rsidRPr="001E1F22" w:rsidRDefault="002C759D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 o veterinárnom lieku sú dostupné v databáze liekov Únie. (</w:t>
      </w:r>
      <w:hyperlink r:id="rId13" w:history="1">
        <w:r w:rsidRPr="00033F1A">
          <w:rPr>
            <w:rStyle w:val="Hypertextovprepojenie"/>
          </w:rPr>
          <w:t>https://medicines.health.europa.eu/veterinary</w:t>
        </w:r>
      </w:hyperlink>
      <w:r>
        <w:t xml:space="preserve">). </w:t>
      </w:r>
      <w:r w:rsidR="00090299" w:rsidRPr="001E1F22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F56FAA" w14:paraId="6461D9F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6461D9FC" w14:textId="77777777" w:rsidR="00C114FF" w:rsidRPr="001E1F22" w:rsidRDefault="00090299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423440A3" w14:textId="54EC7D96" w:rsidR="00E042BF" w:rsidRDefault="003272D0" w:rsidP="00A9226B">
            <w:pPr>
              <w:tabs>
                <w:tab w:val="clear" w:pos="567"/>
              </w:tabs>
              <w:spacing w:line="240" w:lineRule="auto"/>
            </w:pPr>
            <w:r>
              <w:t xml:space="preserve"> </w:t>
            </w:r>
          </w:p>
          <w:p w14:paraId="35F2CD50" w14:textId="77777777" w:rsidR="00E042BF" w:rsidRDefault="00E042BF" w:rsidP="00A9226B">
            <w:pPr>
              <w:tabs>
                <w:tab w:val="clear" w:pos="567"/>
              </w:tabs>
              <w:spacing w:line="240" w:lineRule="auto"/>
            </w:pPr>
          </w:p>
          <w:p w14:paraId="6461D9FD" w14:textId="0F9ABCCF" w:rsidR="00E042BF" w:rsidRPr="00491791" w:rsidRDefault="003272D0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3272D0">
              <w:rPr>
                <w:b/>
                <w:szCs w:val="22"/>
              </w:rPr>
              <w:t>Kartónová škatuľa</w:t>
            </w:r>
          </w:p>
        </w:tc>
      </w:tr>
    </w:tbl>
    <w:p w14:paraId="6461D9F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00" w14:textId="77777777" w:rsidR="00C114FF" w:rsidRPr="001E1F22" w:rsidRDefault="00090299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461DA0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03" w14:textId="6BB2D8C8" w:rsidR="00C114FF" w:rsidRPr="001E1F22" w:rsidRDefault="003272D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272D0">
        <w:t>Prasequine</w:t>
      </w:r>
      <w:proofErr w:type="spellEnd"/>
      <w:r w:rsidRPr="003272D0">
        <w:t xml:space="preserve"> 1 mg tablety</w:t>
      </w:r>
    </w:p>
    <w:p w14:paraId="6461DA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05" w14:textId="77777777" w:rsidR="00C114FF" w:rsidRPr="001E1F22" w:rsidRDefault="00090299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6461DA0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D5580B" w14:textId="77777777" w:rsidR="003272D0" w:rsidRPr="00E17D8D" w:rsidRDefault="003272D0" w:rsidP="003272D0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17D8D">
        <w:rPr>
          <w:bCs/>
          <w:szCs w:val="22"/>
        </w:rPr>
        <w:t>Pergolid</w:t>
      </w:r>
      <w:proofErr w:type="spellEnd"/>
      <w:r w:rsidRPr="00E17D8D">
        <w:rPr>
          <w:bCs/>
          <w:szCs w:val="22"/>
        </w:rPr>
        <w:tab/>
        <w:t>1,0 mg</w:t>
      </w:r>
    </w:p>
    <w:p w14:paraId="0A9F8613" w14:textId="77777777" w:rsidR="003272D0" w:rsidRDefault="003272D0" w:rsidP="003272D0">
      <w:pPr>
        <w:tabs>
          <w:tab w:val="clear" w:pos="567"/>
        </w:tabs>
        <w:spacing w:line="240" w:lineRule="auto"/>
        <w:rPr>
          <w:bCs/>
          <w:szCs w:val="22"/>
        </w:rPr>
      </w:pPr>
      <w:r w:rsidRPr="00E17D8D">
        <w:rPr>
          <w:bCs/>
          <w:szCs w:val="22"/>
        </w:rPr>
        <w:t xml:space="preserve">zodpovedá 1,31 mg </w:t>
      </w:r>
      <w:proofErr w:type="spellStart"/>
      <w:r w:rsidRPr="00E17D8D">
        <w:rPr>
          <w:bCs/>
          <w:szCs w:val="22"/>
        </w:rPr>
        <w:t>pergolid</w:t>
      </w:r>
      <w:proofErr w:type="spellEnd"/>
      <w:r w:rsidRPr="00E17D8D">
        <w:rPr>
          <w:bCs/>
          <w:szCs w:val="22"/>
        </w:rPr>
        <w:t xml:space="preserve"> </w:t>
      </w:r>
      <w:proofErr w:type="spellStart"/>
      <w:r w:rsidRPr="00E17D8D">
        <w:rPr>
          <w:bCs/>
          <w:szCs w:val="22"/>
        </w:rPr>
        <w:t>mesylátu</w:t>
      </w:r>
      <w:proofErr w:type="spellEnd"/>
    </w:p>
    <w:p w14:paraId="6461DA0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08" w14:textId="77777777" w:rsidR="00C114FF" w:rsidRPr="001E1F22" w:rsidRDefault="00090299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6461DA0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24BF2" w14:textId="3E4A1875" w:rsidR="003272D0" w:rsidRDefault="003272D0" w:rsidP="003272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60 tabl</w:t>
      </w:r>
      <w:r w:rsidR="00E042BF">
        <w:rPr>
          <w:szCs w:val="22"/>
        </w:rPr>
        <w:t>iet</w:t>
      </w:r>
    </w:p>
    <w:p w14:paraId="6A3854F5" w14:textId="3B991061" w:rsidR="003272D0" w:rsidRDefault="003272D0" w:rsidP="003272D0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</w:rPr>
        <w:t>91 tabl</w:t>
      </w:r>
      <w:r w:rsidR="00E042BF">
        <w:rPr>
          <w:szCs w:val="22"/>
          <w:highlight w:val="lightGray"/>
        </w:rPr>
        <w:t>iet</w:t>
      </w:r>
    </w:p>
    <w:p w14:paraId="0E20373D" w14:textId="3E903083" w:rsidR="003272D0" w:rsidRPr="002A4756" w:rsidRDefault="003272D0" w:rsidP="003272D0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A4756">
        <w:rPr>
          <w:szCs w:val="22"/>
          <w:highlight w:val="lightGray"/>
        </w:rPr>
        <w:t>100 tabl</w:t>
      </w:r>
      <w:r w:rsidR="00E042BF">
        <w:rPr>
          <w:szCs w:val="22"/>
          <w:highlight w:val="lightGray"/>
        </w:rPr>
        <w:t>iet</w:t>
      </w:r>
    </w:p>
    <w:p w14:paraId="04F3D8C9" w14:textId="275C5478" w:rsidR="003272D0" w:rsidRPr="002A4756" w:rsidRDefault="003272D0" w:rsidP="003272D0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2A4756">
        <w:rPr>
          <w:szCs w:val="22"/>
          <w:highlight w:val="lightGray"/>
        </w:rPr>
        <w:t>160 tabl</w:t>
      </w:r>
      <w:r w:rsidR="00E042BF">
        <w:rPr>
          <w:szCs w:val="22"/>
          <w:highlight w:val="lightGray"/>
        </w:rPr>
        <w:t>iet</w:t>
      </w:r>
    </w:p>
    <w:p w14:paraId="19D03E49" w14:textId="417BA7DA" w:rsidR="003272D0" w:rsidRPr="00474C50" w:rsidRDefault="003272D0" w:rsidP="003272D0">
      <w:pPr>
        <w:tabs>
          <w:tab w:val="clear" w:pos="567"/>
        </w:tabs>
        <w:spacing w:line="240" w:lineRule="auto"/>
        <w:rPr>
          <w:szCs w:val="22"/>
        </w:rPr>
      </w:pPr>
      <w:r w:rsidRPr="002A4756">
        <w:rPr>
          <w:szCs w:val="22"/>
          <w:highlight w:val="lightGray"/>
        </w:rPr>
        <w:t>240 tabl</w:t>
      </w:r>
      <w:r w:rsidR="00E042BF" w:rsidRPr="00491791">
        <w:rPr>
          <w:szCs w:val="22"/>
          <w:highlight w:val="lightGray"/>
        </w:rPr>
        <w:t>iet</w:t>
      </w:r>
    </w:p>
    <w:p w14:paraId="6461DA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0B" w14:textId="77777777" w:rsidR="00C114FF" w:rsidRPr="001E1F22" w:rsidRDefault="00090299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6461DA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0D" w14:textId="18426D3F" w:rsidR="00C114FF" w:rsidRDefault="00E042BF" w:rsidP="00A9226B">
      <w:pPr>
        <w:tabs>
          <w:tab w:val="clear" w:pos="567"/>
        </w:tabs>
        <w:spacing w:line="240" w:lineRule="auto"/>
        <w:rPr>
          <w:szCs w:val="22"/>
          <w:lang w:val="en-US"/>
        </w:rPr>
      </w:pPr>
      <w:r>
        <w:rPr>
          <w:szCs w:val="22"/>
        </w:rPr>
        <w:t xml:space="preserve">Kone </w:t>
      </w:r>
      <w:r>
        <w:rPr>
          <w:szCs w:val="22"/>
          <w:lang w:val="en-US"/>
        </w:rPr>
        <w:t>(</w:t>
      </w:r>
      <w:proofErr w:type="spellStart"/>
      <w:r>
        <w:rPr>
          <w:szCs w:val="22"/>
          <w:lang w:val="en-US"/>
        </w:rPr>
        <w:t>nepotravinové</w:t>
      </w:r>
      <w:proofErr w:type="spellEnd"/>
      <w:r>
        <w:rPr>
          <w:szCs w:val="22"/>
          <w:lang w:val="en-US"/>
        </w:rPr>
        <w:t>).</w:t>
      </w:r>
    </w:p>
    <w:p w14:paraId="4765C215" w14:textId="77777777" w:rsidR="000F7285" w:rsidRPr="001E1F22" w:rsidRDefault="000F72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0E" w14:textId="77777777" w:rsidR="00C114FF" w:rsidRPr="001E1F22" w:rsidRDefault="00090299" w:rsidP="001E1F22">
      <w:pPr>
        <w:pStyle w:val="Style2"/>
      </w:pPr>
      <w:r w:rsidRPr="001E1F22">
        <w:t>5.</w:t>
      </w:r>
      <w:r w:rsidRPr="001E1F22">
        <w:tab/>
        <w:t>INDIKÁCIE</w:t>
      </w:r>
    </w:p>
    <w:p w14:paraId="6461DA0F" w14:textId="4930EBB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026CB" w14:textId="77777777" w:rsidR="000F7285" w:rsidRPr="001E1F22" w:rsidRDefault="000F72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11" w14:textId="77777777" w:rsidR="00C114FF" w:rsidRPr="001E1F22" w:rsidRDefault="00090299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26AE0710" w14:textId="2A89E816" w:rsidR="000F7285" w:rsidRDefault="000F72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13" w14:textId="5DF1F76D" w:rsidR="00C114FF" w:rsidRDefault="003272D0" w:rsidP="00A9226B">
      <w:pPr>
        <w:tabs>
          <w:tab w:val="clear" w:pos="567"/>
        </w:tabs>
        <w:spacing w:line="240" w:lineRule="auto"/>
        <w:rPr>
          <w:szCs w:val="22"/>
        </w:rPr>
      </w:pPr>
      <w:r w:rsidRPr="003272D0">
        <w:rPr>
          <w:szCs w:val="22"/>
        </w:rPr>
        <w:t>Perorálne použitie</w:t>
      </w:r>
    </w:p>
    <w:p w14:paraId="7C921218" w14:textId="77777777" w:rsidR="003272D0" w:rsidRPr="001E1F22" w:rsidRDefault="003272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14" w14:textId="77777777" w:rsidR="00C114FF" w:rsidRPr="001E1F22" w:rsidRDefault="00090299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6461DA1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350CF3" w14:textId="77777777" w:rsidR="003272D0" w:rsidRPr="00FC3034" w:rsidRDefault="003272D0" w:rsidP="003272D0">
      <w:pPr>
        <w:jc w:val="both"/>
        <w:rPr>
          <w:szCs w:val="22"/>
        </w:rPr>
      </w:pPr>
      <w:r w:rsidRPr="00FC3034">
        <w:rPr>
          <w:szCs w:val="22"/>
        </w:rPr>
        <w:t>Nie je povolené používať u koní určených na ľudskú spotrebu.</w:t>
      </w:r>
    </w:p>
    <w:p w14:paraId="4E3EA463" w14:textId="77777777" w:rsidR="003272D0" w:rsidRPr="00FC3034" w:rsidRDefault="003272D0" w:rsidP="003272D0">
      <w:pPr>
        <w:jc w:val="both"/>
        <w:rPr>
          <w:szCs w:val="22"/>
        </w:rPr>
      </w:pPr>
      <w:r w:rsidRPr="00FC3034">
        <w:rPr>
          <w:szCs w:val="22"/>
        </w:rPr>
        <w:t>Kôň musí byť podľa vnútroštátnych právnych predpisov o cestovných pasoch pre kone vyhlásený za nevyhovujúc</w:t>
      </w:r>
      <w:r>
        <w:rPr>
          <w:szCs w:val="22"/>
        </w:rPr>
        <w:t>eho</w:t>
      </w:r>
      <w:r w:rsidRPr="00FC3034">
        <w:rPr>
          <w:szCs w:val="22"/>
        </w:rPr>
        <w:t xml:space="preserve"> na ľudskú spotrebu.</w:t>
      </w:r>
    </w:p>
    <w:p w14:paraId="54354933" w14:textId="77777777" w:rsidR="003272D0" w:rsidRPr="00FC3034" w:rsidRDefault="003272D0" w:rsidP="003272D0">
      <w:pPr>
        <w:jc w:val="both"/>
        <w:rPr>
          <w:szCs w:val="22"/>
        </w:rPr>
      </w:pPr>
      <w:r w:rsidRPr="00FC3034">
        <w:rPr>
          <w:szCs w:val="22"/>
        </w:rPr>
        <w:t>Nie je povolené používať u kobýl produkujúcich mlieko na ľudskú spotrebu.</w:t>
      </w:r>
    </w:p>
    <w:p w14:paraId="6461DA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19" w14:textId="77777777" w:rsidR="00C114FF" w:rsidRPr="001E1F22" w:rsidRDefault="00090299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6461DA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1C" w14:textId="6C0D6952" w:rsidR="001B26EB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6461DA1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20" w14:textId="77777777" w:rsidR="00C114FF" w:rsidRPr="001E1F22" w:rsidRDefault="00090299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6461DA2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3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3A" w14:textId="77777777" w:rsidR="00C114FF" w:rsidRPr="001E1F22" w:rsidRDefault="00090299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6461DA3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3C" w14:textId="77777777" w:rsidR="0073373D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6461DA3D" w14:textId="77777777" w:rsidR="00DE67C4" w:rsidRPr="001E1F22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3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3F" w14:textId="77777777" w:rsidR="00C114FF" w:rsidRPr="001E1F22" w:rsidRDefault="00090299" w:rsidP="001E1F22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14:paraId="6461DA4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42" w14:textId="0E6B6BFC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461DA4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44" w14:textId="77777777" w:rsidR="00C114FF" w:rsidRPr="001E1F22" w:rsidRDefault="00090299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6461DA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47" w14:textId="49DBDBA0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461DA4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49" w14:textId="77777777" w:rsidR="00C114FF" w:rsidRPr="001E1F22" w:rsidRDefault="00090299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461DA4A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17AC625" w14:textId="38B806D1" w:rsidR="003272D0" w:rsidRPr="004C0B75" w:rsidRDefault="003272D0" w:rsidP="0049179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CP-Pharma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Handelsgesellschaft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mbH</w:t>
      </w:r>
      <w:proofErr w:type="spellEnd"/>
    </w:p>
    <w:p w14:paraId="6461DA4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4E" w14:textId="06EA495C" w:rsidR="00C114FF" w:rsidRPr="001E1F22" w:rsidRDefault="00090299" w:rsidP="001E1F22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6461DA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51" w14:textId="540831E8" w:rsidR="00C114FF" w:rsidRPr="001E1F22" w:rsidRDefault="000F728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96/057/DC/22-S</w:t>
      </w:r>
    </w:p>
    <w:p w14:paraId="6461D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53" w14:textId="77777777" w:rsidR="00C114FF" w:rsidRPr="001E1F22" w:rsidRDefault="00090299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6461DA54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55" w14:textId="77777777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6461DA56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57" w14:textId="77777777" w:rsidR="00673F4C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6461DA9D" w14:textId="77777777" w:rsidR="00C114FF" w:rsidRPr="001E1F22" w:rsidRDefault="00090299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6461DA9E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461DA9F" w14:textId="4C741853" w:rsidR="00C114FF" w:rsidRPr="001E1F22" w:rsidRDefault="003272D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3272D0">
        <w:rPr>
          <w:b/>
          <w:szCs w:val="22"/>
        </w:rPr>
        <w:t xml:space="preserve">OPA / hliníkové / </w:t>
      </w:r>
      <w:proofErr w:type="spellStart"/>
      <w:r w:rsidRPr="003272D0">
        <w:rPr>
          <w:b/>
          <w:szCs w:val="22"/>
        </w:rPr>
        <w:t>PVC-</w:t>
      </w:r>
      <w:r w:rsidR="00E042BF">
        <w:rPr>
          <w:b/>
          <w:szCs w:val="22"/>
        </w:rPr>
        <w:t>h</w:t>
      </w:r>
      <w:r w:rsidRPr="003272D0">
        <w:rPr>
          <w:b/>
          <w:szCs w:val="22"/>
        </w:rPr>
        <w:t>liník</w:t>
      </w:r>
      <w:r w:rsidR="00E042BF">
        <w:rPr>
          <w:b/>
          <w:szCs w:val="22"/>
        </w:rPr>
        <w:t>ové</w:t>
      </w:r>
      <w:proofErr w:type="spellEnd"/>
      <w:r w:rsidRPr="003272D0">
        <w:rPr>
          <w:b/>
          <w:szCs w:val="22"/>
        </w:rPr>
        <w:t xml:space="preserve"> </w:t>
      </w:r>
      <w:proofErr w:type="spellStart"/>
      <w:r w:rsidRPr="003272D0">
        <w:rPr>
          <w:b/>
          <w:szCs w:val="22"/>
        </w:rPr>
        <w:t>blistre</w:t>
      </w:r>
      <w:proofErr w:type="spellEnd"/>
      <w:r w:rsidRPr="003272D0">
        <w:rPr>
          <w:b/>
          <w:szCs w:val="22"/>
        </w:rPr>
        <w:t xml:space="preserve"> </w:t>
      </w:r>
    </w:p>
    <w:p w14:paraId="6461DAA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A1" w14:textId="77777777" w:rsidR="00C114FF" w:rsidRPr="001E1F22" w:rsidRDefault="00090299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461DA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A3" w14:textId="3E5971F2" w:rsidR="00C114FF" w:rsidRPr="001E1F22" w:rsidRDefault="003272D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Prasequine</w:t>
      </w:r>
      <w:proofErr w:type="spellEnd"/>
    </w:p>
    <w:p w14:paraId="6461DAA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A6" w14:textId="77777777" w:rsidR="00C114FF" w:rsidRPr="001E1F22" w:rsidRDefault="00090299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6461DA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6DD97" w14:textId="77777777" w:rsidR="003272D0" w:rsidRPr="00E17D8D" w:rsidRDefault="003272D0" w:rsidP="003272D0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17D8D">
        <w:rPr>
          <w:bCs/>
          <w:szCs w:val="22"/>
        </w:rPr>
        <w:t>Pergolid</w:t>
      </w:r>
      <w:proofErr w:type="spellEnd"/>
      <w:r w:rsidRPr="00E17D8D">
        <w:rPr>
          <w:bCs/>
          <w:szCs w:val="22"/>
        </w:rPr>
        <w:tab/>
        <w:t>1,0 mg</w:t>
      </w:r>
    </w:p>
    <w:p w14:paraId="6461DAA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A9" w14:textId="77777777" w:rsidR="00C114FF" w:rsidRPr="001E1F22" w:rsidRDefault="00090299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6461DA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AC" w14:textId="2AC410DD" w:rsidR="00F40449" w:rsidRPr="001E1F22" w:rsidRDefault="00090299" w:rsidP="00491791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6461DAA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AE" w14:textId="77777777" w:rsidR="00C114FF" w:rsidRPr="001E1F22" w:rsidRDefault="00090299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6461DAAF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0" w14:textId="77777777" w:rsidR="00C40CFF" w:rsidRPr="001E1F22" w:rsidRDefault="00090299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6461DAB1" w14:textId="77777777" w:rsidR="00F40449" w:rsidRPr="001E1F22" w:rsidRDefault="00F40449" w:rsidP="00C40CFF">
      <w:pPr>
        <w:rPr>
          <w:szCs w:val="22"/>
        </w:rPr>
      </w:pPr>
    </w:p>
    <w:p w14:paraId="6461DAB3" w14:textId="79169320" w:rsidR="00C114FF" w:rsidRPr="001E1F22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6461DAB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B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20AAAA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14F34DF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BD7DDC3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0EFCB5D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8458F02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2917E60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2A97073" w14:textId="231ACDB4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6522C62" w14:textId="77777777" w:rsidR="000F7285" w:rsidRDefault="000F728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AF7866C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F341536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82DEEFC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F4CCC4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D84F54A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1DFB675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296EE72" w14:textId="77777777" w:rsidR="003272D0" w:rsidRDefault="003272D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461DACC" w14:textId="3E6778ED" w:rsidR="00C114FF" w:rsidRPr="001E1F22" w:rsidRDefault="0009029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6461DA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E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CF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6461DA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9C914" w14:textId="77777777" w:rsidR="004339B2" w:rsidRPr="001E1F22" w:rsidRDefault="004339B2" w:rsidP="004339B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17D8D">
        <w:t>P</w:t>
      </w:r>
      <w:r>
        <w:t>rasequine</w:t>
      </w:r>
      <w:proofErr w:type="spellEnd"/>
      <w:r w:rsidRPr="00E17D8D">
        <w:t xml:space="preserve"> 1 mg tablety pre kone</w:t>
      </w:r>
    </w:p>
    <w:p w14:paraId="6461DA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D4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6461DAD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DEB5FF" w14:textId="59640A37" w:rsidR="004339B2" w:rsidRPr="00E17D8D" w:rsidRDefault="004339B2" w:rsidP="004339B2">
      <w:pPr>
        <w:tabs>
          <w:tab w:val="clear" w:pos="567"/>
        </w:tabs>
        <w:spacing w:line="240" w:lineRule="auto"/>
        <w:rPr>
          <w:bCs/>
          <w:szCs w:val="22"/>
        </w:rPr>
      </w:pPr>
      <w:r w:rsidRPr="00E17D8D">
        <w:rPr>
          <w:bCs/>
          <w:szCs w:val="22"/>
        </w:rPr>
        <w:t>Každá tableta obsahu</w:t>
      </w:r>
      <w:r w:rsidR="00E042BF">
        <w:rPr>
          <w:bCs/>
          <w:szCs w:val="22"/>
        </w:rPr>
        <w:t>je</w:t>
      </w:r>
      <w:r w:rsidRPr="00E17D8D">
        <w:rPr>
          <w:bCs/>
          <w:szCs w:val="22"/>
        </w:rPr>
        <w:t>:</w:t>
      </w:r>
    </w:p>
    <w:p w14:paraId="09F8F179" w14:textId="77777777" w:rsidR="004339B2" w:rsidRPr="00E17D8D" w:rsidRDefault="004339B2" w:rsidP="004339B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E546FC5" w14:textId="77777777" w:rsidR="004339B2" w:rsidRPr="00E17D8D" w:rsidRDefault="004339B2" w:rsidP="004339B2">
      <w:pPr>
        <w:tabs>
          <w:tab w:val="clear" w:pos="567"/>
        </w:tabs>
        <w:spacing w:line="240" w:lineRule="auto"/>
        <w:rPr>
          <w:b/>
          <w:szCs w:val="22"/>
        </w:rPr>
      </w:pPr>
      <w:r w:rsidRPr="00E17D8D">
        <w:rPr>
          <w:b/>
          <w:szCs w:val="22"/>
        </w:rPr>
        <w:t xml:space="preserve">Účinná látka: </w:t>
      </w:r>
    </w:p>
    <w:p w14:paraId="7850B6F9" w14:textId="77777777" w:rsidR="004339B2" w:rsidRPr="00E17D8D" w:rsidRDefault="004339B2" w:rsidP="004339B2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E17D8D">
        <w:rPr>
          <w:bCs/>
          <w:szCs w:val="22"/>
        </w:rPr>
        <w:t>Pergolid</w:t>
      </w:r>
      <w:proofErr w:type="spellEnd"/>
      <w:r w:rsidRPr="00E17D8D">
        <w:rPr>
          <w:bCs/>
          <w:szCs w:val="22"/>
        </w:rPr>
        <w:tab/>
        <w:t>1,0 mg</w:t>
      </w:r>
    </w:p>
    <w:p w14:paraId="4B886990" w14:textId="77777777" w:rsidR="004339B2" w:rsidRDefault="004339B2" w:rsidP="004339B2">
      <w:pPr>
        <w:tabs>
          <w:tab w:val="clear" w:pos="567"/>
        </w:tabs>
        <w:spacing w:line="240" w:lineRule="auto"/>
        <w:rPr>
          <w:bCs/>
          <w:szCs w:val="22"/>
        </w:rPr>
      </w:pPr>
      <w:r w:rsidRPr="00E17D8D">
        <w:rPr>
          <w:bCs/>
          <w:szCs w:val="22"/>
        </w:rPr>
        <w:t xml:space="preserve">zodpovedá 1,31 mg </w:t>
      </w:r>
      <w:proofErr w:type="spellStart"/>
      <w:r w:rsidRPr="00E17D8D">
        <w:rPr>
          <w:bCs/>
          <w:szCs w:val="22"/>
        </w:rPr>
        <w:t>pergolid</w:t>
      </w:r>
      <w:proofErr w:type="spellEnd"/>
      <w:r w:rsidRPr="00E17D8D">
        <w:rPr>
          <w:bCs/>
          <w:szCs w:val="22"/>
        </w:rPr>
        <w:t xml:space="preserve"> </w:t>
      </w:r>
      <w:proofErr w:type="spellStart"/>
      <w:r w:rsidRPr="00E17D8D">
        <w:rPr>
          <w:bCs/>
          <w:szCs w:val="22"/>
        </w:rPr>
        <w:t>mesylátu</w:t>
      </w:r>
      <w:proofErr w:type="spellEnd"/>
    </w:p>
    <w:p w14:paraId="29422C3E" w14:textId="77777777" w:rsidR="00CC5005" w:rsidRDefault="00CC5005" w:rsidP="00CC5005">
      <w:pPr>
        <w:tabs>
          <w:tab w:val="clear" w:pos="567"/>
        </w:tabs>
        <w:spacing w:line="240" w:lineRule="auto"/>
        <w:rPr>
          <w:szCs w:val="22"/>
        </w:rPr>
      </w:pPr>
    </w:p>
    <w:p w14:paraId="3A573D22" w14:textId="44526D91" w:rsidR="00CC5005" w:rsidRPr="00E17D8D" w:rsidRDefault="00CC5005" w:rsidP="00CC5005">
      <w:pPr>
        <w:tabs>
          <w:tab w:val="clear" w:pos="567"/>
        </w:tabs>
        <w:spacing w:line="240" w:lineRule="auto"/>
        <w:rPr>
          <w:szCs w:val="22"/>
        </w:rPr>
      </w:pPr>
      <w:r w:rsidRPr="00E17D8D">
        <w:rPr>
          <w:szCs w:val="22"/>
        </w:rPr>
        <w:t>Tableta.</w:t>
      </w:r>
    </w:p>
    <w:p w14:paraId="3FD11605" w14:textId="77777777" w:rsidR="00CC5005" w:rsidRPr="00E17D8D" w:rsidRDefault="00CC5005" w:rsidP="00CC5005">
      <w:pPr>
        <w:tabs>
          <w:tab w:val="clear" w:pos="567"/>
        </w:tabs>
        <w:spacing w:line="240" w:lineRule="auto"/>
        <w:rPr>
          <w:szCs w:val="22"/>
        </w:rPr>
      </w:pPr>
      <w:r>
        <w:t>Béžová</w:t>
      </w:r>
      <w:r w:rsidRPr="00E17D8D">
        <w:rPr>
          <w:szCs w:val="22"/>
        </w:rPr>
        <w:t xml:space="preserve"> okrúhla a konvexná tableta s deliacou ryhou na jednej strane.</w:t>
      </w:r>
    </w:p>
    <w:p w14:paraId="5346A165" w14:textId="77777777" w:rsidR="00CC5005" w:rsidRPr="00E17D8D" w:rsidRDefault="00CC5005" w:rsidP="00CC5005">
      <w:pPr>
        <w:tabs>
          <w:tab w:val="clear" w:pos="567"/>
        </w:tabs>
        <w:spacing w:line="240" w:lineRule="auto"/>
        <w:rPr>
          <w:szCs w:val="22"/>
        </w:rPr>
      </w:pPr>
    </w:p>
    <w:p w14:paraId="57AA88E4" w14:textId="77777777" w:rsidR="00CC5005" w:rsidRDefault="00CC5005" w:rsidP="00CC5005">
      <w:pPr>
        <w:tabs>
          <w:tab w:val="clear" w:pos="567"/>
        </w:tabs>
        <w:spacing w:line="240" w:lineRule="auto"/>
        <w:rPr>
          <w:szCs w:val="22"/>
        </w:rPr>
      </w:pPr>
      <w:r w:rsidRPr="00E17D8D">
        <w:rPr>
          <w:szCs w:val="22"/>
        </w:rPr>
        <w:t>Tablety môžu byť rozdelené na 2 alebo 4 rovnaké časti.</w:t>
      </w:r>
    </w:p>
    <w:p w14:paraId="6461DA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D7" w14:textId="77777777" w:rsidR="00C114FF" w:rsidRPr="001E1F22" w:rsidRDefault="00090299" w:rsidP="00B13B6D">
      <w:pPr>
        <w:pStyle w:val="Style1"/>
      </w:pPr>
      <w:r w:rsidRPr="00090299">
        <w:t>3.</w:t>
      </w:r>
      <w:r w:rsidR="00715B4F" w:rsidRPr="00090299">
        <w:tab/>
      </w:r>
      <w:r w:rsidRPr="00090299">
        <w:t>Cieľové druhy</w:t>
      </w:r>
    </w:p>
    <w:p w14:paraId="6461DA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D9" w14:textId="6F7055B2" w:rsidR="00C114FF" w:rsidRDefault="00E042BF" w:rsidP="00A9226B">
      <w:pPr>
        <w:tabs>
          <w:tab w:val="clear" w:pos="567"/>
        </w:tabs>
        <w:spacing w:line="240" w:lineRule="auto"/>
        <w:rPr>
          <w:szCs w:val="22"/>
          <w:lang w:val="en-US"/>
        </w:rPr>
      </w:pPr>
      <w:r>
        <w:rPr>
          <w:szCs w:val="22"/>
        </w:rPr>
        <w:t xml:space="preserve">Kone </w:t>
      </w:r>
      <w:r>
        <w:rPr>
          <w:szCs w:val="22"/>
          <w:lang w:val="en-US"/>
        </w:rPr>
        <w:t>(</w:t>
      </w:r>
      <w:proofErr w:type="spellStart"/>
      <w:r>
        <w:rPr>
          <w:szCs w:val="22"/>
          <w:lang w:val="en-US"/>
        </w:rPr>
        <w:t>nepotravinové</w:t>
      </w:r>
      <w:proofErr w:type="spellEnd"/>
      <w:r>
        <w:rPr>
          <w:szCs w:val="22"/>
          <w:lang w:val="en-US"/>
        </w:rPr>
        <w:t>).</w:t>
      </w:r>
    </w:p>
    <w:p w14:paraId="43947B95" w14:textId="77777777" w:rsidR="000F7285" w:rsidRPr="001E1F22" w:rsidRDefault="000F72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DA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461DAD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9FF5D" w14:textId="77777777" w:rsidR="00090299" w:rsidRPr="00FC3034" w:rsidRDefault="00090299" w:rsidP="00090299">
      <w:pPr>
        <w:tabs>
          <w:tab w:val="clear" w:pos="567"/>
        </w:tabs>
        <w:spacing w:line="255" w:lineRule="atLeast"/>
        <w:jc w:val="both"/>
        <w:rPr>
          <w:szCs w:val="22"/>
        </w:rPr>
      </w:pPr>
      <w:r w:rsidRPr="00FC3034">
        <w:rPr>
          <w:szCs w:val="22"/>
        </w:rPr>
        <w:t>Symptomatická liečba klinických príznakov spojen</w:t>
      </w:r>
      <w:r>
        <w:rPr>
          <w:szCs w:val="22"/>
        </w:rPr>
        <w:t>ých s dysfunkciou stredovej časti</w:t>
      </w:r>
      <w:r w:rsidRPr="00FC3034">
        <w:rPr>
          <w:szCs w:val="22"/>
        </w:rPr>
        <w:t xml:space="preserve"> hypofýzy (PPID) (</w:t>
      </w:r>
      <w:proofErr w:type="spellStart"/>
      <w:r w:rsidRPr="00FC3034">
        <w:rPr>
          <w:szCs w:val="22"/>
        </w:rPr>
        <w:t>Cushingova</w:t>
      </w:r>
      <w:proofErr w:type="spellEnd"/>
      <w:r w:rsidRPr="00FC3034">
        <w:rPr>
          <w:szCs w:val="22"/>
        </w:rPr>
        <w:t xml:space="preserve"> choroba koní).</w:t>
      </w:r>
    </w:p>
    <w:p w14:paraId="6461DAD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DD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6461DAD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29B0AE" w14:textId="77777777" w:rsidR="00090299" w:rsidRPr="00FC3034" w:rsidRDefault="00090299" w:rsidP="000902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 xml:space="preserve">Nepoužívať u koní so známou precitlivenosťou na </w:t>
      </w:r>
      <w:proofErr w:type="spellStart"/>
      <w:r w:rsidRPr="00FC3034">
        <w:rPr>
          <w:szCs w:val="22"/>
        </w:rPr>
        <w:t>pergolid</w:t>
      </w:r>
      <w:proofErr w:type="spellEnd"/>
      <w:r w:rsidRPr="00FC3034">
        <w:rPr>
          <w:szCs w:val="22"/>
        </w:rPr>
        <w:t xml:space="preserve"> </w:t>
      </w:r>
      <w:proofErr w:type="spellStart"/>
      <w:r w:rsidRPr="00FC3034">
        <w:rPr>
          <w:szCs w:val="22"/>
        </w:rPr>
        <w:t>mes</w:t>
      </w:r>
      <w:r>
        <w:rPr>
          <w:szCs w:val="22"/>
        </w:rPr>
        <w:t>y</w:t>
      </w:r>
      <w:r w:rsidRPr="00FC3034">
        <w:rPr>
          <w:szCs w:val="22"/>
        </w:rPr>
        <w:t>lát</w:t>
      </w:r>
      <w:proofErr w:type="spellEnd"/>
      <w:r w:rsidRPr="00FC3034">
        <w:rPr>
          <w:szCs w:val="22"/>
        </w:rPr>
        <w:t xml:space="preserve"> alebo iné deriváty námeľov alebo na niektorú z pomocných látok.</w:t>
      </w:r>
    </w:p>
    <w:p w14:paraId="596BC5D2" w14:textId="77777777" w:rsidR="00090299" w:rsidRPr="00FC3034" w:rsidRDefault="00090299" w:rsidP="000902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Nepoužívať u koní mladších ako 2 roky.</w:t>
      </w:r>
    </w:p>
    <w:p w14:paraId="6461DAD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461DAE0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6461DAE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AE4" w14:textId="3E56AA45" w:rsidR="00F354C5" w:rsidRPr="001E1F22" w:rsidRDefault="0009029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4683382F" w14:textId="77777777" w:rsidR="00090299" w:rsidRPr="00FC3034" w:rsidRDefault="00090299" w:rsidP="00090299">
      <w:pPr>
        <w:tabs>
          <w:tab w:val="clear" w:pos="567"/>
        </w:tabs>
        <w:spacing w:line="255" w:lineRule="atLeast"/>
        <w:jc w:val="both"/>
        <w:rPr>
          <w:szCs w:val="22"/>
        </w:rPr>
      </w:pPr>
      <w:r w:rsidRPr="00FC3034">
        <w:rPr>
          <w:szCs w:val="22"/>
          <w:lang w:eastAsia="en-GB"/>
        </w:rPr>
        <w:t>Mali by sa vykonať vhodné endokrinologické laboratórne testy, ako aj vyhodnotenie klinických príznakov s cieľom stanoviť diagnózu PPID.</w:t>
      </w:r>
    </w:p>
    <w:p w14:paraId="6461DAE5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461DAE6" w14:textId="1B292ACF" w:rsidR="00F354C5" w:rsidRPr="001E1F22" w:rsidRDefault="0009029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1571B884" w14:textId="4FEC8F30" w:rsidR="00090299" w:rsidRPr="00FC3034" w:rsidRDefault="00090299" w:rsidP="00090299">
      <w:pPr>
        <w:tabs>
          <w:tab w:val="clear" w:pos="567"/>
          <w:tab w:val="left" w:pos="90"/>
        </w:tabs>
        <w:spacing w:line="255" w:lineRule="atLeast"/>
        <w:jc w:val="both"/>
        <w:rPr>
          <w:szCs w:val="22"/>
          <w:lang w:eastAsia="en-GB"/>
        </w:rPr>
      </w:pPr>
      <w:r w:rsidRPr="00FC3034">
        <w:rPr>
          <w:szCs w:val="22"/>
          <w:lang w:eastAsia="en-GB"/>
        </w:rPr>
        <w:t xml:space="preserve">Pretože väčšina prípadov PPID je diagnostikovaná u starších koní, často sú prítomné ďalšie patologické procesy. Informácie o monitorovaní a frekvencii testovania nájdete v časti </w:t>
      </w:r>
      <w:r>
        <w:rPr>
          <w:szCs w:val="22"/>
          <w:lang w:eastAsia="en-GB"/>
        </w:rPr>
        <w:t>8</w:t>
      </w:r>
      <w:r w:rsidRPr="00FC3034">
        <w:rPr>
          <w:szCs w:val="22"/>
          <w:lang w:eastAsia="en-GB"/>
        </w:rPr>
        <w:t>.</w:t>
      </w:r>
    </w:p>
    <w:p w14:paraId="04A1110A" w14:textId="77777777" w:rsidR="00090299" w:rsidRPr="001E1F22" w:rsidRDefault="00090299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461DAE8" w14:textId="3806CEAD" w:rsidR="00F354C5" w:rsidRPr="001E1F22" w:rsidRDefault="00090299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1FA3A0D1" w14:textId="77777777" w:rsidR="002C759D" w:rsidRPr="00FC3034" w:rsidRDefault="002C759D" w:rsidP="002C759D">
      <w:pPr>
        <w:spacing w:line="240" w:lineRule="auto"/>
        <w:jc w:val="both"/>
        <w:rPr>
          <w:lang w:eastAsia="en-GB"/>
        </w:rPr>
      </w:pPr>
      <w:r w:rsidRPr="00FC3034">
        <w:rPr>
          <w:lang w:eastAsia="en-GB"/>
        </w:rPr>
        <w:t xml:space="preserve">Tento veterinárny liek môže spôsobiť podráždenie očí, dráždivý zápach alebo bolesť hlavy po rozdelení tabliet. Pri manipulácii s tabletami sa vyhýbajte kontaktu s očami a vdýchnutiu. Minimalizujte riziká expozície pri </w:t>
      </w:r>
      <w:r w:rsidRPr="006C6719">
        <w:rPr>
          <w:lang w:eastAsia="en-GB"/>
        </w:rPr>
        <w:t>delení alebo rozpúšťanie</w:t>
      </w:r>
      <w:r>
        <w:rPr>
          <w:lang w:eastAsia="en-GB"/>
        </w:rPr>
        <w:t xml:space="preserve"> tabliet</w:t>
      </w:r>
      <w:r w:rsidRPr="00FC3034">
        <w:rPr>
          <w:lang w:eastAsia="en-GB"/>
        </w:rPr>
        <w:t>, napr. tablety sa nesmú drviť.</w:t>
      </w:r>
    </w:p>
    <w:p w14:paraId="635D3B34" w14:textId="77777777" w:rsidR="002C759D" w:rsidRPr="00FC3034" w:rsidRDefault="002C759D" w:rsidP="002C759D">
      <w:pPr>
        <w:spacing w:line="240" w:lineRule="auto"/>
        <w:jc w:val="both"/>
        <w:rPr>
          <w:lang w:eastAsia="en-GB"/>
        </w:rPr>
      </w:pPr>
      <w:r w:rsidRPr="00FC3034">
        <w:rPr>
          <w:lang w:eastAsia="en-GB"/>
        </w:rPr>
        <w:t xml:space="preserve">V prípade kontaktu s pokožkou umyte exponovanú pokožku vodou. V prípade </w:t>
      </w:r>
      <w:r>
        <w:rPr>
          <w:lang w:eastAsia="en-GB"/>
        </w:rPr>
        <w:t>zasiahnutia</w:t>
      </w:r>
      <w:r w:rsidRPr="00FC3034">
        <w:rPr>
          <w:lang w:eastAsia="en-GB"/>
        </w:rPr>
        <w:t xml:space="preserve"> očí okamžite opláchnite postihnuté oko vodou a vyhľadajte lekársku pomoc. Pr</w:t>
      </w:r>
      <w:r>
        <w:rPr>
          <w:lang w:eastAsia="en-GB"/>
        </w:rPr>
        <w:t>i</w:t>
      </w:r>
      <w:r w:rsidRPr="00FC3034">
        <w:rPr>
          <w:lang w:eastAsia="en-GB"/>
        </w:rPr>
        <w:t xml:space="preserve"> podrážden</w:t>
      </w:r>
      <w:r>
        <w:rPr>
          <w:lang w:eastAsia="en-GB"/>
        </w:rPr>
        <w:t>í</w:t>
      </w:r>
      <w:r w:rsidRPr="00FC3034">
        <w:rPr>
          <w:lang w:eastAsia="en-GB"/>
        </w:rPr>
        <w:t xml:space="preserve"> nosa</w:t>
      </w:r>
      <w:r>
        <w:rPr>
          <w:lang w:eastAsia="en-GB"/>
        </w:rPr>
        <w:t xml:space="preserve"> sa</w:t>
      </w:r>
      <w:r w:rsidRPr="00FC3034">
        <w:rPr>
          <w:lang w:eastAsia="en-GB"/>
        </w:rPr>
        <w:t xml:space="preserve"> presuňte na čerstvý vzduch a vyhľadajte lekársku pomoc, ak sa vyvin</w:t>
      </w:r>
      <w:r>
        <w:rPr>
          <w:lang w:eastAsia="en-GB"/>
        </w:rPr>
        <w:t>ú</w:t>
      </w:r>
      <w:r w:rsidRPr="00FC3034">
        <w:rPr>
          <w:lang w:eastAsia="en-GB"/>
        </w:rPr>
        <w:t xml:space="preserve"> ťažkosti s dýchaním. </w:t>
      </w:r>
    </w:p>
    <w:p w14:paraId="0AB52C76" w14:textId="77777777" w:rsidR="002C759D" w:rsidRPr="00FC3034" w:rsidRDefault="002C759D" w:rsidP="002C759D">
      <w:pPr>
        <w:autoSpaceDE w:val="0"/>
        <w:autoSpaceDN w:val="0"/>
        <w:adjustRightInd w:val="0"/>
        <w:spacing w:line="240" w:lineRule="auto"/>
        <w:ind w:left="426"/>
        <w:jc w:val="both"/>
        <w:rPr>
          <w:lang w:eastAsia="en-GB"/>
        </w:rPr>
      </w:pPr>
    </w:p>
    <w:p w14:paraId="637753ED" w14:textId="77777777" w:rsidR="002C759D" w:rsidRPr="00FC3034" w:rsidRDefault="002C759D" w:rsidP="002C759D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  <w:r w:rsidRPr="00FC3034">
        <w:rPr>
          <w:lang w:eastAsia="en-GB"/>
        </w:rPr>
        <w:t>Tento</w:t>
      </w:r>
      <w:r w:rsidRPr="002C759D">
        <w:rPr>
          <w:lang w:eastAsia="en-GB"/>
        </w:rPr>
        <w:t xml:space="preserve"> </w:t>
      </w:r>
      <w:r w:rsidRPr="00FC3034">
        <w:rPr>
          <w:lang w:eastAsia="en-GB"/>
        </w:rPr>
        <w:t xml:space="preserve">veterinárny liek môže spôsobiť reakcie z precitlivenosti (alergie). Ľudia so známou precitlivenosťou na </w:t>
      </w:r>
      <w:proofErr w:type="spellStart"/>
      <w:r w:rsidRPr="00FC3034">
        <w:rPr>
          <w:lang w:eastAsia="en-GB"/>
        </w:rPr>
        <w:t>pergolid</w:t>
      </w:r>
      <w:proofErr w:type="spellEnd"/>
      <w:r w:rsidRPr="00FC3034">
        <w:rPr>
          <w:lang w:eastAsia="en-GB"/>
        </w:rPr>
        <w:t xml:space="preserve"> alebo iné deriváty námeľov by sa mali vyhýbať kontaktu s veterinárnym liekom.</w:t>
      </w:r>
    </w:p>
    <w:p w14:paraId="73DB999D" w14:textId="77777777" w:rsidR="002C759D" w:rsidRPr="00FC3034" w:rsidRDefault="002C759D" w:rsidP="002C759D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  <w:r w:rsidRPr="00FC3034">
        <w:rPr>
          <w:lang w:eastAsia="en-GB"/>
        </w:rPr>
        <w:lastRenderedPageBreak/>
        <w:t xml:space="preserve">Tento veterinárny liek môže spôsobiť nežiaduce účinky v dôsledku znížených hladín </w:t>
      </w:r>
      <w:proofErr w:type="spellStart"/>
      <w:r w:rsidRPr="00FC3034">
        <w:rPr>
          <w:lang w:eastAsia="en-GB"/>
        </w:rPr>
        <w:t>prolaktínu</w:t>
      </w:r>
      <w:proofErr w:type="spellEnd"/>
      <w:r w:rsidRPr="00FC3034">
        <w:rPr>
          <w:lang w:eastAsia="en-GB"/>
        </w:rPr>
        <w:t xml:space="preserve">, čo predstavuje osobitné riziko pre tehotné a dojčiace ženy. Tehotné alebo dojčiace ženy by sa mali pri podávaní lieku vyhýbať kontaktu s pokožkou alebo </w:t>
      </w:r>
      <w:r w:rsidRPr="00F86B1A">
        <w:rPr>
          <w:lang w:eastAsia="en-GB"/>
        </w:rPr>
        <w:t xml:space="preserve">kontaktom </w:t>
      </w:r>
      <w:proofErr w:type="spellStart"/>
      <w:r w:rsidRPr="00F86B1A">
        <w:rPr>
          <w:lang w:eastAsia="en-GB"/>
        </w:rPr>
        <w:t>ruky-ústa</w:t>
      </w:r>
      <w:proofErr w:type="spellEnd"/>
      <w:r>
        <w:rPr>
          <w:lang w:eastAsia="en-GB"/>
        </w:rPr>
        <w:t xml:space="preserve"> tým, že budú pri podávaní </w:t>
      </w:r>
      <w:r w:rsidRPr="00FC3034">
        <w:rPr>
          <w:szCs w:val="22"/>
        </w:rPr>
        <w:t>veterinárneho</w:t>
      </w:r>
      <w:r w:rsidRPr="00FC3034">
        <w:rPr>
          <w:lang w:eastAsia="en-GB"/>
        </w:rPr>
        <w:t xml:space="preserve"> lie</w:t>
      </w:r>
      <w:r>
        <w:rPr>
          <w:lang w:eastAsia="en-GB"/>
        </w:rPr>
        <w:t>ku používať rukavice</w:t>
      </w:r>
      <w:r w:rsidRPr="009D7D27">
        <w:rPr>
          <w:lang w:eastAsia="en-GB"/>
        </w:rPr>
        <w:t xml:space="preserve">. </w:t>
      </w:r>
    </w:p>
    <w:p w14:paraId="2CC90A17" w14:textId="77777777" w:rsidR="00090299" w:rsidRPr="00FC3034" w:rsidRDefault="00090299" w:rsidP="00090299">
      <w:pPr>
        <w:spacing w:line="240" w:lineRule="auto"/>
        <w:ind w:left="426"/>
        <w:jc w:val="both"/>
      </w:pPr>
    </w:p>
    <w:p w14:paraId="3794E3DB" w14:textId="2DCCA422" w:rsidR="00090299" w:rsidRPr="00FC3034" w:rsidRDefault="00090299" w:rsidP="00090299">
      <w:pPr>
        <w:autoSpaceDE w:val="0"/>
        <w:autoSpaceDN w:val="0"/>
        <w:adjustRightInd w:val="0"/>
        <w:spacing w:line="240" w:lineRule="auto"/>
        <w:jc w:val="both"/>
        <w:rPr>
          <w:lang w:eastAsia="en-GB"/>
        </w:rPr>
      </w:pPr>
      <w:r w:rsidRPr="006C6719">
        <w:rPr>
          <w:lang w:eastAsia="en-GB"/>
        </w:rPr>
        <w:t>Náhodné požitie, najmä u detí, môže spôsobiť vracanie, závraty, únav</w:t>
      </w:r>
      <w:r w:rsidR="00E91AEB">
        <w:rPr>
          <w:lang w:eastAsia="en-GB"/>
        </w:rPr>
        <w:t>u</w:t>
      </w:r>
      <w:r w:rsidRPr="006C6719">
        <w:rPr>
          <w:lang w:eastAsia="en-GB"/>
        </w:rPr>
        <w:t xml:space="preserve"> alebo nízky krvný tlak.</w:t>
      </w:r>
      <w:r w:rsidRPr="00FC3034">
        <w:rPr>
          <w:lang w:eastAsia="en-GB"/>
        </w:rPr>
        <w:t xml:space="preserve"> Aby ste predišli náhodnému požitiu, uchovávajte </w:t>
      </w:r>
      <w:r w:rsidR="00E91AEB">
        <w:rPr>
          <w:lang w:eastAsia="en-GB"/>
        </w:rPr>
        <w:t>liek</w:t>
      </w:r>
      <w:r w:rsidRPr="00FC3034">
        <w:rPr>
          <w:lang w:eastAsia="en-GB"/>
        </w:rPr>
        <w:t xml:space="preserve"> mimo dosahu a dohľadu detí. </w:t>
      </w:r>
      <w:r>
        <w:rPr>
          <w:lang w:eastAsia="en-GB"/>
        </w:rPr>
        <w:t>Časti t</w:t>
      </w:r>
      <w:r w:rsidRPr="009D7D27">
        <w:rPr>
          <w:lang w:eastAsia="en-GB"/>
        </w:rPr>
        <w:t>a</w:t>
      </w:r>
      <w:r>
        <w:rPr>
          <w:lang w:eastAsia="en-GB"/>
        </w:rPr>
        <w:t>bliet</w:t>
      </w:r>
      <w:r w:rsidRPr="009D7D27">
        <w:rPr>
          <w:lang w:eastAsia="en-GB"/>
        </w:rPr>
        <w:t xml:space="preserve"> </w:t>
      </w:r>
      <w:r w:rsidRPr="00FC3034">
        <w:rPr>
          <w:lang w:eastAsia="en-GB"/>
        </w:rPr>
        <w:t>by sa mali vrátiť do otvoreného</w:t>
      </w:r>
      <w:r>
        <w:rPr>
          <w:lang w:eastAsia="en-GB"/>
        </w:rPr>
        <w:t xml:space="preserve"> </w:t>
      </w:r>
      <w:proofErr w:type="spellStart"/>
      <w:r w:rsidRPr="00FC3034">
        <w:rPr>
          <w:lang w:eastAsia="en-GB"/>
        </w:rPr>
        <w:t>blistra</w:t>
      </w:r>
      <w:proofErr w:type="spellEnd"/>
      <w:r w:rsidRPr="00FC3034">
        <w:rPr>
          <w:lang w:eastAsia="en-GB"/>
        </w:rPr>
        <w:t xml:space="preserve">. </w:t>
      </w:r>
      <w:proofErr w:type="spellStart"/>
      <w:r w:rsidRPr="00FC3034">
        <w:rPr>
          <w:lang w:eastAsia="en-GB"/>
        </w:rPr>
        <w:t>Blistre</w:t>
      </w:r>
      <w:proofErr w:type="spellEnd"/>
      <w:r w:rsidRPr="00FC3034">
        <w:rPr>
          <w:lang w:eastAsia="en-GB"/>
        </w:rPr>
        <w:t xml:space="preserve"> musia byť vložené späť do vonkajšieho obalu a uchovávané na bezpečnom mieste. V prípade náhodného požitia okamžite vyhľadajte lekársku pomoc a ukážte písomnú informáciu pre používateľov alebo obal lekárovi.</w:t>
      </w:r>
    </w:p>
    <w:p w14:paraId="65F617AE" w14:textId="77777777" w:rsidR="00090299" w:rsidRPr="00FC3034" w:rsidRDefault="00090299" w:rsidP="00090299">
      <w:pPr>
        <w:spacing w:line="240" w:lineRule="auto"/>
        <w:jc w:val="both"/>
        <w:rPr>
          <w:lang w:eastAsia="en-GB"/>
        </w:rPr>
      </w:pPr>
    </w:p>
    <w:p w14:paraId="2CF76739" w14:textId="1EC178A2" w:rsidR="00090299" w:rsidRPr="00FC3034" w:rsidRDefault="00090299" w:rsidP="00090299">
      <w:pPr>
        <w:spacing w:line="240" w:lineRule="auto"/>
        <w:jc w:val="both"/>
        <w:rPr>
          <w:lang w:eastAsia="en-GB"/>
        </w:rPr>
      </w:pPr>
      <w:r w:rsidRPr="00FC3034">
        <w:t xml:space="preserve">Pri používaní tohto </w:t>
      </w:r>
      <w:r w:rsidR="00E91AEB">
        <w:t>lieku</w:t>
      </w:r>
      <w:r w:rsidRPr="00FC3034">
        <w:t xml:space="preserve"> nejedzte, nepite ani nefajčite. Po použití si umyte ruky</w:t>
      </w:r>
      <w:r w:rsidRPr="00FC3034">
        <w:rPr>
          <w:lang w:eastAsia="en-GB"/>
        </w:rPr>
        <w:t>.</w:t>
      </w:r>
    </w:p>
    <w:p w14:paraId="6461DAE9" w14:textId="77777777" w:rsidR="002F6DAA" w:rsidRPr="001E1F22" w:rsidRDefault="002F6DAA" w:rsidP="005B1FD0">
      <w:pPr>
        <w:rPr>
          <w:szCs w:val="22"/>
          <w:u w:val="single"/>
        </w:rPr>
      </w:pPr>
    </w:p>
    <w:p w14:paraId="6461DAEE" w14:textId="5A8F3CB9" w:rsidR="005B1FD0" w:rsidRPr="001E1F22" w:rsidRDefault="00090299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71566C62" w14:textId="77777777" w:rsidR="00090299" w:rsidRPr="00FC3034" w:rsidRDefault="00090299" w:rsidP="00090299">
      <w:pPr>
        <w:jc w:val="both"/>
        <w:rPr>
          <w:szCs w:val="22"/>
        </w:rPr>
      </w:pPr>
      <w:r w:rsidRPr="00FC3034">
        <w:rPr>
          <w:szCs w:val="22"/>
        </w:rPr>
        <w:t xml:space="preserve">Bezpečnosť tohto veterinárneho lieku nebola preukázaná u gravidných kobýl. Laboratórne štúdie na myšiach a králikoch nepreukázali </w:t>
      </w:r>
      <w:proofErr w:type="spellStart"/>
      <w:r w:rsidRPr="00FC3034">
        <w:rPr>
          <w:szCs w:val="22"/>
        </w:rPr>
        <w:t>teratogénne</w:t>
      </w:r>
      <w:proofErr w:type="spellEnd"/>
      <w:r w:rsidRPr="00FC3034">
        <w:rPr>
          <w:szCs w:val="22"/>
        </w:rPr>
        <w:t xml:space="preserve"> účinky. U myší sa pozorovala znížená </w:t>
      </w:r>
      <w:proofErr w:type="spellStart"/>
      <w:r w:rsidRPr="00FC3034">
        <w:rPr>
          <w:szCs w:val="22"/>
        </w:rPr>
        <w:t>fertilita</w:t>
      </w:r>
      <w:proofErr w:type="spellEnd"/>
      <w:r w:rsidRPr="00FC3034">
        <w:rPr>
          <w:szCs w:val="22"/>
        </w:rPr>
        <w:t xml:space="preserve"> v dávke 5,6 mg / kg </w:t>
      </w:r>
      <w:r>
        <w:rPr>
          <w:szCs w:val="22"/>
        </w:rPr>
        <w:t>živej</w:t>
      </w:r>
      <w:r w:rsidRPr="00FC3034">
        <w:rPr>
          <w:szCs w:val="22"/>
        </w:rPr>
        <w:t xml:space="preserve"> hmotnosti denne.</w:t>
      </w:r>
      <w:r w:rsidRPr="006C6719">
        <w:t xml:space="preserve"> </w:t>
      </w:r>
      <w:r w:rsidRPr="006C6719">
        <w:rPr>
          <w:szCs w:val="22"/>
        </w:rPr>
        <w:t>Používajte len podľa posúdenia prínosu a rizika zodpovedným veterinárnym lekárom.</w:t>
      </w:r>
    </w:p>
    <w:p w14:paraId="6461DAEF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461DAF0" w14:textId="528C0A08" w:rsidR="005B1FD0" w:rsidRPr="001E1F22" w:rsidRDefault="00090299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Laktácia</w:t>
      </w:r>
      <w:r w:rsidRPr="001E1F22">
        <w:t>:</w:t>
      </w:r>
    </w:p>
    <w:p w14:paraId="71B783B4" w14:textId="77777777" w:rsidR="00090299" w:rsidRPr="00FC3034" w:rsidRDefault="00090299" w:rsidP="00090299">
      <w:pPr>
        <w:jc w:val="both"/>
        <w:rPr>
          <w:szCs w:val="22"/>
        </w:rPr>
      </w:pPr>
      <w:r w:rsidRPr="00FC3034">
        <w:rPr>
          <w:szCs w:val="22"/>
        </w:rPr>
        <w:t xml:space="preserve">Použitie sa neodporúča u dojčiacich koní, u ktorých nebola preukázaná bezpečnosť tohto veterinárneho lieku. U myší sa znížená </w:t>
      </w:r>
      <w:r>
        <w:rPr>
          <w:szCs w:val="22"/>
        </w:rPr>
        <w:t>živá</w:t>
      </w:r>
      <w:r w:rsidRPr="00FC3034">
        <w:rPr>
          <w:szCs w:val="22"/>
        </w:rPr>
        <w:t xml:space="preserve"> hmotnosť a miera prežitia u potomstva pripisovala farmakologickej inhibícii sekrécie </w:t>
      </w:r>
      <w:proofErr w:type="spellStart"/>
      <w:r w:rsidRPr="00FC3034">
        <w:rPr>
          <w:szCs w:val="22"/>
        </w:rPr>
        <w:t>prolaktínu</w:t>
      </w:r>
      <w:proofErr w:type="spellEnd"/>
      <w:r w:rsidRPr="00FC3034">
        <w:rPr>
          <w:szCs w:val="22"/>
        </w:rPr>
        <w:t>, čo viedlo k zlyhaniu laktácie.</w:t>
      </w:r>
    </w:p>
    <w:p w14:paraId="284496E4" w14:textId="77777777" w:rsidR="00090299" w:rsidRPr="001E1F22" w:rsidRDefault="00090299" w:rsidP="0009029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Neuplatňuje sa.</w:t>
      </w:r>
    </w:p>
    <w:p w14:paraId="6A5D5E1A" w14:textId="77777777" w:rsidR="00090299" w:rsidRDefault="00090299" w:rsidP="00090299">
      <w:pPr>
        <w:tabs>
          <w:tab w:val="clear" w:pos="567"/>
        </w:tabs>
        <w:spacing w:line="240" w:lineRule="auto"/>
      </w:pPr>
    </w:p>
    <w:p w14:paraId="6461DAF9" w14:textId="55A2EA4C" w:rsidR="005B1FD0" w:rsidRDefault="002C759D" w:rsidP="005B1FD0">
      <w:pPr>
        <w:tabs>
          <w:tab w:val="clear" w:pos="567"/>
        </w:tabs>
        <w:spacing w:line="240" w:lineRule="auto"/>
      </w:pPr>
      <w:r w:rsidRPr="002C759D">
        <w:rPr>
          <w:szCs w:val="22"/>
          <w:u w:val="single"/>
        </w:rPr>
        <w:t>Interakcie s inými liekmi a ďalšie formy interakcií</w:t>
      </w:r>
      <w:r w:rsidR="00090299" w:rsidRPr="001E1F22">
        <w:t>:</w:t>
      </w:r>
    </w:p>
    <w:p w14:paraId="5F516107" w14:textId="77777777" w:rsidR="00090299" w:rsidRPr="006C6719" w:rsidRDefault="00090299" w:rsidP="00090299">
      <w:pPr>
        <w:tabs>
          <w:tab w:val="clear" w:pos="567"/>
        </w:tabs>
        <w:spacing w:line="240" w:lineRule="auto"/>
        <w:rPr>
          <w:szCs w:val="22"/>
        </w:rPr>
      </w:pPr>
      <w:r w:rsidRPr="006C6719">
        <w:rPr>
          <w:szCs w:val="22"/>
        </w:rPr>
        <w:t>Používajte opatrne v prípade, že sa veterinárny liek podáva súčasne s inými liekmi, o ktorých je známe, že ovplyvňujú väzbu na bielkoviny.</w:t>
      </w:r>
    </w:p>
    <w:p w14:paraId="50042F38" w14:textId="77777777" w:rsidR="00090299" w:rsidRDefault="00090299" w:rsidP="00090299">
      <w:pPr>
        <w:tabs>
          <w:tab w:val="clear" w:pos="567"/>
        </w:tabs>
        <w:spacing w:line="240" w:lineRule="auto"/>
        <w:rPr>
          <w:szCs w:val="22"/>
        </w:rPr>
      </w:pPr>
      <w:r w:rsidRPr="006C6719">
        <w:rPr>
          <w:szCs w:val="22"/>
        </w:rPr>
        <w:t xml:space="preserve">Nepodávajte súbežne s antagonistami </w:t>
      </w:r>
      <w:proofErr w:type="spellStart"/>
      <w:r w:rsidRPr="006C6719">
        <w:rPr>
          <w:szCs w:val="22"/>
        </w:rPr>
        <w:t>dopamínu</w:t>
      </w:r>
      <w:proofErr w:type="spellEnd"/>
      <w:r w:rsidRPr="006C6719">
        <w:rPr>
          <w:szCs w:val="22"/>
        </w:rPr>
        <w:t xml:space="preserve">, ako sú </w:t>
      </w:r>
      <w:proofErr w:type="spellStart"/>
      <w:r w:rsidRPr="006C6719">
        <w:rPr>
          <w:szCs w:val="22"/>
        </w:rPr>
        <w:t>neuroleptiká</w:t>
      </w:r>
      <w:proofErr w:type="spellEnd"/>
      <w:r w:rsidRPr="006C6719">
        <w:rPr>
          <w:szCs w:val="22"/>
        </w:rPr>
        <w:t xml:space="preserve"> (</w:t>
      </w:r>
      <w:proofErr w:type="spellStart"/>
      <w:r w:rsidRPr="006C6719">
        <w:rPr>
          <w:szCs w:val="22"/>
        </w:rPr>
        <w:t>fenotiazíny</w:t>
      </w:r>
      <w:proofErr w:type="spellEnd"/>
      <w:r w:rsidRPr="006C6719">
        <w:rPr>
          <w:szCs w:val="22"/>
        </w:rPr>
        <w:t xml:space="preserve"> - napr. </w:t>
      </w:r>
      <w:proofErr w:type="spellStart"/>
      <w:r w:rsidRPr="006C6719">
        <w:rPr>
          <w:szCs w:val="22"/>
        </w:rPr>
        <w:t>Acepromazín</w:t>
      </w:r>
      <w:proofErr w:type="spellEnd"/>
      <w:r w:rsidRPr="006C6719">
        <w:rPr>
          <w:szCs w:val="22"/>
        </w:rPr>
        <w:t xml:space="preserve">), </w:t>
      </w:r>
      <w:proofErr w:type="spellStart"/>
      <w:r w:rsidRPr="006C6719">
        <w:rPr>
          <w:szCs w:val="22"/>
        </w:rPr>
        <w:t>domperidón</w:t>
      </w:r>
      <w:proofErr w:type="spellEnd"/>
      <w:r w:rsidRPr="006C6719">
        <w:rPr>
          <w:szCs w:val="22"/>
        </w:rPr>
        <w:t xml:space="preserve"> alebo </w:t>
      </w:r>
      <w:proofErr w:type="spellStart"/>
      <w:r w:rsidRPr="006C6719">
        <w:rPr>
          <w:szCs w:val="22"/>
        </w:rPr>
        <w:t>metoklopramid</w:t>
      </w:r>
      <w:proofErr w:type="spellEnd"/>
      <w:r w:rsidRPr="006C6719">
        <w:rPr>
          <w:szCs w:val="22"/>
        </w:rPr>
        <w:t xml:space="preserve">, pretože tieto látky môžu znížiť účinnosť </w:t>
      </w:r>
      <w:proofErr w:type="spellStart"/>
      <w:r w:rsidRPr="006C6719">
        <w:rPr>
          <w:szCs w:val="22"/>
        </w:rPr>
        <w:t>pergolidu</w:t>
      </w:r>
      <w:proofErr w:type="spellEnd"/>
      <w:r>
        <w:rPr>
          <w:szCs w:val="22"/>
        </w:rPr>
        <w:t>.</w:t>
      </w:r>
    </w:p>
    <w:p w14:paraId="03E8BE86" w14:textId="77777777" w:rsidR="00090299" w:rsidRPr="001E1F22" w:rsidRDefault="00090299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461DAFA" w14:textId="1985042A" w:rsidR="005B1FD0" w:rsidRPr="001E1F22" w:rsidRDefault="00090299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4A944AAD" w14:textId="77777777" w:rsidR="00090299" w:rsidRPr="00FC3034" w:rsidRDefault="00090299" w:rsidP="000902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Nie sú dostupné žiadne informácie.</w:t>
      </w:r>
    </w:p>
    <w:p w14:paraId="6461DAFB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461DAFC" w14:textId="376B869F" w:rsidR="005B1FD0" w:rsidRPr="001E1F22" w:rsidRDefault="00090299" w:rsidP="005B1FD0">
      <w:pPr>
        <w:rPr>
          <w:szCs w:val="22"/>
        </w:rPr>
      </w:pP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</w:t>
      </w:r>
    </w:p>
    <w:p w14:paraId="005D577A" w14:textId="77777777" w:rsidR="00090299" w:rsidRPr="001E1F22" w:rsidRDefault="00090299" w:rsidP="0009029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461DAFD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461DAFE" w14:textId="7937A5F5" w:rsidR="005B1FD0" w:rsidRPr="001E1F22" w:rsidRDefault="00090299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4328290F" w14:textId="77777777" w:rsidR="00090299" w:rsidRPr="001E1F22" w:rsidRDefault="00090299" w:rsidP="0009029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461DB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01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6461DB0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F001E0" w14:textId="77777777" w:rsidR="00090299" w:rsidRPr="001E1F22" w:rsidRDefault="00090299" w:rsidP="00090299">
      <w:pPr>
        <w:tabs>
          <w:tab w:val="clear" w:pos="567"/>
        </w:tabs>
        <w:spacing w:line="240" w:lineRule="auto"/>
        <w:rPr>
          <w:szCs w:val="22"/>
        </w:rPr>
      </w:pPr>
      <w:r>
        <w:t>Kone: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90299" w14:paraId="210F885C" w14:textId="77777777" w:rsidTr="002604F7">
        <w:tc>
          <w:tcPr>
            <w:tcW w:w="1957" w:type="pct"/>
          </w:tcPr>
          <w:p w14:paraId="147FAF6F" w14:textId="77777777" w:rsidR="00090299" w:rsidRPr="001E1F22" w:rsidRDefault="00090299" w:rsidP="002604F7">
            <w:pPr>
              <w:spacing w:before="60" w:after="60"/>
              <w:rPr>
                <w:szCs w:val="22"/>
              </w:rPr>
            </w:pPr>
            <w:r w:rsidRPr="001E1F22">
              <w:t>Zriedkavé</w:t>
            </w:r>
          </w:p>
          <w:p w14:paraId="0179FF0F" w14:textId="77777777" w:rsidR="00090299" w:rsidRPr="001E1F22" w:rsidRDefault="00090299" w:rsidP="002604F7">
            <w:pPr>
              <w:spacing w:before="60" w:after="60"/>
              <w:rPr>
                <w:szCs w:val="22"/>
              </w:rPr>
            </w:pPr>
            <w:r w:rsidRPr="001E1F22">
              <w:t>(u viac ako 1 ale menej ako 10 z 10 000 liečených zvierat):</w:t>
            </w:r>
          </w:p>
        </w:tc>
        <w:tc>
          <w:tcPr>
            <w:tcW w:w="3043" w:type="pct"/>
          </w:tcPr>
          <w:p w14:paraId="403A8BBC" w14:textId="77777777" w:rsidR="00090299" w:rsidRPr="001E1F22" w:rsidRDefault="00090299" w:rsidP="002604F7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Pr="006C6719">
              <w:t xml:space="preserve">evoľnosť, prechodná </w:t>
            </w:r>
            <w:proofErr w:type="spellStart"/>
            <w:r w:rsidRPr="006C6719">
              <w:t>anorexia</w:t>
            </w:r>
            <w:proofErr w:type="spellEnd"/>
            <w:r w:rsidRPr="006C6719">
              <w:t xml:space="preserve"> a letargia, mierne príznaky centrálneho nervového systému (napr. mierna depresia a mierna </w:t>
            </w:r>
            <w:proofErr w:type="spellStart"/>
            <w:r w:rsidRPr="006C6719">
              <w:t>ataxia</w:t>
            </w:r>
            <w:proofErr w:type="spellEnd"/>
            <w:r w:rsidRPr="006C6719">
              <w:t>), hnačka a kolika.</w:t>
            </w:r>
          </w:p>
        </w:tc>
      </w:tr>
      <w:tr w:rsidR="00090299" w14:paraId="70141108" w14:textId="77777777" w:rsidTr="002604F7">
        <w:tc>
          <w:tcPr>
            <w:tcW w:w="1957" w:type="pct"/>
          </w:tcPr>
          <w:p w14:paraId="6BEF074A" w14:textId="77777777" w:rsidR="00090299" w:rsidRPr="001E1F22" w:rsidRDefault="00090299" w:rsidP="002604F7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4BF781DE" w14:textId="77777777" w:rsidR="00090299" w:rsidRPr="001E1F22" w:rsidRDefault="00090299" w:rsidP="002604F7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13DEF59" w14:textId="77777777" w:rsidR="00090299" w:rsidRPr="001E1F22" w:rsidRDefault="00090299" w:rsidP="002604F7">
            <w:pPr>
              <w:spacing w:before="60" w:after="60"/>
              <w:rPr>
                <w:iCs/>
                <w:szCs w:val="22"/>
              </w:rPr>
            </w:pPr>
            <w:r>
              <w:t>P</w:t>
            </w:r>
            <w:r w:rsidRPr="006C6719">
              <w:t>otenie</w:t>
            </w:r>
          </w:p>
        </w:tc>
      </w:tr>
    </w:tbl>
    <w:p w14:paraId="4CDE48BB" w14:textId="77777777" w:rsidR="00090299" w:rsidRPr="001E1F22" w:rsidRDefault="00090299" w:rsidP="00090299">
      <w:pPr>
        <w:tabs>
          <w:tab w:val="clear" w:pos="567"/>
        </w:tabs>
        <w:spacing w:line="240" w:lineRule="auto"/>
        <w:rPr>
          <w:szCs w:val="22"/>
        </w:rPr>
      </w:pPr>
    </w:p>
    <w:p w14:paraId="6461DB07" w14:textId="278EFA42" w:rsidR="00F520FE" w:rsidRDefault="00090299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</w:t>
      </w:r>
      <w:r w:rsidR="002C759D">
        <w:t> </w:t>
      </w:r>
      <w:r w:rsidRPr="001E1F22">
        <w:t>registrácii</w:t>
      </w:r>
      <w:r w:rsidR="002C759D">
        <w:t xml:space="preserve"> alebo </w:t>
      </w:r>
      <w:r w:rsidRPr="001E1F22">
        <w:t xml:space="preserve">miestnemu zástupcovi </w:t>
      </w:r>
      <w:r w:rsidRPr="001E1F22">
        <w:lastRenderedPageBreak/>
        <w:t>držiteľa rozhodnutia o registrácii prostredníctvom kontaktných údajov na konci tejto písomnej informácie alebo prostredníctvom národného systému hlásenia</w:t>
      </w:r>
      <w:r w:rsidR="003056EA">
        <w:t xml:space="preserve">: </w:t>
      </w:r>
      <w:hyperlink r:id="rId14" w:history="1">
        <w:r w:rsidR="003056EA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 w:rsidRPr="001E1F22">
        <w:t>.</w:t>
      </w:r>
    </w:p>
    <w:p w14:paraId="55305125" w14:textId="77777777" w:rsidR="00090299" w:rsidRPr="001E1F22" w:rsidRDefault="0009029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61DB08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6461DB0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9F586C" w14:textId="45FD1DD0" w:rsidR="00090299" w:rsidRDefault="00090299" w:rsidP="000902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C3034">
        <w:rPr>
          <w:szCs w:val="22"/>
        </w:rPr>
        <w:t>Perorálne použitie raz denne.</w:t>
      </w:r>
    </w:p>
    <w:p w14:paraId="1A6DA02A" w14:textId="77777777" w:rsidR="00090299" w:rsidRPr="00FC3034" w:rsidRDefault="00090299" w:rsidP="0009029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392ABC" w14:textId="77777777" w:rsidR="00090299" w:rsidRPr="00090299" w:rsidRDefault="00090299" w:rsidP="00090299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90299">
        <w:rPr>
          <w:b/>
          <w:bCs/>
          <w:szCs w:val="22"/>
        </w:rPr>
        <w:t xml:space="preserve">Počiatočná dávka </w:t>
      </w:r>
    </w:p>
    <w:p w14:paraId="58292BAA" w14:textId="6DAB18BA" w:rsidR="00090299" w:rsidRPr="00090299" w:rsidRDefault="00090299" w:rsidP="00090299">
      <w:pPr>
        <w:tabs>
          <w:tab w:val="clear" w:pos="567"/>
        </w:tabs>
        <w:spacing w:line="240" w:lineRule="auto"/>
        <w:rPr>
          <w:szCs w:val="22"/>
        </w:rPr>
      </w:pPr>
      <w:r w:rsidRPr="00090299">
        <w:rPr>
          <w:szCs w:val="22"/>
        </w:rPr>
        <w:t xml:space="preserve">Počiatočná dávka je približne 2 </w:t>
      </w:r>
      <w:proofErr w:type="spellStart"/>
      <w:r w:rsidRPr="00090299">
        <w:rPr>
          <w:szCs w:val="22"/>
        </w:rPr>
        <w:t>μg</w:t>
      </w:r>
      <w:proofErr w:type="spellEnd"/>
      <w:r w:rsidRPr="00090299">
        <w:rPr>
          <w:szCs w:val="22"/>
        </w:rPr>
        <w:t xml:space="preserve"> </w:t>
      </w:r>
      <w:proofErr w:type="spellStart"/>
      <w:r w:rsidRPr="00090299">
        <w:rPr>
          <w:szCs w:val="22"/>
        </w:rPr>
        <w:t>pergolidu</w:t>
      </w:r>
      <w:proofErr w:type="spellEnd"/>
      <w:r w:rsidRPr="00090299">
        <w:rPr>
          <w:szCs w:val="22"/>
        </w:rPr>
        <w:t>/kg (rozsah dávky: 1,</w:t>
      </w:r>
      <w:r w:rsidR="003056EA">
        <w:rPr>
          <w:szCs w:val="22"/>
        </w:rPr>
        <w:t>7</w:t>
      </w:r>
      <w:r w:rsidRPr="00090299">
        <w:rPr>
          <w:szCs w:val="22"/>
        </w:rPr>
        <w:t xml:space="preserve"> až 2,5 </w:t>
      </w:r>
      <w:proofErr w:type="spellStart"/>
      <w:r w:rsidRPr="00090299">
        <w:rPr>
          <w:szCs w:val="22"/>
        </w:rPr>
        <w:t>μg</w:t>
      </w:r>
      <w:proofErr w:type="spellEnd"/>
      <w:r w:rsidRPr="00090299">
        <w:rPr>
          <w:szCs w:val="22"/>
        </w:rPr>
        <w:t xml:space="preserve">/kg, pozri tabuľku nižšie). Udržiavacia dávka sa má potom </w:t>
      </w:r>
      <w:proofErr w:type="spellStart"/>
      <w:r w:rsidRPr="00090299">
        <w:rPr>
          <w:szCs w:val="22"/>
        </w:rPr>
        <w:t>titrovať</w:t>
      </w:r>
      <w:proofErr w:type="spellEnd"/>
      <w:r w:rsidRPr="00090299">
        <w:rPr>
          <w:szCs w:val="22"/>
        </w:rPr>
        <w:t xml:space="preserve"> podľa individuálnej odpovede stanovenej sledovaním (pozri nižšie), až do priemernej udržiavacej dávky 2 µg </w:t>
      </w:r>
      <w:proofErr w:type="spellStart"/>
      <w:r w:rsidRPr="00090299">
        <w:rPr>
          <w:szCs w:val="22"/>
        </w:rPr>
        <w:t>pergolidu</w:t>
      </w:r>
      <w:proofErr w:type="spellEnd"/>
      <w:r w:rsidRPr="00090299">
        <w:rPr>
          <w:szCs w:val="22"/>
        </w:rPr>
        <w:t xml:space="preserve">/kg živej hmotnosti s dávkou v rozsahu 0,6 až 10 µg </w:t>
      </w:r>
      <w:proofErr w:type="spellStart"/>
      <w:r w:rsidRPr="00090299">
        <w:rPr>
          <w:szCs w:val="22"/>
        </w:rPr>
        <w:t>pergolidu</w:t>
      </w:r>
      <w:proofErr w:type="spellEnd"/>
      <w:r w:rsidRPr="00090299">
        <w:rPr>
          <w:szCs w:val="22"/>
        </w:rPr>
        <w:t>/kg živej hmotnosti.</w:t>
      </w:r>
    </w:p>
    <w:p w14:paraId="3E7CF7EB" w14:textId="77777777" w:rsidR="00090299" w:rsidRPr="00090299" w:rsidRDefault="00090299" w:rsidP="00090299">
      <w:pPr>
        <w:tabs>
          <w:tab w:val="clear" w:pos="567"/>
        </w:tabs>
        <w:spacing w:line="240" w:lineRule="auto"/>
        <w:rPr>
          <w:szCs w:val="22"/>
        </w:rPr>
      </w:pPr>
    </w:p>
    <w:p w14:paraId="37B85A3E" w14:textId="1FC75030" w:rsidR="00090299" w:rsidRPr="00090299" w:rsidRDefault="00090299" w:rsidP="00090299">
      <w:pPr>
        <w:tabs>
          <w:tab w:val="clear" w:pos="567"/>
        </w:tabs>
        <w:spacing w:line="240" w:lineRule="auto"/>
        <w:rPr>
          <w:szCs w:val="22"/>
        </w:rPr>
      </w:pPr>
      <w:r w:rsidRPr="00090299">
        <w:rPr>
          <w:szCs w:val="22"/>
        </w:rPr>
        <w:t>Odporúčané počiatočné dávky sú nasledovné:</w:t>
      </w:r>
    </w:p>
    <w:p w14:paraId="785738F3" w14:textId="77777777" w:rsidR="00090299" w:rsidRPr="00FC3034" w:rsidRDefault="00090299" w:rsidP="00090299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0"/>
        <w:gridCol w:w="2089"/>
        <w:gridCol w:w="1843"/>
        <w:gridCol w:w="2268"/>
      </w:tblGrid>
      <w:tr w:rsidR="00090299" w:rsidRPr="00FC3034" w14:paraId="15C6F5C3" w14:textId="77777777" w:rsidTr="002604F7">
        <w:tc>
          <w:tcPr>
            <w:tcW w:w="2560" w:type="dxa"/>
          </w:tcPr>
          <w:p w14:paraId="4530B79D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Živá</w:t>
            </w:r>
            <w:r w:rsidRPr="00FC3034">
              <w:rPr>
                <w:szCs w:val="22"/>
              </w:rPr>
              <w:t xml:space="preserve"> hmotnosť koňa</w:t>
            </w:r>
          </w:p>
        </w:tc>
        <w:tc>
          <w:tcPr>
            <w:tcW w:w="2089" w:type="dxa"/>
          </w:tcPr>
          <w:p w14:paraId="7900ED41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Počet tabliet</w:t>
            </w:r>
          </w:p>
        </w:tc>
        <w:tc>
          <w:tcPr>
            <w:tcW w:w="1843" w:type="dxa"/>
          </w:tcPr>
          <w:p w14:paraId="339AD40B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Počiatočná dávka</w:t>
            </w:r>
          </w:p>
        </w:tc>
        <w:tc>
          <w:tcPr>
            <w:tcW w:w="2268" w:type="dxa"/>
          </w:tcPr>
          <w:p w14:paraId="55C58688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Rozsah dávkovania</w:t>
            </w:r>
          </w:p>
        </w:tc>
      </w:tr>
      <w:tr w:rsidR="00090299" w:rsidRPr="00FC3034" w14:paraId="5C56AD93" w14:textId="77777777" w:rsidTr="002604F7">
        <w:tc>
          <w:tcPr>
            <w:tcW w:w="2560" w:type="dxa"/>
          </w:tcPr>
          <w:p w14:paraId="0CCEF1F7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200 - 300 kg</w:t>
            </w:r>
          </w:p>
        </w:tc>
        <w:tc>
          <w:tcPr>
            <w:tcW w:w="2089" w:type="dxa"/>
          </w:tcPr>
          <w:p w14:paraId="7A254614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½</w:t>
            </w:r>
          </w:p>
        </w:tc>
        <w:tc>
          <w:tcPr>
            <w:tcW w:w="1843" w:type="dxa"/>
          </w:tcPr>
          <w:p w14:paraId="02FE53B2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0,50 mg</w:t>
            </w:r>
          </w:p>
        </w:tc>
        <w:tc>
          <w:tcPr>
            <w:tcW w:w="2268" w:type="dxa"/>
          </w:tcPr>
          <w:p w14:paraId="71DD92D3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 xml:space="preserve">1,7 – 2,5 </w:t>
            </w:r>
            <w:proofErr w:type="spellStart"/>
            <w:r w:rsidRPr="00FC3034">
              <w:rPr>
                <w:szCs w:val="22"/>
              </w:rPr>
              <w:t>μg</w:t>
            </w:r>
            <w:proofErr w:type="spellEnd"/>
            <w:r w:rsidRPr="00FC3034">
              <w:rPr>
                <w:szCs w:val="22"/>
              </w:rPr>
              <w:t>/kg</w:t>
            </w:r>
          </w:p>
        </w:tc>
      </w:tr>
      <w:tr w:rsidR="00090299" w:rsidRPr="00FC3034" w14:paraId="281EB082" w14:textId="77777777" w:rsidTr="002604F7">
        <w:tc>
          <w:tcPr>
            <w:tcW w:w="2560" w:type="dxa"/>
          </w:tcPr>
          <w:p w14:paraId="044DDA2A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301 – 400 kg</w:t>
            </w:r>
          </w:p>
        </w:tc>
        <w:tc>
          <w:tcPr>
            <w:tcW w:w="2089" w:type="dxa"/>
          </w:tcPr>
          <w:p w14:paraId="39B7371A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¾</w:t>
            </w:r>
          </w:p>
        </w:tc>
        <w:tc>
          <w:tcPr>
            <w:tcW w:w="1843" w:type="dxa"/>
          </w:tcPr>
          <w:p w14:paraId="44C9C2FA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0,75 mg</w:t>
            </w:r>
          </w:p>
        </w:tc>
        <w:tc>
          <w:tcPr>
            <w:tcW w:w="2268" w:type="dxa"/>
          </w:tcPr>
          <w:p w14:paraId="0B49C531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1,9 – 2,5 µg/kg</w:t>
            </w:r>
          </w:p>
        </w:tc>
      </w:tr>
      <w:tr w:rsidR="00090299" w:rsidRPr="00FC3034" w14:paraId="1793577A" w14:textId="77777777" w:rsidTr="002604F7">
        <w:tc>
          <w:tcPr>
            <w:tcW w:w="2560" w:type="dxa"/>
          </w:tcPr>
          <w:p w14:paraId="3C663E8C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401 - 600 kg</w:t>
            </w:r>
          </w:p>
        </w:tc>
        <w:tc>
          <w:tcPr>
            <w:tcW w:w="2089" w:type="dxa"/>
          </w:tcPr>
          <w:p w14:paraId="397A5A1A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</w:t>
            </w:r>
          </w:p>
        </w:tc>
        <w:tc>
          <w:tcPr>
            <w:tcW w:w="1843" w:type="dxa"/>
          </w:tcPr>
          <w:p w14:paraId="25DF57BC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1,00 mg</w:t>
            </w:r>
          </w:p>
        </w:tc>
        <w:tc>
          <w:tcPr>
            <w:tcW w:w="2268" w:type="dxa"/>
          </w:tcPr>
          <w:p w14:paraId="04359B4C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1,7 – 2,5 µg/kg</w:t>
            </w:r>
          </w:p>
        </w:tc>
      </w:tr>
      <w:tr w:rsidR="00090299" w:rsidRPr="00FC3034" w14:paraId="42D8A89E" w14:textId="77777777" w:rsidTr="002604F7">
        <w:tc>
          <w:tcPr>
            <w:tcW w:w="2560" w:type="dxa"/>
          </w:tcPr>
          <w:p w14:paraId="0A8FA4E3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601 - 850 kg</w:t>
            </w:r>
          </w:p>
        </w:tc>
        <w:tc>
          <w:tcPr>
            <w:tcW w:w="2089" w:type="dxa"/>
          </w:tcPr>
          <w:p w14:paraId="43B54978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 ½</w:t>
            </w:r>
          </w:p>
        </w:tc>
        <w:tc>
          <w:tcPr>
            <w:tcW w:w="1843" w:type="dxa"/>
          </w:tcPr>
          <w:p w14:paraId="1CD0527E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1,50 mg</w:t>
            </w:r>
          </w:p>
        </w:tc>
        <w:tc>
          <w:tcPr>
            <w:tcW w:w="2268" w:type="dxa"/>
          </w:tcPr>
          <w:p w14:paraId="7EF973B3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1,8 – 2,5 µg/kg</w:t>
            </w:r>
          </w:p>
        </w:tc>
      </w:tr>
      <w:tr w:rsidR="00090299" w:rsidRPr="00FC3034" w14:paraId="73931707" w14:textId="77777777" w:rsidTr="002604F7">
        <w:tc>
          <w:tcPr>
            <w:tcW w:w="2560" w:type="dxa"/>
          </w:tcPr>
          <w:p w14:paraId="0CC9825A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 xml:space="preserve"> 851 - 1000 kg</w:t>
            </w:r>
          </w:p>
        </w:tc>
        <w:tc>
          <w:tcPr>
            <w:tcW w:w="2089" w:type="dxa"/>
          </w:tcPr>
          <w:p w14:paraId="299A7F14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2</w:t>
            </w:r>
          </w:p>
        </w:tc>
        <w:tc>
          <w:tcPr>
            <w:tcW w:w="1843" w:type="dxa"/>
          </w:tcPr>
          <w:p w14:paraId="2709E793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2,00 mg</w:t>
            </w:r>
          </w:p>
        </w:tc>
        <w:tc>
          <w:tcPr>
            <w:tcW w:w="2268" w:type="dxa"/>
          </w:tcPr>
          <w:p w14:paraId="4205CCEA" w14:textId="77777777" w:rsidR="00090299" w:rsidRPr="00FC3034" w:rsidRDefault="00090299" w:rsidP="002604F7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FC3034">
              <w:rPr>
                <w:szCs w:val="22"/>
              </w:rPr>
              <w:t>2,0 – 2,4 µg/kg</w:t>
            </w:r>
          </w:p>
        </w:tc>
      </w:tr>
    </w:tbl>
    <w:p w14:paraId="43745723" w14:textId="24C8B70F" w:rsidR="00090299" w:rsidRPr="00090299" w:rsidRDefault="00090299" w:rsidP="00090299">
      <w:pPr>
        <w:tabs>
          <w:tab w:val="clear" w:pos="567"/>
        </w:tabs>
        <w:spacing w:line="240" w:lineRule="auto"/>
        <w:rPr>
          <w:szCs w:val="22"/>
        </w:rPr>
      </w:pPr>
    </w:p>
    <w:p w14:paraId="613FB606" w14:textId="77777777" w:rsidR="00090299" w:rsidRPr="00090299" w:rsidRDefault="00090299" w:rsidP="00090299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90299">
        <w:rPr>
          <w:b/>
          <w:bCs/>
          <w:szCs w:val="22"/>
        </w:rPr>
        <w:t>Udržiavacia dávka</w:t>
      </w:r>
    </w:p>
    <w:p w14:paraId="6436FBFD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>Pre túto chorobu sa predpokladá celoživotná liečba.</w:t>
      </w:r>
    </w:p>
    <w:p w14:paraId="2C6E03C2" w14:textId="71B96B7D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 xml:space="preserve">Väčšina koní reaguje na liečbu a je stabilizovaná v priemernej dávke 2 </w:t>
      </w:r>
      <w:r w:rsidR="00E91AEB" w:rsidRPr="007646A6">
        <w:rPr>
          <w:szCs w:val="22"/>
        </w:rPr>
        <w:t>µg</w:t>
      </w:r>
      <w:r w:rsidRPr="00090299">
        <w:rPr>
          <w:szCs w:val="22"/>
        </w:rPr>
        <w:t xml:space="preserve"> </w:t>
      </w:r>
      <w:proofErr w:type="spellStart"/>
      <w:r w:rsidRPr="00090299">
        <w:rPr>
          <w:szCs w:val="22"/>
        </w:rPr>
        <w:t>pergolidu</w:t>
      </w:r>
      <w:proofErr w:type="spellEnd"/>
      <w:r w:rsidRPr="00090299">
        <w:rPr>
          <w:szCs w:val="22"/>
        </w:rPr>
        <w:t xml:space="preserve">/kg živej hmotnosti. Klinické zlepšenie s </w:t>
      </w:r>
      <w:proofErr w:type="spellStart"/>
      <w:r w:rsidRPr="00090299">
        <w:rPr>
          <w:szCs w:val="22"/>
        </w:rPr>
        <w:t>pergolidom</w:t>
      </w:r>
      <w:proofErr w:type="spellEnd"/>
      <w:r w:rsidRPr="00090299">
        <w:rPr>
          <w:szCs w:val="22"/>
        </w:rPr>
        <w:t xml:space="preserve"> sa očakáva v priebehu 6 až 12 týždňov. Kone môžu klinicky reagovať pri nižších alebo meniacich sa dávkach; preto sa odporúča </w:t>
      </w:r>
      <w:proofErr w:type="spellStart"/>
      <w:r w:rsidRPr="00090299">
        <w:rPr>
          <w:szCs w:val="22"/>
        </w:rPr>
        <w:t>titrovať</w:t>
      </w:r>
      <w:proofErr w:type="spellEnd"/>
      <w:r w:rsidRPr="00090299">
        <w:rPr>
          <w:szCs w:val="22"/>
        </w:rPr>
        <w:t xml:space="preserve"> na najnižšiu účinnú dávku na jednotlivca na základe odpovede na liečbu, či ide o účinnosť alebo príznaky intolerancie. Niektoré kone môžu vyžadovať dávky až 10 </w:t>
      </w:r>
      <w:r w:rsidR="00E91AEB" w:rsidRPr="007646A6">
        <w:rPr>
          <w:szCs w:val="22"/>
        </w:rPr>
        <w:t>µg</w:t>
      </w:r>
      <w:r w:rsidRPr="00090299">
        <w:rPr>
          <w:szCs w:val="22"/>
        </w:rPr>
        <w:t xml:space="preserve"> </w:t>
      </w:r>
      <w:proofErr w:type="spellStart"/>
      <w:r w:rsidRPr="00090299">
        <w:rPr>
          <w:szCs w:val="22"/>
        </w:rPr>
        <w:t>pergolidu</w:t>
      </w:r>
      <w:proofErr w:type="spellEnd"/>
      <w:r w:rsidRPr="00090299">
        <w:rPr>
          <w:szCs w:val="22"/>
        </w:rPr>
        <w:t>/kg živej hmotnosti denne. V týchto zriedkavých situáciách sa odporúča ďalšie monitorovanie.</w:t>
      </w:r>
    </w:p>
    <w:p w14:paraId="13930411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0FCACF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>Po počiatočnej diagnóze opakujte endokrinologické testovanie na titráciu dávky a monitorovanie liečby v intervaloch 4 až 6 týždňov, kým sa neuskutoční stabilizácia alebo zlepšenie klinických príznakov a/alebo diagnostického testovania.</w:t>
      </w:r>
    </w:p>
    <w:p w14:paraId="1AE41761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61B636" w14:textId="6DAC44CE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 xml:space="preserve">Ak sa klinické príznaky alebo diagnostické testovanie ešte nezlepšili v prvých 4 až 6 týždňoch, celková denná dávka sa môže zvýšiť o </w:t>
      </w:r>
      <w:r w:rsidR="0096450C">
        <w:rPr>
          <w:szCs w:val="22"/>
        </w:rPr>
        <w:t>0,25 - 0,5</w:t>
      </w:r>
      <w:r w:rsidRPr="00090299">
        <w:rPr>
          <w:szCs w:val="22"/>
        </w:rPr>
        <w:t xml:space="preserve">0 mg. V prípade, že sa klinické príznaky zlepšili, ale ešte nie sú normalizované, veterinárny lekár sa môže rozhodnúť </w:t>
      </w:r>
      <w:proofErr w:type="spellStart"/>
      <w:r w:rsidRPr="00090299">
        <w:rPr>
          <w:szCs w:val="22"/>
        </w:rPr>
        <w:t>titrovať</w:t>
      </w:r>
      <w:proofErr w:type="spellEnd"/>
      <w:r w:rsidRPr="00090299">
        <w:rPr>
          <w:szCs w:val="22"/>
        </w:rPr>
        <w:t xml:space="preserve"> alebo </w:t>
      </w:r>
      <w:proofErr w:type="spellStart"/>
      <w:r w:rsidRPr="00090299">
        <w:rPr>
          <w:szCs w:val="22"/>
        </w:rPr>
        <w:t>netitrovať</w:t>
      </w:r>
      <w:proofErr w:type="spellEnd"/>
      <w:r w:rsidRPr="00090299">
        <w:rPr>
          <w:szCs w:val="22"/>
        </w:rPr>
        <w:t xml:space="preserve"> dávku, berúc do úvahy individuálnu odpoveď / toleranciu na dávku.</w:t>
      </w:r>
    </w:p>
    <w:p w14:paraId="2E980485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F2200F" w14:textId="7F29CADE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 xml:space="preserve">V prípade, že klinické príznaky nie sú adekvátne kontrolované (klinické hodnotenie a/alebo diagnostické testovanie), odporúča sa zvyšovať celkovú dennú dávku o </w:t>
      </w:r>
      <w:r w:rsidR="0096450C">
        <w:rPr>
          <w:szCs w:val="22"/>
        </w:rPr>
        <w:t>0,25 - 0,50</w:t>
      </w:r>
      <w:r w:rsidRPr="00090299">
        <w:rPr>
          <w:szCs w:val="22"/>
        </w:rPr>
        <w:t xml:space="preserve"> mg po krokoch (ak je liek pri tejto dávke tolerovaný) každých 4 až 6 týždňov, kým sa nedosiahne stabilizácia.</w:t>
      </w:r>
    </w:p>
    <w:p w14:paraId="1BC4ACB4" w14:textId="40F76BAA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 xml:space="preserve">Ak sa vyvinú príznaky neznášanlivosti dávky, liečba sa má ukončiť na 2 až 3 dni a obnoviť na polovicu predchádzajúcej dávky. Celková denná dávka sa potom môže </w:t>
      </w:r>
      <w:proofErr w:type="spellStart"/>
      <w:r w:rsidRPr="00090299">
        <w:rPr>
          <w:szCs w:val="22"/>
        </w:rPr>
        <w:t>titrovať</w:t>
      </w:r>
      <w:proofErr w:type="spellEnd"/>
      <w:r w:rsidRPr="00090299">
        <w:rPr>
          <w:szCs w:val="22"/>
        </w:rPr>
        <w:t xml:space="preserve"> späť na požadovaný klinický účinok po prírastkoch </w:t>
      </w:r>
      <w:r w:rsidR="0096450C">
        <w:rPr>
          <w:szCs w:val="22"/>
        </w:rPr>
        <w:t>0,25 - 0,50</w:t>
      </w:r>
      <w:r w:rsidRPr="00090299">
        <w:rPr>
          <w:szCs w:val="22"/>
        </w:rPr>
        <w:t xml:space="preserve"> mg každé 2 až 4 týždne. Ak sa vynechá dávka, nasledujúca predpísaná dávka sa má podať podľa predpisu.</w:t>
      </w:r>
    </w:p>
    <w:p w14:paraId="63223348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162C58" w14:textId="24C03C7A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>Po stabilizácii sa má každých 6 mesiacov vykonávať pravidelné klinické hodnotenie a diagnostické testovanie na monitorovanie liečby a dávky. Tam, kde nie je zjavná odpoveď na liečbu, by sa mala diagnóza alebo liečebný plán</w:t>
      </w:r>
      <w:r w:rsidR="009B169B">
        <w:rPr>
          <w:szCs w:val="22"/>
        </w:rPr>
        <w:t xml:space="preserve"> </w:t>
      </w:r>
      <w:r w:rsidRPr="00090299">
        <w:rPr>
          <w:szCs w:val="22"/>
        </w:rPr>
        <w:t>prehodnotiť.</w:t>
      </w:r>
    </w:p>
    <w:p w14:paraId="17B007FC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2F041F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>Tablety možno rozdeliť na 2 alebo 4 rovnaké časti, aby sa zabezpečilo presné dávkovanie. Tabletu umiestnite na rovný povrch s ryhovanou stranou smerom nahor a konvexnou (zaoblenou) stranou smerom k povrchu.</w:t>
      </w:r>
    </w:p>
    <w:p w14:paraId="12F7BB66" w14:textId="0227A54D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 xml:space="preserve"> </w:t>
      </w:r>
    </w:p>
    <w:p w14:paraId="44DCEDEE" w14:textId="77777777" w:rsidR="00090299" w:rsidRPr="00090299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t>2 rovnaké časti: stlačte palce po oboch stranách tablety.</w:t>
      </w:r>
    </w:p>
    <w:p w14:paraId="6461DB0A" w14:textId="2C721F28" w:rsidR="00C80401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0299">
        <w:rPr>
          <w:szCs w:val="22"/>
        </w:rPr>
        <w:lastRenderedPageBreak/>
        <w:t>4 rovnaké časti: zatlačte palcom do stredu tablety.</w:t>
      </w:r>
    </w:p>
    <w:p w14:paraId="31221BBF" w14:textId="77777777" w:rsidR="00090299" w:rsidRPr="001E1F22" w:rsidRDefault="00090299" w:rsidP="000F728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61DB0B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6461DB0C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461DB0E" w14:textId="1CDA4E60" w:rsidR="00C114FF" w:rsidRPr="001E1F22" w:rsidRDefault="00090299" w:rsidP="000F728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FC3034">
        <w:rPr>
          <w:szCs w:val="22"/>
        </w:rPr>
        <w:t xml:space="preserve">Na uľahčenie podávania sa má požadovaná denná dávka </w:t>
      </w:r>
      <w:r>
        <w:rPr>
          <w:szCs w:val="22"/>
        </w:rPr>
        <w:t>dať</w:t>
      </w:r>
      <w:r w:rsidRPr="00FC3034">
        <w:rPr>
          <w:szCs w:val="22"/>
        </w:rPr>
        <w:t xml:space="preserve"> do malého množstva vody a / alebo zmiešať s melasou alebo iným sladidlom a miešať až do rozpustenia. V tomto prípade sa rozpustené tablety majú podávať injekčnou striekačkou. Celé množstvo sa má podať okamžite. Tablety sa nesmú drviť</w:t>
      </w:r>
      <w:r>
        <w:rPr>
          <w:szCs w:val="22"/>
        </w:rPr>
        <w:t>,</w:t>
      </w:r>
      <w:r w:rsidRPr="006C6719">
        <w:rPr>
          <w:szCs w:val="22"/>
        </w:rPr>
        <w:t xml:space="preserve"> pozri časť </w:t>
      </w:r>
      <w:r>
        <w:rPr>
          <w:szCs w:val="22"/>
        </w:rPr>
        <w:t>6</w:t>
      </w:r>
      <w:r w:rsidR="00E91AEB">
        <w:rPr>
          <w:szCs w:val="22"/>
        </w:rPr>
        <w:t>.</w:t>
      </w:r>
      <w:r w:rsidRPr="006C6719">
        <w:rPr>
          <w:szCs w:val="22"/>
        </w:rPr>
        <w:t xml:space="preserve"> </w:t>
      </w:r>
      <w:r w:rsidR="00E91AEB">
        <w:rPr>
          <w:szCs w:val="22"/>
        </w:rPr>
        <w:t>Ak</w:t>
      </w:r>
      <w:r w:rsidRPr="006C6719">
        <w:rPr>
          <w:szCs w:val="22"/>
        </w:rPr>
        <w:t xml:space="preserve"> sa tablety rozdelia, zvyšná časť tablety sa má podať pri ďalšom podaní.</w:t>
      </w:r>
    </w:p>
    <w:p w14:paraId="6461DB0F" w14:textId="77777777" w:rsidR="001B26EB" w:rsidRPr="001E1F22" w:rsidRDefault="001B26EB" w:rsidP="000F728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461DB10" w14:textId="77777777" w:rsidR="00DB468A" w:rsidRPr="001E1F22" w:rsidRDefault="00090299" w:rsidP="000F7285">
      <w:pPr>
        <w:pStyle w:val="Style1"/>
        <w:jc w:val="both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6461DB11" w14:textId="77777777" w:rsidR="00C114FF" w:rsidRPr="001E1F22" w:rsidRDefault="00C114FF" w:rsidP="000F728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E5D6A98" w14:textId="77777777" w:rsidR="00090299" w:rsidRPr="00FC3034" w:rsidRDefault="00090299" w:rsidP="000F7285">
      <w:pPr>
        <w:jc w:val="both"/>
        <w:rPr>
          <w:szCs w:val="22"/>
        </w:rPr>
      </w:pPr>
      <w:r w:rsidRPr="00FC3034">
        <w:rPr>
          <w:szCs w:val="22"/>
        </w:rPr>
        <w:t>Nie je povolené používať u koní určených na ľudskú spotrebu.</w:t>
      </w:r>
    </w:p>
    <w:p w14:paraId="70CF1F62" w14:textId="77777777" w:rsidR="00090299" w:rsidRPr="00FC3034" w:rsidRDefault="00090299" w:rsidP="000F7285">
      <w:pPr>
        <w:jc w:val="both"/>
        <w:rPr>
          <w:szCs w:val="22"/>
        </w:rPr>
      </w:pPr>
      <w:r w:rsidRPr="00FC3034">
        <w:rPr>
          <w:szCs w:val="22"/>
        </w:rPr>
        <w:t>Kôň musí byť podľa vnútroštátnych právnych predpisov o cestovných pasoch pre kone vyhlásený za nevyhovujúc</w:t>
      </w:r>
      <w:r>
        <w:rPr>
          <w:szCs w:val="22"/>
        </w:rPr>
        <w:t>eho</w:t>
      </w:r>
      <w:r w:rsidRPr="00FC3034">
        <w:rPr>
          <w:szCs w:val="22"/>
        </w:rPr>
        <w:t xml:space="preserve"> na ľudskú spotrebu.</w:t>
      </w:r>
    </w:p>
    <w:p w14:paraId="54F3EE75" w14:textId="77777777" w:rsidR="00090299" w:rsidRPr="00FC3034" w:rsidRDefault="00090299" w:rsidP="000F7285">
      <w:pPr>
        <w:jc w:val="both"/>
        <w:rPr>
          <w:szCs w:val="22"/>
        </w:rPr>
      </w:pPr>
      <w:r w:rsidRPr="00FC3034">
        <w:rPr>
          <w:szCs w:val="22"/>
        </w:rPr>
        <w:t>Nie je povolené používať u kobýl produkujúcich mlieko na ľudskú spotrebu.</w:t>
      </w:r>
    </w:p>
    <w:p w14:paraId="6461DB12" w14:textId="77777777" w:rsidR="00DB468A" w:rsidRPr="001E1F22" w:rsidRDefault="00DB468A" w:rsidP="000F7285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461DB13" w14:textId="77777777" w:rsidR="00C114FF" w:rsidRPr="001E1F22" w:rsidRDefault="00090299" w:rsidP="000F7285">
      <w:pPr>
        <w:pStyle w:val="Style1"/>
        <w:jc w:val="both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461DB14" w14:textId="77777777" w:rsidR="00C114FF" w:rsidRPr="001E1F22" w:rsidRDefault="00C114FF" w:rsidP="000F72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461DB15" w14:textId="77777777" w:rsidR="00C114FF" w:rsidRPr="001E1F22" w:rsidRDefault="00090299" w:rsidP="000F72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461DB29" w14:textId="57E07F58" w:rsidR="00C114FF" w:rsidRDefault="00090299" w:rsidP="000F72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1E1F22">
        <w:t>Tento veterinárny liek nevyžaduje žiadne zvláštne podmienky na uchovávanie.</w:t>
      </w:r>
    </w:p>
    <w:p w14:paraId="5A8242D6" w14:textId="441DA415" w:rsidR="003056EA" w:rsidRPr="001E1F22" w:rsidRDefault="003056EA" w:rsidP="000F728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3056EA">
        <w:rPr>
          <w:szCs w:val="22"/>
        </w:rPr>
        <w:t xml:space="preserve">Nepoužívať tento veterinárny liek po dátume exspirácie uvedenom na </w:t>
      </w:r>
      <w:r w:rsidR="00E91AEB">
        <w:rPr>
          <w:szCs w:val="22"/>
        </w:rPr>
        <w:t>obale</w:t>
      </w:r>
      <w:r>
        <w:rPr>
          <w:szCs w:val="22"/>
        </w:rPr>
        <w:t xml:space="preserve"> </w:t>
      </w:r>
      <w:r w:rsidRPr="003056EA">
        <w:rPr>
          <w:szCs w:val="22"/>
        </w:rPr>
        <w:t xml:space="preserve">po </w:t>
      </w:r>
      <w:proofErr w:type="spellStart"/>
      <w:r w:rsidRPr="003056EA">
        <w:rPr>
          <w:szCs w:val="22"/>
        </w:rPr>
        <w:t>Exp</w:t>
      </w:r>
      <w:proofErr w:type="spellEnd"/>
      <w:r w:rsidRPr="003056EA">
        <w:rPr>
          <w:szCs w:val="22"/>
        </w:rPr>
        <w:t>. Dátum exspirácie sa vzťahuje na posledný deň v uvedenom mesiaci.</w:t>
      </w:r>
    </w:p>
    <w:p w14:paraId="6461DB38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39" w14:textId="77777777" w:rsidR="00C114FF" w:rsidRPr="001E1F22" w:rsidRDefault="00090299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6461DB3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3B" w14:textId="0753748E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6461DB3E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3F" w14:textId="78D6CC8A" w:rsidR="00DB468A" w:rsidRPr="001E1F22" w:rsidRDefault="00090299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</w:t>
      </w:r>
      <w:proofErr w:type="spellStart"/>
      <w:r w:rsidRPr="001E1F22">
        <w:t>liek.Tieto</w:t>
      </w:r>
      <w:proofErr w:type="spellEnd"/>
      <w:r w:rsidRPr="001E1F22">
        <w:t xml:space="preserve"> opatrenia majú pomôcť chrániť životné prostredie.</w:t>
      </w:r>
    </w:p>
    <w:p w14:paraId="6461DB4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42" w14:textId="2C827848" w:rsidR="00DB468A" w:rsidRPr="001E1F22" w:rsidRDefault="00090299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1E1F22">
        <w:t>O spôsobe likvidácie liekov, ktoré už nepotrebujete, sa poraďte s veterinárnym lekárom</w:t>
      </w:r>
      <w:r>
        <w:t xml:space="preserve"> </w:t>
      </w:r>
      <w:r w:rsidRPr="001E1F22">
        <w:t>alebo lekárnikom.</w:t>
      </w:r>
    </w:p>
    <w:p w14:paraId="6461DB43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461DB44" w14:textId="77777777" w:rsidR="00DB468A" w:rsidRPr="001E1F22" w:rsidRDefault="00090299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6461DB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843D05" w14:textId="77777777" w:rsidR="00090299" w:rsidRPr="001E1F22" w:rsidRDefault="00090299" w:rsidP="00090299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461DB4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47" w14:textId="77777777" w:rsidR="00DB468A" w:rsidRPr="001E1F22" w:rsidRDefault="00090299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6461DB4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9904F" w14:textId="086ECD0B" w:rsidR="00090299" w:rsidRDefault="000F7285" w:rsidP="00DB468A">
      <w:pPr>
        <w:tabs>
          <w:tab w:val="clear" w:pos="567"/>
        </w:tabs>
        <w:spacing w:line="240" w:lineRule="auto"/>
      </w:pPr>
      <w:r>
        <w:t>96/</w:t>
      </w:r>
      <w:r w:rsidR="00D860C2">
        <w:t>057/DC/22-S</w:t>
      </w:r>
    </w:p>
    <w:p w14:paraId="3B7BF7EF" w14:textId="77777777" w:rsidR="00090299" w:rsidRDefault="00090299" w:rsidP="00DB468A">
      <w:pPr>
        <w:tabs>
          <w:tab w:val="clear" w:pos="567"/>
        </w:tabs>
        <w:spacing w:line="240" w:lineRule="auto"/>
      </w:pPr>
    </w:p>
    <w:p w14:paraId="5DF27DEC" w14:textId="7DDCE76A" w:rsidR="00090299" w:rsidRPr="00FC3034" w:rsidRDefault="00090299" w:rsidP="00090299">
      <w:pPr>
        <w:tabs>
          <w:tab w:val="clear" w:pos="567"/>
        </w:tabs>
        <w:spacing w:line="240" w:lineRule="auto"/>
        <w:jc w:val="both"/>
        <w:rPr>
          <w:szCs w:val="24"/>
        </w:rPr>
      </w:pPr>
      <w:r w:rsidRPr="00FC3034">
        <w:rPr>
          <w:szCs w:val="24"/>
        </w:rPr>
        <w:t>OPA / hliníkové / PVC</w:t>
      </w:r>
      <w:r>
        <w:rPr>
          <w:szCs w:val="24"/>
        </w:rPr>
        <w:t>-</w:t>
      </w:r>
      <w:r w:rsidR="009B169B">
        <w:rPr>
          <w:szCs w:val="24"/>
        </w:rPr>
        <w:t xml:space="preserve"> </w:t>
      </w:r>
      <w:r w:rsidR="00E91AEB">
        <w:rPr>
          <w:szCs w:val="24"/>
        </w:rPr>
        <w:t>h</w:t>
      </w:r>
      <w:r w:rsidRPr="00B36CE7">
        <w:rPr>
          <w:szCs w:val="24"/>
        </w:rPr>
        <w:t>liník</w:t>
      </w:r>
      <w:r w:rsidR="00E91AEB">
        <w:rPr>
          <w:szCs w:val="24"/>
        </w:rPr>
        <w:t>ové</w:t>
      </w:r>
      <w:r w:rsidRPr="00FC3034">
        <w:rPr>
          <w:szCs w:val="24"/>
        </w:rPr>
        <w:t xml:space="preserve"> </w:t>
      </w:r>
      <w:proofErr w:type="spellStart"/>
      <w:r w:rsidRPr="00FC3034">
        <w:rPr>
          <w:szCs w:val="24"/>
        </w:rPr>
        <w:t>blistre</w:t>
      </w:r>
      <w:proofErr w:type="spellEnd"/>
      <w:r w:rsidRPr="00FC3034">
        <w:rPr>
          <w:szCs w:val="24"/>
        </w:rPr>
        <w:t xml:space="preserve"> obsahujúce </w:t>
      </w:r>
      <w:r>
        <w:rPr>
          <w:szCs w:val="24"/>
        </w:rPr>
        <w:t xml:space="preserve">7 alebo </w:t>
      </w:r>
      <w:r w:rsidRPr="00FC3034">
        <w:rPr>
          <w:szCs w:val="24"/>
        </w:rPr>
        <w:t>10 tabliet</w:t>
      </w:r>
      <w:r>
        <w:rPr>
          <w:szCs w:val="24"/>
        </w:rPr>
        <w:t>.</w:t>
      </w:r>
    </w:p>
    <w:p w14:paraId="3AD59E8D" w14:textId="6C318591" w:rsidR="00090299" w:rsidRPr="00FC3034" w:rsidRDefault="00090299" w:rsidP="00090299">
      <w:pPr>
        <w:tabs>
          <w:tab w:val="clear" w:pos="567"/>
        </w:tabs>
        <w:spacing w:line="240" w:lineRule="auto"/>
        <w:jc w:val="both"/>
        <w:rPr>
          <w:szCs w:val="24"/>
        </w:rPr>
      </w:pPr>
      <w:r w:rsidRPr="00FC3034">
        <w:rPr>
          <w:szCs w:val="24"/>
        </w:rPr>
        <w:t>Kartónová škatuľa s</w:t>
      </w:r>
      <w:r w:rsidR="00E91AEB">
        <w:rPr>
          <w:szCs w:val="24"/>
        </w:rPr>
        <w:t>o</w:t>
      </w:r>
      <w:r w:rsidRPr="00FC3034">
        <w:rPr>
          <w:szCs w:val="24"/>
        </w:rPr>
        <w:t xml:space="preserve"> 60, </w:t>
      </w:r>
      <w:r>
        <w:rPr>
          <w:szCs w:val="24"/>
        </w:rPr>
        <w:t xml:space="preserve">91, </w:t>
      </w:r>
      <w:r w:rsidRPr="00FC3034">
        <w:rPr>
          <w:szCs w:val="24"/>
        </w:rPr>
        <w:t>100, 160 alebo 2</w:t>
      </w:r>
      <w:r>
        <w:rPr>
          <w:szCs w:val="24"/>
        </w:rPr>
        <w:t>4</w:t>
      </w:r>
      <w:r w:rsidRPr="00FC3034">
        <w:rPr>
          <w:szCs w:val="24"/>
        </w:rPr>
        <w:t>0 tabletami.</w:t>
      </w:r>
    </w:p>
    <w:p w14:paraId="3581164C" w14:textId="77777777" w:rsidR="00090299" w:rsidRDefault="00090299" w:rsidP="00DB468A">
      <w:pPr>
        <w:tabs>
          <w:tab w:val="clear" w:pos="567"/>
        </w:tabs>
        <w:spacing w:line="240" w:lineRule="auto"/>
      </w:pPr>
    </w:p>
    <w:p w14:paraId="6461DB4A" w14:textId="79A95078" w:rsidR="00C114FF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6461DB4B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4C" w14:textId="77777777" w:rsidR="00C114FF" w:rsidRDefault="00090299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2D870F58" w14:textId="77777777" w:rsidR="00FB72ED" w:rsidRPr="001E1F22" w:rsidRDefault="00FB72ED" w:rsidP="00B13B6D">
      <w:pPr>
        <w:pStyle w:val="Style1"/>
      </w:pPr>
    </w:p>
    <w:p w14:paraId="2275AB8E" w14:textId="052BDF67" w:rsidR="005553D8" w:rsidRDefault="005553D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  <w:bookmarkStart w:id="5" w:name="_GoBack"/>
      <w:bookmarkEnd w:id="5"/>
      <w:r w:rsidR="009B169B">
        <w:rPr>
          <w:szCs w:val="22"/>
        </w:rPr>
        <w:t xml:space="preserve">  </w:t>
      </w:r>
    </w:p>
    <w:p w14:paraId="6461DB52" w14:textId="17431FE9" w:rsidR="00DB468A" w:rsidRPr="001E1F22" w:rsidRDefault="009B169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        </w:t>
      </w:r>
    </w:p>
    <w:p w14:paraId="6461DB54" w14:textId="6D1AFD3B" w:rsidR="00C114FF" w:rsidRPr="001E1F22" w:rsidRDefault="0023758C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 o veterinárnom lieku sú dostupné v databáze liekov Únie. (</w:t>
      </w:r>
      <w:hyperlink r:id="rId15" w:history="1">
        <w:r w:rsidRPr="00033F1A">
          <w:rPr>
            <w:rStyle w:val="Hypertextovprepojenie"/>
          </w:rPr>
          <w:t>https://medicines.health.europa.eu/veterinary</w:t>
        </w:r>
      </w:hyperlink>
      <w:r>
        <w:t xml:space="preserve">). </w:t>
      </w:r>
    </w:p>
    <w:p w14:paraId="6461DB55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56" w14:textId="77777777" w:rsidR="00DB468A" w:rsidRPr="001E1F22" w:rsidRDefault="00090299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6461DB5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529E6C" w14:textId="047624A1" w:rsidR="00090299" w:rsidRDefault="00090299" w:rsidP="00DB468A">
      <w:bookmarkStart w:id="6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="00964A18">
        <w:rPr>
          <w:iCs/>
          <w:szCs w:val="22"/>
          <w:u w:val="single"/>
        </w:rPr>
        <w:t>:</w:t>
      </w:r>
    </w:p>
    <w:p w14:paraId="05445E50" w14:textId="77777777" w:rsidR="00090299" w:rsidRDefault="00090299" w:rsidP="0009029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lastRenderedPageBreak/>
        <w:t>CP-Pharma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Handelsgesellschaft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mbH</w:t>
      </w:r>
      <w:proofErr w:type="spellEnd"/>
    </w:p>
    <w:p w14:paraId="2AE2D245" w14:textId="77777777" w:rsidR="00090299" w:rsidRPr="00533365" w:rsidRDefault="00090299" w:rsidP="00090299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533365">
        <w:rPr>
          <w:szCs w:val="22"/>
          <w:lang w:val="nl-NL"/>
        </w:rPr>
        <w:t>Ostlandring 13</w:t>
      </w:r>
    </w:p>
    <w:p w14:paraId="5AA9652D" w14:textId="77777777" w:rsidR="00090299" w:rsidRDefault="00090299" w:rsidP="0009029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31303 </w:t>
      </w:r>
      <w:proofErr w:type="spellStart"/>
      <w:r>
        <w:rPr>
          <w:szCs w:val="22"/>
        </w:rPr>
        <w:t>Burgdorf</w:t>
      </w:r>
      <w:proofErr w:type="spellEnd"/>
    </w:p>
    <w:p w14:paraId="50E3D611" w14:textId="550D32B7" w:rsidR="00090299" w:rsidRPr="001E1F22" w:rsidRDefault="00090299" w:rsidP="00DB468A">
      <w:pPr>
        <w:rPr>
          <w:iCs/>
          <w:szCs w:val="22"/>
        </w:rPr>
      </w:pPr>
      <w:r w:rsidRPr="00090299">
        <w:rPr>
          <w:szCs w:val="22"/>
        </w:rPr>
        <w:t>Nemecko</w:t>
      </w:r>
    </w:p>
    <w:bookmarkEnd w:id="6"/>
    <w:p w14:paraId="6461DB5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67E87D" w14:textId="01805331" w:rsidR="00964A18" w:rsidRPr="00964A18" w:rsidRDefault="00964A1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64A18">
        <w:rPr>
          <w:szCs w:val="22"/>
          <w:u w:val="single"/>
        </w:rPr>
        <w:t>Miestni zástupcovia a kontaktné údaje na hlásenie podozrenia na nežiaduce účinky:</w:t>
      </w:r>
    </w:p>
    <w:p w14:paraId="33043846" w14:textId="38D3C9FA" w:rsidR="00964A18" w:rsidRDefault="00964A1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Virbac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Czech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Republic</w:t>
      </w:r>
      <w:proofErr w:type="spellEnd"/>
      <w:r>
        <w:rPr>
          <w:szCs w:val="22"/>
        </w:rPr>
        <w:t xml:space="preserve"> s.r.o.</w:t>
      </w:r>
    </w:p>
    <w:p w14:paraId="748BF8C6" w14:textId="131779F9" w:rsidR="00964A18" w:rsidRDefault="00964A1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Žitavského 496</w:t>
      </w:r>
    </w:p>
    <w:p w14:paraId="64BBC8E9" w14:textId="39B1325A" w:rsidR="00964A18" w:rsidRDefault="00964A1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156 00 Praha 5</w:t>
      </w:r>
    </w:p>
    <w:p w14:paraId="0E3F9E86" w14:textId="41D7B2CC" w:rsidR="00964A18" w:rsidRDefault="00964A1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0FBC3205" w14:textId="02411E5B" w:rsidR="00964A18" w:rsidRDefault="00964A1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Tel.: +420 608 836 52</w:t>
      </w:r>
    </w:p>
    <w:p w14:paraId="77EAB57B" w14:textId="77777777" w:rsidR="00964A18" w:rsidRPr="001E1F22" w:rsidRDefault="00964A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B5F" w14:textId="45033B5E" w:rsidR="000D67D0" w:rsidRPr="001E1F22" w:rsidRDefault="00090299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6461DB60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1DC38" w14:textId="62B34782" w:rsidR="00BB2539" w:rsidRPr="001E1F22" w:rsidRDefault="00090299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6461DC39" w14:textId="5D099C6E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54C30073" w14:textId="75AAB155" w:rsidR="006334CC" w:rsidRPr="001E1F22" w:rsidRDefault="006334CC">
      <w:pPr>
        <w:tabs>
          <w:tab w:val="clear" w:pos="567"/>
        </w:tabs>
        <w:spacing w:line="240" w:lineRule="auto"/>
        <w:rPr>
          <w:szCs w:val="22"/>
        </w:rPr>
      </w:pPr>
    </w:p>
    <w:sectPr w:rsidR="006334CC" w:rsidRPr="001E1F22" w:rsidSect="003837F1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91483" w14:textId="77777777" w:rsidR="00815109" w:rsidRDefault="00815109">
      <w:pPr>
        <w:spacing w:line="240" w:lineRule="auto"/>
      </w:pPr>
      <w:r>
        <w:separator/>
      </w:r>
    </w:p>
  </w:endnote>
  <w:endnote w:type="continuationSeparator" w:id="0">
    <w:p w14:paraId="2A113951" w14:textId="77777777" w:rsidR="00815109" w:rsidRDefault="00815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679900"/>
      <w:docPartObj>
        <w:docPartGallery w:val="Page Numbers (Bottom of Page)"/>
        <w:docPartUnique/>
      </w:docPartObj>
    </w:sdtPr>
    <w:sdtEndPr/>
    <w:sdtContent>
      <w:p w14:paraId="2BB0AB33" w14:textId="7735627D" w:rsidR="000F7285" w:rsidRDefault="000F728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3D8">
          <w:rPr>
            <w:noProof/>
          </w:rPr>
          <w:t>13</w:t>
        </w:r>
        <w:r>
          <w:fldChar w:fldCharType="end"/>
        </w:r>
      </w:p>
    </w:sdtContent>
  </w:sdt>
  <w:p w14:paraId="6461DC3A" w14:textId="4A9405D5" w:rsidR="002604F7" w:rsidRPr="001E1F22" w:rsidRDefault="002604F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1DC3B" w14:textId="77777777" w:rsidR="002604F7" w:rsidRPr="001E1F22" w:rsidRDefault="002604F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1BB88" w14:textId="77777777" w:rsidR="00815109" w:rsidRDefault="00815109">
      <w:pPr>
        <w:spacing w:line="240" w:lineRule="auto"/>
      </w:pPr>
      <w:r>
        <w:separator/>
      </w:r>
    </w:p>
  </w:footnote>
  <w:footnote w:type="continuationSeparator" w:id="0">
    <w:p w14:paraId="65767910" w14:textId="77777777" w:rsidR="00815109" w:rsidRDefault="00815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03D2E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C57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80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45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4F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41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A6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CD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2E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BE9C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578F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EA1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F61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68D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3897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EE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8A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B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E9C277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2287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D4C61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72895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1019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718FA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1841F5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2018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A2477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89DA006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26BB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116B9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6E65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70E6B1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23C00B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9EB7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55491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A5052D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C1E0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A8A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8B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06E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0C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CD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C0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EC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4A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BDC48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A2A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B4C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80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08D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70F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AA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89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0B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A940A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1EE3B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2222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5A65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94D4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7ECEA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AEFB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64B6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B4AED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E5686E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0D23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3EE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ED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05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45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E2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85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CD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6CF8FB5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0941E1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EC86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AB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20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E46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08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46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26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F2058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124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C2A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C5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C6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4C0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822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761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B27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15C6A40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68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0D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5046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2C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8E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C8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AA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1E7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71AEA3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0BC4C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029D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E8756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4A842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8CFB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E3C15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75AF4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B404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77D6EB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FD6E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7CE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09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CA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7EF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E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E9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A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9B162EF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49A2588" w:tentative="1">
      <w:start w:val="1"/>
      <w:numFmt w:val="lowerLetter"/>
      <w:lvlText w:val="%2."/>
      <w:lvlJc w:val="left"/>
      <w:pPr>
        <w:ind w:left="1440" w:hanging="360"/>
      </w:pPr>
    </w:lvl>
    <w:lvl w:ilvl="2" w:tplc="4A14394A" w:tentative="1">
      <w:start w:val="1"/>
      <w:numFmt w:val="lowerRoman"/>
      <w:lvlText w:val="%3."/>
      <w:lvlJc w:val="right"/>
      <w:pPr>
        <w:ind w:left="2160" w:hanging="180"/>
      </w:pPr>
    </w:lvl>
    <w:lvl w:ilvl="3" w:tplc="5DBC7A32" w:tentative="1">
      <w:start w:val="1"/>
      <w:numFmt w:val="decimal"/>
      <w:lvlText w:val="%4."/>
      <w:lvlJc w:val="left"/>
      <w:pPr>
        <w:ind w:left="2880" w:hanging="360"/>
      </w:pPr>
    </w:lvl>
    <w:lvl w:ilvl="4" w:tplc="5CAA57BC" w:tentative="1">
      <w:start w:val="1"/>
      <w:numFmt w:val="lowerLetter"/>
      <w:lvlText w:val="%5."/>
      <w:lvlJc w:val="left"/>
      <w:pPr>
        <w:ind w:left="3600" w:hanging="360"/>
      </w:pPr>
    </w:lvl>
    <w:lvl w:ilvl="5" w:tplc="2C1806FC" w:tentative="1">
      <w:start w:val="1"/>
      <w:numFmt w:val="lowerRoman"/>
      <w:lvlText w:val="%6."/>
      <w:lvlJc w:val="right"/>
      <w:pPr>
        <w:ind w:left="4320" w:hanging="180"/>
      </w:pPr>
    </w:lvl>
    <w:lvl w:ilvl="6" w:tplc="69A69A64" w:tentative="1">
      <w:start w:val="1"/>
      <w:numFmt w:val="decimal"/>
      <w:lvlText w:val="%7."/>
      <w:lvlJc w:val="left"/>
      <w:pPr>
        <w:ind w:left="5040" w:hanging="360"/>
      </w:pPr>
    </w:lvl>
    <w:lvl w:ilvl="7" w:tplc="68E81C3E" w:tentative="1">
      <w:start w:val="1"/>
      <w:numFmt w:val="lowerLetter"/>
      <w:lvlText w:val="%8."/>
      <w:lvlJc w:val="left"/>
      <w:pPr>
        <w:ind w:left="5760" w:hanging="360"/>
      </w:pPr>
    </w:lvl>
    <w:lvl w:ilvl="8" w:tplc="DBFC0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50AC58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8EDA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E8A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E4A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83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64C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07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45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CC2B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137E1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86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CC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D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A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BE5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283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21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1D408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AEC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1A2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82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A6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627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21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48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05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1FB6DAE6">
      <w:start w:val="1"/>
      <w:numFmt w:val="decimal"/>
      <w:lvlText w:val="%1."/>
      <w:lvlJc w:val="left"/>
      <w:pPr>
        <w:ind w:left="720" w:hanging="360"/>
      </w:pPr>
    </w:lvl>
    <w:lvl w:ilvl="1" w:tplc="5A0E3D42" w:tentative="1">
      <w:start w:val="1"/>
      <w:numFmt w:val="lowerLetter"/>
      <w:lvlText w:val="%2."/>
      <w:lvlJc w:val="left"/>
      <w:pPr>
        <w:ind w:left="1440" w:hanging="360"/>
      </w:pPr>
    </w:lvl>
    <w:lvl w:ilvl="2" w:tplc="5D68C256" w:tentative="1">
      <w:start w:val="1"/>
      <w:numFmt w:val="lowerRoman"/>
      <w:lvlText w:val="%3."/>
      <w:lvlJc w:val="right"/>
      <w:pPr>
        <w:ind w:left="2160" w:hanging="180"/>
      </w:pPr>
    </w:lvl>
    <w:lvl w:ilvl="3" w:tplc="FBC0BE66" w:tentative="1">
      <w:start w:val="1"/>
      <w:numFmt w:val="decimal"/>
      <w:lvlText w:val="%4."/>
      <w:lvlJc w:val="left"/>
      <w:pPr>
        <w:ind w:left="2880" w:hanging="360"/>
      </w:pPr>
    </w:lvl>
    <w:lvl w:ilvl="4" w:tplc="E2882D68" w:tentative="1">
      <w:start w:val="1"/>
      <w:numFmt w:val="lowerLetter"/>
      <w:lvlText w:val="%5."/>
      <w:lvlJc w:val="left"/>
      <w:pPr>
        <w:ind w:left="3600" w:hanging="360"/>
      </w:pPr>
    </w:lvl>
    <w:lvl w:ilvl="5" w:tplc="49AEFC5C" w:tentative="1">
      <w:start w:val="1"/>
      <w:numFmt w:val="lowerRoman"/>
      <w:lvlText w:val="%6."/>
      <w:lvlJc w:val="right"/>
      <w:pPr>
        <w:ind w:left="4320" w:hanging="180"/>
      </w:pPr>
    </w:lvl>
    <w:lvl w:ilvl="6" w:tplc="0942A394" w:tentative="1">
      <w:start w:val="1"/>
      <w:numFmt w:val="decimal"/>
      <w:lvlText w:val="%7."/>
      <w:lvlJc w:val="left"/>
      <w:pPr>
        <w:ind w:left="5040" w:hanging="360"/>
      </w:pPr>
    </w:lvl>
    <w:lvl w:ilvl="7" w:tplc="F35A875C" w:tentative="1">
      <w:start w:val="1"/>
      <w:numFmt w:val="lowerLetter"/>
      <w:lvlText w:val="%8."/>
      <w:lvlJc w:val="left"/>
      <w:pPr>
        <w:ind w:left="5760" w:hanging="360"/>
      </w:pPr>
    </w:lvl>
    <w:lvl w:ilvl="8" w:tplc="6512E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5E0C45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B024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F8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8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80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441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2B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EB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783B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DE3NjczMrAwMjdS0lEKTi0uzszPAykwrAUA+stSsywAAAA="/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52D2B"/>
    <w:rsid w:val="00054F55"/>
    <w:rsid w:val="00062945"/>
    <w:rsid w:val="00080453"/>
    <w:rsid w:val="0008169A"/>
    <w:rsid w:val="00082200"/>
    <w:rsid w:val="00083FD7"/>
    <w:rsid w:val="000860CE"/>
    <w:rsid w:val="00090299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65A"/>
    <w:rsid w:val="000D67D0"/>
    <w:rsid w:val="000E195C"/>
    <w:rsid w:val="000E3602"/>
    <w:rsid w:val="000E705A"/>
    <w:rsid w:val="000F38DA"/>
    <w:rsid w:val="000F5822"/>
    <w:rsid w:val="000F7285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6BC0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3758C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04F7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C759D"/>
    <w:rsid w:val="002D300D"/>
    <w:rsid w:val="002D3563"/>
    <w:rsid w:val="002E0CD4"/>
    <w:rsid w:val="002E3A90"/>
    <w:rsid w:val="002E46CC"/>
    <w:rsid w:val="002E4F48"/>
    <w:rsid w:val="002E62CB"/>
    <w:rsid w:val="002E6DF1"/>
    <w:rsid w:val="002E6ED9"/>
    <w:rsid w:val="002F0957"/>
    <w:rsid w:val="002F1E6B"/>
    <w:rsid w:val="002F41AD"/>
    <w:rsid w:val="002F43F6"/>
    <w:rsid w:val="002F6DAA"/>
    <w:rsid w:val="002F71D5"/>
    <w:rsid w:val="003020BB"/>
    <w:rsid w:val="00302266"/>
    <w:rsid w:val="00304393"/>
    <w:rsid w:val="003056EA"/>
    <w:rsid w:val="00305AB2"/>
    <w:rsid w:val="0031032B"/>
    <w:rsid w:val="00316E87"/>
    <w:rsid w:val="0032453E"/>
    <w:rsid w:val="00325053"/>
    <w:rsid w:val="003256AC"/>
    <w:rsid w:val="003272D0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28AE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9B2"/>
    <w:rsid w:val="004371A3"/>
    <w:rsid w:val="00444B8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6006"/>
    <w:rsid w:val="00486BAD"/>
    <w:rsid w:val="00486BBE"/>
    <w:rsid w:val="00487123"/>
    <w:rsid w:val="00491791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3D8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5F84"/>
    <w:rsid w:val="0061726B"/>
    <w:rsid w:val="00617B81"/>
    <w:rsid w:val="0062387A"/>
    <w:rsid w:val="006326D8"/>
    <w:rsid w:val="006334CC"/>
    <w:rsid w:val="0063377D"/>
    <w:rsid w:val="006344BE"/>
    <w:rsid w:val="00634A66"/>
    <w:rsid w:val="00640336"/>
    <w:rsid w:val="0064067A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6719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705CD4"/>
    <w:rsid w:val="00705EAF"/>
    <w:rsid w:val="0070773E"/>
    <w:rsid w:val="007101CC"/>
    <w:rsid w:val="00715B4F"/>
    <w:rsid w:val="00715C55"/>
    <w:rsid w:val="00724E3B"/>
    <w:rsid w:val="00725EEA"/>
    <w:rsid w:val="007276B6"/>
    <w:rsid w:val="00730CE9"/>
    <w:rsid w:val="0073373D"/>
    <w:rsid w:val="0073656A"/>
    <w:rsid w:val="007439DB"/>
    <w:rsid w:val="007568D8"/>
    <w:rsid w:val="007646A6"/>
    <w:rsid w:val="00765316"/>
    <w:rsid w:val="007708C8"/>
    <w:rsid w:val="0077719D"/>
    <w:rsid w:val="00780DF0"/>
    <w:rsid w:val="007810B7"/>
    <w:rsid w:val="00782F0F"/>
    <w:rsid w:val="0078538F"/>
    <w:rsid w:val="00787482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09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7675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3AA"/>
    <w:rsid w:val="008947AE"/>
    <w:rsid w:val="00894E3A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50C"/>
    <w:rsid w:val="00964A18"/>
    <w:rsid w:val="00964F03"/>
    <w:rsid w:val="00966F1F"/>
    <w:rsid w:val="00975676"/>
    <w:rsid w:val="00976467"/>
    <w:rsid w:val="00976CF6"/>
    <w:rsid w:val="00976D32"/>
    <w:rsid w:val="00980FBB"/>
    <w:rsid w:val="009844F7"/>
    <w:rsid w:val="009938F7"/>
    <w:rsid w:val="00996290"/>
    <w:rsid w:val="009A05AA"/>
    <w:rsid w:val="009A2D5A"/>
    <w:rsid w:val="009A5BB7"/>
    <w:rsid w:val="009A6509"/>
    <w:rsid w:val="009A6E2F"/>
    <w:rsid w:val="009B169B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51A"/>
    <w:rsid w:val="00AE6AA0"/>
    <w:rsid w:val="00AE7AEE"/>
    <w:rsid w:val="00B00CA4"/>
    <w:rsid w:val="00B07269"/>
    <w:rsid w:val="00B075D6"/>
    <w:rsid w:val="00B113B9"/>
    <w:rsid w:val="00B119A2"/>
    <w:rsid w:val="00B11F43"/>
    <w:rsid w:val="00B13B6D"/>
    <w:rsid w:val="00B177F2"/>
    <w:rsid w:val="00B201F1"/>
    <w:rsid w:val="00B21B82"/>
    <w:rsid w:val="00B2603F"/>
    <w:rsid w:val="00B304E7"/>
    <w:rsid w:val="00B318B6"/>
    <w:rsid w:val="00B3499B"/>
    <w:rsid w:val="00B36CE7"/>
    <w:rsid w:val="00B41F47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43BF"/>
    <w:rsid w:val="00CC1E65"/>
    <w:rsid w:val="00CC4A78"/>
    <w:rsid w:val="00CC5005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306B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0446"/>
    <w:rsid w:val="00D728A0"/>
    <w:rsid w:val="00D83661"/>
    <w:rsid w:val="00D860C2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E026E8"/>
    <w:rsid w:val="00E042BF"/>
    <w:rsid w:val="00E042CB"/>
    <w:rsid w:val="00E053AB"/>
    <w:rsid w:val="00E060F7"/>
    <w:rsid w:val="00E14C47"/>
    <w:rsid w:val="00E17C7C"/>
    <w:rsid w:val="00E17D8D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1AEB"/>
    <w:rsid w:val="00E935AF"/>
    <w:rsid w:val="00EA1156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6FAA"/>
    <w:rsid w:val="00F61A31"/>
    <w:rsid w:val="00F66B55"/>
    <w:rsid w:val="00F66F00"/>
    <w:rsid w:val="00F67A2D"/>
    <w:rsid w:val="00F70A1B"/>
    <w:rsid w:val="00F72FDF"/>
    <w:rsid w:val="00F75960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1268"/>
    <w:rsid w:val="00FB207A"/>
    <w:rsid w:val="00FB2886"/>
    <w:rsid w:val="00FB466E"/>
    <w:rsid w:val="00FB72ED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1D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Onopgelostemelding1">
    <w:name w:val="Onopgeloste melding1"/>
    <w:basedOn w:val="Predvolenpsmoodseku"/>
    <w:rsid w:val="002C759D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0F7285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Onopgelostemelding1">
    <w:name w:val="Onopgeloste melding1"/>
    <w:basedOn w:val="Predvolenpsmoodseku"/>
    <w:rsid w:val="002C759D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0F7285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46478.DD2A586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FE6E03027904E96B5EEB04BB01550" ma:contentTypeVersion="20" ma:contentTypeDescription="Een nieuw document maken." ma:contentTypeScope="" ma:versionID="374e5797111e5b3f60293f0e8adf0117">
  <xsd:schema xmlns:xsd="http://www.w3.org/2001/XMLSchema" xmlns:xs="http://www.w3.org/2001/XMLSchema" xmlns:p="http://schemas.microsoft.com/office/2006/metadata/properties" xmlns:ns2="fe8889bd-7ec6-4526-8276-c11aff054b18" xmlns:ns3="35b5a27d-1bd2-4ec4-b75e-9782bcfba90a" targetNamespace="http://schemas.microsoft.com/office/2006/metadata/properties" ma:root="true" ma:fieldsID="de17d95e877a2244dd4c2ed649ef3f80" ns2:_="" ns3:_="">
    <xsd:import namespace="fe8889bd-7ec6-4526-8276-c11aff054b18"/>
    <xsd:import namespace="35b5a27d-1bd2-4ec4-b75e-9782bcfba9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89bd-7ec6-4526-8276-c11aff05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0beca8c-af9a-4f5c-add3-0e2325cc737e}" ma:internalName="TaxCatchAll" ma:showField="CatchAllData" ma:web="fe8889bd-7ec6-4526-8276-c11aff054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a27d-1bd2-4ec4-b75e-9782bcfba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2b90a89-c93e-49f3-87a5-b89e8f15d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8889bd-7ec6-4526-8276-c11aff054b18" xsi:nil="true"/>
    <lcf76f155ced4ddcb4097134ff3c332f xmlns="35b5a27d-1bd2-4ec4-b75e-9782bcfba9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5E870-27CF-4258-B06E-B957FA596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7D995-4330-498B-B579-1C0ED9A0A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889bd-7ec6-4526-8276-c11aff054b18"/>
    <ds:schemaRef ds:uri="35b5a27d-1bd2-4ec4-b75e-9782bcfb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9C790-F3B6-459A-9F51-119E1FE26A6F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5b5a27d-1bd2-4ec4-b75e-9782bcfba90a"/>
    <ds:schemaRef ds:uri="http://purl.org/dc/terms/"/>
    <ds:schemaRef ds:uri="http://schemas.microsoft.com/office/2006/metadata/properties"/>
    <ds:schemaRef ds:uri="http://schemas.microsoft.com/office/2006/documentManagement/types"/>
    <ds:schemaRef ds:uri="fe8889bd-7ec6-4526-8276-c11aff054b1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3530</Words>
  <Characters>21517</Characters>
  <Application>Microsoft Office Word</Application>
  <DocSecurity>0</DocSecurity>
  <Lines>179</Lines>
  <Paragraphs>49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QRD veterinary product-information (English) version 9</vt:lpstr>
    </vt:vector>
  </TitlesOfParts>
  <Company>CDT</Company>
  <LinksUpToDate>false</LinksUpToDate>
  <CharactersWithSpaces>24998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10</cp:revision>
  <cp:lastPrinted>2025-05-13T07:36:00Z</cp:lastPrinted>
  <dcterms:created xsi:type="dcterms:W3CDTF">2022-12-08T12:41:00Z</dcterms:created>
  <dcterms:modified xsi:type="dcterms:W3CDTF">2025-06-10T05:17:00Z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0x0101003BEFE6E03027904E96B5EEB04BB01550</vt:lpwstr>
  </property>
  <property fmtid="{D5CDD505-2E9C-101B-9397-08002B2CF9AE}" pid="75" name="MediaServiceImageTags">
    <vt:lpwstr/>
  </property>
</Properties>
</file>