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5D55E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b/>
          <w:szCs w:val="22"/>
        </w:rPr>
      </w:pPr>
      <w:r w:rsidRPr="009B1D9C">
        <w:rPr>
          <w:b/>
          <w:szCs w:val="22"/>
        </w:rPr>
        <w:t>SÚHRN CHARAKTERISTICKÝCH VLASTNOSTÍ LIEKU</w:t>
      </w:r>
    </w:p>
    <w:p w14:paraId="13CD1470" w14:textId="77777777" w:rsidR="00504BF7" w:rsidRPr="009B1D9C" w:rsidRDefault="00504BF7" w:rsidP="00504BF7">
      <w:pPr>
        <w:pStyle w:val="Style1"/>
        <w:ind w:left="0" w:firstLine="0"/>
      </w:pPr>
    </w:p>
    <w:p w14:paraId="73C45BF7" w14:textId="6C37FC91" w:rsidR="00C114FF" w:rsidRPr="009B1D9C" w:rsidRDefault="00514F6C" w:rsidP="00B13B6D">
      <w:pPr>
        <w:pStyle w:val="Style1"/>
      </w:pPr>
      <w:r w:rsidRPr="009B1D9C">
        <w:t>1.</w:t>
      </w:r>
      <w:r w:rsidRPr="009B1D9C">
        <w:tab/>
        <w:t>NÁZOV VETERINÁRNEHO LIEKU</w:t>
      </w:r>
    </w:p>
    <w:p w14:paraId="4F090B24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1D779D5E" w:rsidR="00DF7AC7" w:rsidRPr="009B1D9C" w:rsidRDefault="00B2729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Milbeguard</w:t>
      </w:r>
      <w:proofErr w:type="spellEnd"/>
      <w:r w:rsidRPr="009B1D9C">
        <w:rPr>
          <w:szCs w:val="22"/>
        </w:rPr>
        <w:t xml:space="preserve"> Duo </w:t>
      </w:r>
      <w:r w:rsidR="00F90084" w:rsidRPr="009B1D9C">
        <w:rPr>
          <w:szCs w:val="22"/>
        </w:rPr>
        <w:t>16</w:t>
      </w:r>
      <w:r w:rsidRPr="009B1D9C">
        <w:rPr>
          <w:szCs w:val="22"/>
        </w:rPr>
        <w:t xml:space="preserve"> mg/</w:t>
      </w:r>
      <w:r w:rsidR="00F90084" w:rsidRPr="009B1D9C">
        <w:rPr>
          <w:szCs w:val="22"/>
        </w:rPr>
        <w:t>40</w:t>
      </w:r>
      <w:r w:rsidRPr="009B1D9C">
        <w:rPr>
          <w:szCs w:val="22"/>
        </w:rPr>
        <w:t xml:space="preserve"> mg obalené tablety pre mačky</w:t>
      </w:r>
    </w:p>
    <w:p w14:paraId="2B9C329B" w14:textId="77777777" w:rsidR="00B27292" w:rsidRPr="009B1D9C" w:rsidRDefault="00B272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9B1D9C" w:rsidRDefault="00514F6C" w:rsidP="00B13B6D">
      <w:pPr>
        <w:pStyle w:val="Style1"/>
      </w:pPr>
      <w:r w:rsidRPr="009B1D9C">
        <w:t>2.</w:t>
      </w:r>
      <w:r w:rsidRPr="009B1D9C">
        <w:tab/>
        <w:t>KVALITATÍVNE A KVANTITATÍVNE ZLOŽENIE</w:t>
      </w:r>
    </w:p>
    <w:p w14:paraId="5D31A95D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0594E6" w14:textId="7719E802" w:rsidR="00651F2F" w:rsidRPr="009B1D9C" w:rsidRDefault="00651F2F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Každá tableta obsahuje:</w:t>
      </w:r>
    </w:p>
    <w:p w14:paraId="553B446D" w14:textId="77777777" w:rsidR="00C114FF" w:rsidRPr="009B1D9C" w:rsidRDefault="00514F6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9B1D9C">
        <w:rPr>
          <w:b/>
          <w:szCs w:val="22"/>
        </w:rPr>
        <w:t>Účinná(-é) látka(-y):</w:t>
      </w:r>
    </w:p>
    <w:p w14:paraId="3ACE989D" w14:textId="27BF5701" w:rsidR="00651F2F" w:rsidRPr="009B1D9C" w:rsidRDefault="00651F2F" w:rsidP="00651F2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B1D9C">
        <w:rPr>
          <w:iCs/>
          <w:szCs w:val="22"/>
        </w:rPr>
        <w:t>Milbemyc</w:t>
      </w:r>
      <w:r w:rsidR="00DD695D" w:rsidRPr="009B1D9C">
        <w:rPr>
          <w:iCs/>
          <w:szCs w:val="22"/>
        </w:rPr>
        <w:t>í</w:t>
      </w:r>
      <w:r w:rsidRPr="009B1D9C">
        <w:rPr>
          <w:iCs/>
          <w:szCs w:val="22"/>
        </w:rPr>
        <w:t>nox</w:t>
      </w:r>
      <w:r w:rsidR="00F90084" w:rsidRPr="009B1D9C">
        <w:rPr>
          <w:iCs/>
          <w:szCs w:val="22"/>
        </w:rPr>
        <w:t>i</w:t>
      </w:r>
      <w:r w:rsidRPr="009B1D9C">
        <w:rPr>
          <w:iCs/>
          <w:szCs w:val="22"/>
        </w:rPr>
        <w:t>m</w:t>
      </w:r>
      <w:proofErr w:type="spellEnd"/>
      <w:r w:rsidRPr="009B1D9C">
        <w:rPr>
          <w:iCs/>
          <w:szCs w:val="22"/>
        </w:rPr>
        <w:t xml:space="preserve"> </w:t>
      </w:r>
      <w:r w:rsidR="00F90084" w:rsidRPr="009B1D9C">
        <w:rPr>
          <w:iCs/>
          <w:szCs w:val="22"/>
        </w:rPr>
        <w:tab/>
      </w:r>
      <w:r w:rsidR="00DD695D" w:rsidRPr="009B1D9C">
        <w:rPr>
          <w:iCs/>
          <w:szCs w:val="22"/>
        </w:rPr>
        <w:t xml:space="preserve">          </w:t>
      </w:r>
      <w:r w:rsidR="00F90084" w:rsidRPr="009B1D9C">
        <w:rPr>
          <w:iCs/>
          <w:szCs w:val="22"/>
        </w:rPr>
        <w:t>16</w:t>
      </w:r>
      <w:r w:rsidRPr="009B1D9C">
        <w:rPr>
          <w:iCs/>
          <w:szCs w:val="22"/>
        </w:rPr>
        <w:t xml:space="preserve"> mg</w:t>
      </w:r>
    </w:p>
    <w:p w14:paraId="5DBCFC29" w14:textId="48FCDD37" w:rsidR="00C114FF" w:rsidRPr="009B1D9C" w:rsidRDefault="00651F2F" w:rsidP="00651F2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B1D9C">
        <w:rPr>
          <w:iCs/>
          <w:szCs w:val="22"/>
        </w:rPr>
        <w:t>Prazikvantel</w:t>
      </w:r>
      <w:proofErr w:type="spellEnd"/>
      <w:r w:rsidRPr="009B1D9C">
        <w:rPr>
          <w:iCs/>
          <w:szCs w:val="22"/>
        </w:rPr>
        <w:t xml:space="preserve"> </w:t>
      </w:r>
      <w:r w:rsidR="00F90084" w:rsidRPr="009B1D9C">
        <w:rPr>
          <w:iCs/>
          <w:szCs w:val="22"/>
        </w:rPr>
        <w:tab/>
      </w:r>
      <w:r w:rsidR="00F90084" w:rsidRPr="009B1D9C">
        <w:rPr>
          <w:iCs/>
          <w:szCs w:val="22"/>
        </w:rPr>
        <w:tab/>
        <w:t>40</w:t>
      </w:r>
      <w:r w:rsidRPr="009B1D9C">
        <w:rPr>
          <w:iCs/>
          <w:szCs w:val="22"/>
        </w:rPr>
        <w:t xml:space="preserve"> m</w:t>
      </w:r>
      <w:r w:rsidR="00DD695D" w:rsidRPr="009B1D9C">
        <w:rPr>
          <w:iCs/>
          <w:szCs w:val="22"/>
        </w:rPr>
        <w:t>g</w:t>
      </w:r>
    </w:p>
    <w:p w14:paraId="469E61F8" w14:textId="77777777" w:rsidR="00651F2F" w:rsidRPr="009B1D9C" w:rsidRDefault="00651F2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861ACE7" w14:textId="2F9A1EDA" w:rsidR="00C114FF" w:rsidRPr="009B1D9C" w:rsidRDefault="00514F6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9B1D9C">
        <w:rPr>
          <w:b/>
          <w:szCs w:val="22"/>
        </w:rPr>
        <w:t>Pomocné látky:</w:t>
      </w:r>
    </w:p>
    <w:p w14:paraId="26AB2F2C" w14:textId="77777777" w:rsidR="00651F2F" w:rsidRPr="009B1D9C" w:rsidRDefault="00651F2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B27292" w:rsidRPr="009B1D9C" w14:paraId="3ED34E38" w14:textId="77777777" w:rsidTr="00B27292">
        <w:tc>
          <w:tcPr>
            <w:tcW w:w="4528" w:type="dxa"/>
            <w:shd w:val="clear" w:color="auto" w:fill="auto"/>
            <w:vAlign w:val="center"/>
          </w:tcPr>
          <w:p w14:paraId="363302D2" w14:textId="53E6156E" w:rsidR="00B27292" w:rsidRPr="009B1D9C" w:rsidRDefault="00B2729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B1D9C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B27292" w:rsidRPr="009B1D9C" w14:paraId="3DB09FCD" w14:textId="77777777" w:rsidTr="00B27292">
        <w:tc>
          <w:tcPr>
            <w:tcW w:w="4528" w:type="dxa"/>
            <w:shd w:val="clear" w:color="auto" w:fill="auto"/>
            <w:vAlign w:val="center"/>
          </w:tcPr>
          <w:p w14:paraId="4B6C8725" w14:textId="21F18F4C" w:rsidR="00B27292" w:rsidRPr="009B1D9C" w:rsidRDefault="00B2729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Jadro:</w:t>
            </w:r>
          </w:p>
        </w:tc>
      </w:tr>
      <w:tr w:rsidR="00B27292" w:rsidRPr="009B1D9C" w14:paraId="5F242ECB" w14:textId="77777777" w:rsidTr="00B27292">
        <w:tc>
          <w:tcPr>
            <w:tcW w:w="4528" w:type="dxa"/>
            <w:shd w:val="clear" w:color="auto" w:fill="auto"/>
            <w:vAlign w:val="center"/>
          </w:tcPr>
          <w:p w14:paraId="3BEF553D" w14:textId="5D4A1AD9" w:rsidR="00B27292" w:rsidRPr="009B1D9C" w:rsidRDefault="00B2729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B1D9C">
              <w:rPr>
                <w:iCs/>
                <w:szCs w:val="22"/>
              </w:rPr>
              <w:t>Povidon</w:t>
            </w:r>
            <w:proofErr w:type="spellEnd"/>
          </w:p>
        </w:tc>
      </w:tr>
      <w:tr w:rsidR="00B27292" w:rsidRPr="009B1D9C" w14:paraId="208E6D2A" w14:textId="77777777" w:rsidTr="00B27292">
        <w:tc>
          <w:tcPr>
            <w:tcW w:w="4528" w:type="dxa"/>
            <w:shd w:val="clear" w:color="auto" w:fill="auto"/>
            <w:vAlign w:val="center"/>
          </w:tcPr>
          <w:p w14:paraId="0A2415F7" w14:textId="491801E8" w:rsidR="00B27292" w:rsidRPr="009B1D9C" w:rsidRDefault="00B27292" w:rsidP="00617B81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 xml:space="preserve">Sodná soľ </w:t>
            </w:r>
            <w:proofErr w:type="spellStart"/>
            <w:r w:rsidRPr="009B1D9C"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B27292" w:rsidRPr="009B1D9C" w14:paraId="4FFE05F0" w14:textId="77777777" w:rsidTr="00B27292">
        <w:tc>
          <w:tcPr>
            <w:tcW w:w="4528" w:type="dxa"/>
            <w:shd w:val="clear" w:color="auto" w:fill="auto"/>
            <w:vAlign w:val="center"/>
          </w:tcPr>
          <w:p w14:paraId="12FE9CE8" w14:textId="37BE035B" w:rsidR="00B27292" w:rsidRPr="009B1D9C" w:rsidRDefault="00B2729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Príchuť kuracieho mäsa</w:t>
            </w:r>
            <w:r w:rsidRPr="009B1D9C">
              <w:rPr>
                <w:szCs w:val="22"/>
              </w:rPr>
              <w:t>*</w:t>
            </w:r>
          </w:p>
        </w:tc>
      </w:tr>
      <w:tr w:rsidR="00B27292" w:rsidRPr="009B1D9C" w14:paraId="4BD48698" w14:textId="77777777" w:rsidTr="00B27292">
        <w:tc>
          <w:tcPr>
            <w:tcW w:w="4528" w:type="dxa"/>
            <w:shd w:val="clear" w:color="auto" w:fill="auto"/>
            <w:vAlign w:val="center"/>
          </w:tcPr>
          <w:p w14:paraId="5F36B043" w14:textId="2158A4AF" w:rsidR="00B27292" w:rsidRPr="009B1D9C" w:rsidRDefault="00B27292" w:rsidP="00617B81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Monohydrát laktózy</w:t>
            </w:r>
          </w:p>
        </w:tc>
      </w:tr>
      <w:tr w:rsidR="00B27292" w:rsidRPr="009B1D9C" w14:paraId="6B371572" w14:textId="77777777" w:rsidTr="00B27292">
        <w:tc>
          <w:tcPr>
            <w:tcW w:w="4528" w:type="dxa"/>
            <w:shd w:val="clear" w:color="auto" w:fill="auto"/>
            <w:vAlign w:val="center"/>
          </w:tcPr>
          <w:p w14:paraId="39E04154" w14:textId="70A29032" w:rsidR="00B27292" w:rsidRPr="009B1D9C" w:rsidRDefault="00B27292" w:rsidP="00617B81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Mikrokryštalická celulóza</w:t>
            </w:r>
          </w:p>
        </w:tc>
      </w:tr>
      <w:tr w:rsidR="00B27292" w:rsidRPr="009B1D9C" w14:paraId="1AE82C05" w14:textId="77777777" w:rsidTr="00B27292">
        <w:tc>
          <w:tcPr>
            <w:tcW w:w="4528" w:type="dxa"/>
            <w:shd w:val="clear" w:color="auto" w:fill="auto"/>
            <w:vAlign w:val="center"/>
          </w:tcPr>
          <w:p w14:paraId="6C83E4AA" w14:textId="651417A2" w:rsidR="00B27292" w:rsidRPr="009B1D9C" w:rsidRDefault="00B27292" w:rsidP="00617B81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Koloidný bezvodý oxid kremičitý</w:t>
            </w:r>
          </w:p>
        </w:tc>
      </w:tr>
      <w:tr w:rsidR="00B27292" w:rsidRPr="009B1D9C" w14:paraId="04CB4DE8" w14:textId="77777777" w:rsidTr="00B27292">
        <w:tc>
          <w:tcPr>
            <w:tcW w:w="4528" w:type="dxa"/>
            <w:shd w:val="clear" w:color="auto" w:fill="auto"/>
            <w:vAlign w:val="center"/>
          </w:tcPr>
          <w:p w14:paraId="57EEF21E" w14:textId="1D898FDE" w:rsidR="00B27292" w:rsidRPr="009B1D9C" w:rsidRDefault="00B2729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B1D9C">
              <w:rPr>
                <w:iCs/>
                <w:szCs w:val="22"/>
              </w:rPr>
              <w:t>Stearan</w:t>
            </w:r>
            <w:proofErr w:type="spellEnd"/>
            <w:r w:rsidRPr="009B1D9C">
              <w:rPr>
                <w:iCs/>
                <w:szCs w:val="22"/>
              </w:rPr>
              <w:t xml:space="preserve"> </w:t>
            </w:r>
            <w:proofErr w:type="spellStart"/>
            <w:r w:rsidRPr="009B1D9C">
              <w:rPr>
                <w:iCs/>
                <w:szCs w:val="22"/>
              </w:rPr>
              <w:t>horečnatý</w:t>
            </w:r>
            <w:proofErr w:type="spellEnd"/>
          </w:p>
        </w:tc>
      </w:tr>
      <w:tr w:rsidR="00B27292" w:rsidRPr="009B1D9C" w14:paraId="4452FEB6" w14:textId="77777777" w:rsidTr="00B27292">
        <w:tc>
          <w:tcPr>
            <w:tcW w:w="4528" w:type="dxa"/>
            <w:shd w:val="clear" w:color="auto" w:fill="auto"/>
            <w:vAlign w:val="center"/>
          </w:tcPr>
          <w:p w14:paraId="45D981BD" w14:textId="0F867B0A" w:rsidR="00B27292" w:rsidRPr="009B1D9C" w:rsidRDefault="00B27292" w:rsidP="00617B81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Obal:</w:t>
            </w:r>
          </w:p>
        </w:tc>
      </w:tr>
      <w:tr w:rsidR="00B27292" w:rsidRPr="009B1D9C" w14:paraId="39CC8C8A" w14:textId="77777777" w:rsidTr="00B27292">
        <w:tc>
          <w:tcPr>
            <w:tcW w:w="4528" w:type="dxa"/>
            <w:shd w:val="clear" w:color="auto" w:fill="auto"/>
            <w:vAlign w:val="center"/>
          </w:tcPr>
          <w:p w14:paraId="5A779CF0" w14:textId="6CA4BD58" w:rsidR="00B27292" w:rsidRPr="009B1D9C" w:rsidRDefault="00B2729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B1D9C">
              <w:rPr>
                <w:szCs w:val="22"/>
              </w:rPr>
              <w:t>Polyvinylalkohol</w:t>
            </w:r>
            <w:proofErr w:type="spellEnd"/>
            <w:r w:rsidRPr="009B1D9C">
              <w:rPr>
                <w:szCs w:val="22"/>
              </w:rPr>
              <w:t xml:space="preserve"> (E1203)</w:t>
            </w:r>
          </w:p>
        </w:tc>
      </w:tr>
      <w:tr w:rsidR="00F90084" w:rsidRPr="009B1D9C" w14:paraId="4806F5F9" w14:textId="77777777" w:rsidTr="00B27292">
        <w:tc>
          <w:tcPr>
            <w:tcW w:w="4528" w:type="dxa"/>
            <w:shd w:val="clear" w:color="auto" w:fill="auto"/>
            <w:vAlign w:val="center"/>
          </w:tcPr>
          <w:p w14:paraId="248972D4" w14:textId="11901F55" w:rsidR="00F90084" w:rsidRPr="009B1D9C" w:rsidRDefault="00F90084" w:rsidP="00617B81">
            <w:pPr>
              <w:spacing w:before="60" w:after="60"/>
              <w:rPr>
                <w:szCs w:val="22"/>
              </w:rPr>
            </w:pPr>
            <w:proofErr w:type="spellStart"/>
            <w:r w:rsidRPr="009B1D9C">
              <w:rPr>
                <w:szCs w:val="22"/>
              </w:rPr>
              <w:t>Makrogol</w:t>
            </w:r>
            <w:proofErr w:type="spellEnd"/>
            <w:r w:rsidRPr="009B1D9C">
              <w:rPr>
                <w:szCs w:val="22"/>
              </w:rPr>
              <w:t xml:space="preserve"> (E1521)</w:t>
            </w:r>
          </w:p>
        </w:tc>
      </w:tr>
      <w:tr w:rsidR="00B27292" w:rsidRPr="009B1D9C" w14:paraId="124760C2" w14:textId="77777777" w:rsidTr="00B27292">
        <w:tc>
          <w:tcPr>
            <w:tcW w:w="4528" w:type="dxa"/>
            <w:shd w:val="clear" w:color="auto" w:fill="auto"/>
            <w:vAlign w:val="center"/>
          </w:tcPr>
          <w:p w14:paraId="4F588732" w14:textId="35A9C885" w:rsidR="00B27292" w:rsidRPr="009B1D9C" w:rsidRDefault="00DD695D" w:rsidP="00DD695D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szCs w:val="22"/>
              </w:rPr>
              <w:t>Mastenec</w:t>
            </w:r>
            <w:r w:rsidR="00F90084" w:rsidRPr="009B1D9C">
              <w:rPr>
                <w:szCs w:val="22"/>
              </w:rPr>
              <w:t xml:space="preserve"> (E553b) </w:t>
            </w:r>
          </w:p>
        </w:tc>
      </w:tr>
      <w:tr w:rsidR="00F90084" w:rsidRPr="009B1D9C" w14:paraId="7DC84416" w14:textId="77777777" w:rsidTr="00B27292">
        <w:tc>
          <w:tcPr>
            <w:tcW w:w="4528" w:type="dxa"/>
            <w:shd w:val="clear" w:color="auto" w:fill="auto"/>
            <w:vAlign w:val="center"/>
          </w:tcPr>
          <w:p w14:paraId="1446DE3B" w14:textId="27D5E12B" w:rsidR="00F90084" w:rsidRPr="009B1D9C" w:rsidRDefault="00F90084" w:rsidP="00617B81">
            <w:pPr>
              <w:spacing w:before="60" w:after="60"/>
              <w:rPr>
                <w:szCs w:val="22"/>
              </w:rPr>
            </w:pPr>
            <w:proofErr w:type="spellStart"/>
            <w:r w:rsidRPr="009B1D9C">
              <w:rPr>
                <w:szCs w:val="22"/>
              </w:rPr>
              <w:t>Ponceau</w:t>
            </w:r>
            <w:proofErr w:type="spellEnd"/>
            <w:r w:rsidRPr="009B1D9C">
              <w:rPr>
                <w:szCs w:val="22"/>
              </w:rPr>
              <w:t xml:space="preserve"> 4R (E124)</w:t>
            </w:r>
          </w:p>
        </w:tc>
      </w:tr>
      <w:tr w:rsidR="00F90084" w:rsidRPr="009B1D9C" w14:paraId="4F3B807E" w14:textId="77777777" w:rsidTr="00B27292">
        <w:tc>
          <w:tcPr>
            <w:tcW w:w="4528" w:type="dxa"/>
            <w:shd w:val="clear" w:color="auto" w:fill="auto"/>
            <w:vAlign w:val="center"/>
          </w:tcPr>
          <w:p w14:paraId="0F3A6B85" w14:textId="6D2F1931" w:rsidR="00F90084" w:rsidRPr="009B1D9C" w:rsidRDefault="00F90084" w:rsidP="00617B81">
            <w:pPr>
              <w:spacing w:before="60" w:after="60"/>
              <w:rPr>
                <w:szCs w:val="22"/>
              </w:rPr>
            </w:pPr>
            <w:r w:rsidRPr="009B1D9C">
              <w:rPr>
                <w:szCs w:val="22"/>
              </w:rPr>
              <w:t>Žlť SY (E110)</w:t>
            </w:r>
          </w:p>
        </w:tc>
      </w:tr>
      <w:tr w:rsidR="00B27292" w:rsidRPr="009B1D9C" w14:paraId="14B16E08" w14:textId="77777777" w:rsidTr="00B27292">
        <w:tc>
          <w:tcPr>
            <w:tcW w:w="4528" w:type="dxa"/>
            <w:shd w:val="clear" w:color="auto" w:fill="auto"/>
            <w:vAlign w:val="center"/>
          </w:tcPr>
          <w:p w14:paraId="3A2E1391" w14:textId="031B67CF" w:rsidR="00B27292" w:rsidRPr="009B1D9C" w:rsidRDefault="00F90084" w:rsidP="00617B81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szCs w:val="22"/>
              </w:rPr>
              <w:t xml:space="preserve">Oxid </w:t>
            </w:r>
            <w:proofErr w:type="spellStart"/>
            <w:r w:rsidRPr="009B1D9C">
              <w:rPr>
                <w:szCs w:val="22"/>
              </w:rPr>
              <w:t>titaničitý</w:t>
            </w:r>
            <w:proofErr w:type="spellEnd"/>
            <w:r w:rsidRPr="009B1D9C">
              <w:rPr>
                <w:szCs w:val="22"/>
              </w:rPr>
              <w:t xml:space="preserve"> (E171)</w:t>
            </w:r>
          </w:p>
        </w:tc>
      </w:tr>
    </w:tbl>
    <w:p w14:paraId="333C6443" w14:textId="340FFB2D" w:rsidR="00872C48" w:rsidRPr="009B1D9C" w:rsidRDefault="00B27292" w:rsidP="00A9226B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9B1D9C">
        <w:rPr>
          <w:i/>
          <w:iCs/>
          <w:szCs w:val="22"/>
        </w:rPr>
        <w:t>*Umelá</w:t>
      </w:r>
    </w:p>
    <w:p w14:paraId="7D16D6D7" w14:textId="77777777" w:rsidR="00B27292" w:rsidRPr="009B1D9C" w:rsidRDefault="00B272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B3D64" w14:textId="2D7058D0" w:rsidR="00B27292" w:rsidRPr="009B1D9C" w:rsidRDefault="000D4B33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Podlhovasté tablety </w:t>
      </w:r>
      <w:r w:rsidR="00F90084" w:rsidRPr="009B1D9C">
        <w:rPr>
          <w:szCs w:val="22"/>
        </w:rPr>
        <w:t xml:space="preserve">červenej </w:t>
      </w:r>
      <w:r w:rsidRPr="009B1D9C">
        <w:rPr>
          <w:szCs w:val="22"/>
        </w:rPr>
        <w:t xml:space="preserve"> až </w:t>
      </w:r>
      <w:r w:rsidR="00F90084" w:rsidRPr="009B1D9C">
        <w:rPr>
          <w:szCs w:val="22"/>
        </w:rPr>
        <w:t>červenohnedej farby</w:t>
      </w:r>
      <w:r w:rsidRPr="009B1D9C">
        <w:rPr>
          <w:szCs w:val="22"/>
        </w:rPr>
        <w:t xml:space="preserve"> s deliacou </w:t>
      </w:r>
      <w:r w:rsidR="00DD695D" w:rsidRPr="009B1D9C">
        <w:rPr>
          <w:szCs w:val="22"/>
        </w:rPr>
        <w:t>ryhou</w:t>
      </w:r>
      <w:r w:rsidRPr="009B1D9C">
        <w:rPr>
          <w:szCs w:val="22"/>
        </w:rPr>
        <w:t xml:space="preserve"> na jednej strane</w:t>
      </w:r>
      <w:r w:rsidR="00DD695D" w:rsidRPr="009B1D9C">
        <w:rPr>
          <w:szCs w:val="22"/>
        </w:rPr>
        <w:t>.</w:t>
      </w:r>
    </w:p>
    <w:p w14:paraId="2EDF3F86" w14:textId="7F006F78" w:rsidR="00C114FF" w:rsidRPr="009B1D9C" w:rsidRDefault="000D4B33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Tablety možno deliť na </w:t>
      </w:r>
      <w:r w:rsidR="00F90084" w:rsidRPr="009B1D9C">
        <w:rPr>
          <w:szCs w:val="22"/>
        </w:rPr>
        <w:t xml:space="preserve">dve rovnaké </w:t>
      </w:r>
      <w:r w:rsidR="00DD695D" w:rsidRPr="009B1D9C">
        <w:rPr>
          <w:szCs w:val="22"/>
        </w:rPr>
        <w:t>časti</w:t>
      </w:r>
      <w:r w:rsidRPr="009B1D9C">
        <w:rPr>
          <w:szCs w:val="22"/>
        </w:rPr>
        <w:t>.</w:t>
      </w:r>
    </w:p>
    <w:p w14:paraId="17BA90BC" w14:textId="77777777" w:rsidR="000D4B33" w:rsidRPr="009B1D9C" w:rsidRDefault="000D4B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9B1D9C" w:rsidRDefault="00514F6C" w:rsidP="00B13B6D">
      <w:pPr>
        <w:pStyle w:val="Style1"/>
      </w:pPr>
      <w:r w:rsidRPr="009B1D9C">
        <w:t>3.</w:t>
      </w:r>
      <w:r w:rsidRPr="009B1D9C">
        <w:tab/>
        <w:t>KLINICKÉ ÚDAJE</w:t>
      </w:r>
    </w:p>
    <w:p w14:paraId="76D82846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9B1D9C" w:rsidRDefault="00514F6C" w:rsidP="00B13B6D">
      <w:pPr>
        <w:pStyle w:val="Style1"/>
      </w:pPr>
      <w:r w:rsidRPr="009B1D9C">
        <w:t>3.1</w:t>
      </w:r>
      <w:r w:rsidRPr="009B1D9C">
        <w:tab/>
        <w:t>Cieľové druhy</w:t>
      </w:r>
    </w:p>
    <w:p w14:paraId="2A7E2091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C3351" w14:textId="1FEA62C8" w:rsidR="000D4B33" w:rsidRPr="009B1D9C" w:rsidRDefault="000D4B33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Mačky s hmotnosťou najmenej </w:t>
      </w:r>
      <w:r w:rsidR="00F90084" w:rsidRPr="009B1D9C">
        <w:rPr>
          <w:szCs w:val="22"/>
        </w:rPr>
        <w:t>2</w:t>
      </w:r>
      <w:r w:rsidRPr="009B1D9C">
        <w:rPr>
          <w:szCs w:val="22"/>
        </w:rPr>
        <w:t xml:space="preserve"> kg.</w:t>
      </w:r>
    </w:p>
    <w:p w14:paraId="386AE61D" w14:textId="77777777" w:rsidR="000D4B33" w:rsidRPr="009B1D9C" w:rsidRDefault="000D4B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9B1D9C" w:rsidRDefault="00514F6C" w:rsidP="00B13B6D">
      <w:pPr>
        <w:pStyle w:val="Style1"/>
      </w:pPr>
      <w:r w:rsidRPr="009B1D9C">
        <w:t>3.2</w:t>
      </w:r>
      <w:r w:rsidRPr="009B1D9C">
        <w:tab/>
        <w:t>Indikácie na použitie pre každý cieľový druh</w:t>
      </w:r>
    </w:p>
    <w:p w14:paraId="6FA947A7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6929E" w14:textId="462C27BD" w:rsidR="00E86CEE" w:rsidRPr="009B1D9C" w:rsidRDefault="00C4420E" w:rsidP="00145C3F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U mačiek</w:t>
      </w:r>
      <w:r w:rsidR="000D4B33" w:rsidRPr="009B1D9C">
        <w:rPr>
          <w:szCs w:val="22"/>
        </w:rPr>
        <w:t xml:space="preserve">: Liečba zmiešaných infekcií nezrelými a dospelými </w:t>
      </w:r>
      <w:proofErr w:type="spellStart"/>
      <w:r w:rsidR="000D4B33" w:rsidRPr="009B1D9C">
        <w:rPr>
          <w:szCs w:val="22"/>
        </w:rPr>
        <w:t>cestódami</w:t>
      </w:r>
      <w:proofErr w:type="spellEnd"/>
      <w:r w:rsidR="000D4B33" w:rsidRPr="009B1D9C">
        <w:rPr>
          <w:szCs w:val="22"/>
        </w:rPr>
        <w:t xml:space="preserve"> a </w:t>
      </w:r>
      <w:proofErr w:type="spellStart"/>
      <w:r w:rsidR="000D4B33" w:rsidRPr="009B1D9C">
        <w:rPr>
          <w:szCs w:val="22"/>
        </w:rPr>
        <w:t>nematódami</w:t>
      </w:r>
      <w:proofErr w:type="spellEnd"/>
      <w:r w:rsidR="000D4B33" w:rsidRPr="009B1D9C">
        <w:rPr>
          <w:szCs w:val="22"/>
        </w:rPr>
        <w:t xml:space="preserve"> týchto druhov: </w:t>
      </w:r>
    </w:p>
    <w:p w14:paraId="6ABC917B" w14:textId="77777777" w:rsidR="00ED714E" w:rsidRPr="009B1D9C" w:rsidRDefault="00ED714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88735B" w14:textId="5FDC3971" w:rsidR="000D4B33" w:rsidRPr="009B1D9C" w:rsidRDefault="000D4B33" w:rsidP="000D4B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1D9C">
        <w:rPr>
          <w:szCs w:val="22"/>
        </w:rPr>
        <w:t xml:space="preserve">- </w:t>
      </w:r>
      <w:proofErr w:type="spellStart"/>
      <w:r w:rsidRPr="009B1D9C">
        <w:rPr>
          <w:szCs w:val="22"/>
        </w:rPr>
        <w:t>Cestódy</w:t>
      </w:r>
      <w:proofErr w:type="spellEnd"/>
      <w:r w:rsidRPr="009B1D9C">
        <w:rPr>
          <w:szCs w:val="22"/>
        </w:rPr>
        <w:t xml:space="preserve">: </w:t>
      </w:r>
    </w:p>
    <w:p w14:paraId="23BE178B" w14:textId="77777777" w:rsidR="000D4B33" w:rsidRPr="009B1D9C" w:rsidRDefault="000D4B33" w:rsidP="000D4B33">
      <w:pPr>
        <w:tabs>
          <w:tab w:val="clear" w:pos="567"/>
        </w:tabs>
        <w:spacing w:line="240" w:lineRule="auto"/>
        <w:ind w:firstLine="567"/>
        <w:jc w:val="both"/>
        <w:rPr>
          <w:i/>
          <w:iCs/>
          <w:szCs w:val="22"/>
        </w:rPr>
      </w:pPr>
      <w:proofErr w:type="spellStart"/>
      <w:r w:rsidRPr="009B1D9C">
        <w:rPr>
          <w:i/>
          <w:iCs/>
          <w:szCs w:val="22"/>
        </w:rPr>
        <w:lastRenderedPageBreak/>
        <w:t>Dipylidium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caninum</w:t>
      </w:r>
      <w:proofErr w:type="spellEnd"/>
      <w:r w:rsidRPr="009B1D9C">
        <w:rPr>
          <w:i/>
          <w:iCs/>
          <w:szCs w:val="22"/>
        </w:rPr>
        <w:t xml:space="preserve"> </w:t>
      </w:r>
    </w:p>
    <w:p w14:paraId="4E99ECC9" w14:textId="77777777" w:rsidR="000D4B33" w:rsidRPr="009B1D9C" w:rsidRDefault="000D4B33" w:rsidP="000D4B33">
      <w:pPr>
        <w:tabs>
          <w:tab w:val="clear" w:pos="567"/>
        </w:tabs>
        <w:spacing w:line="240" w:lineRule="auto"/>
        <w:ind w:firstLine="567"/>
        <w:jc w:val="both"/>
        <w:rPr>
          <w:i/>
          <w:iCs/>
          <w:szCs w:val="22"/>
        </w:rPr>
      </w:pPr>
      <w:proofErr w:type="spellStart"/>
      <w:r w:rsidRPr="009B1D9C">
        <w:rPr>
          <w:i/>
          <w:iCs/>
          <w:szCs w:val="22"/>
        </w:rPr>
        <w:t>Taenia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szCs w:val="22"/>
        </w:rPr>
        <w:t>spp</w:t>
      </w:r>
      <w:proofErr w:type="spellEnd"/>
      <w:r w:rsidRPr="009B1D9C">
        <w:rPr>
          <w:i/>
          <w:iCs/>
          <w:szCs w:val="22"/>
        </w:rPr>
        <w:t xml:space="preserve">. </w:t>
      </w:r>
    </w:p>
    <w:p w14:paraId="021DCB31" w14:textId="77777777" w:rsidR="000D4B33" w:rsidRPr="009B1D9C" w:rsidRDefault="000D4B33" w:rsidP="000D4B33">
      <w:pPr>
        <w:tabs>
          <w:tab w:val="clear" w:pos="567"/>
        </w:tabs>
        <w:spacing w:line="240" w:lineRule="auto"/>
        <w:ind w:firstLine="567"/>
        <w:jc w:val="both"/>
        <w:rPr>
          <w:i/>
          <w:iCs/>
          <w:szCs w:val="22"/>
        </w:rPr>
      </w:pPr>
      <w:proofErr w:type="spellStart"/>
      <w:r w:rsidRPr="009B1D9C">
        <w:rPr>
          <w:i/>
          <w:iCs/>
          <w:szCs w:val="22"/>
        </w:rPr>
        <w:t>Echinococcus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multilocularis</w:t>
      </w:r>
      <w:proofErr w:type="spellEnd"/>
      <w:r w:rsidRPr="009B1D9C">
        <w:rPr>
          <w:i/>
          <w:iCs/>
          <w:szCs w:val="22"/>
        </w:rPr>
        <w:t xml:space="preserve"> </w:t>
      </w:r>
    </w:p>
    <w:p w14:paraId="2C504145" w14:textId="77777777" w:rsidR="00ED714E" w:rsidRPr="009B1D9C" w:rsidRDefault="00ED714E" w:rsidP="000D4B33">
      <w:pPr>
        <w:tabs>
          <w:tab w:val="clear" w:pos="567"/>
        </w:tabs>
        <w:spacing w:line="240" w:lineRule="auto"/>
        <w:ind w:firstLine="567"/>
        <w:jc w:val="both"/>
        <w:rPr>
          <w:szCs w:val="22"/>
        </w:rPr>
      </w:pPr>
    </w:p>
    <w:p w14:paraId="4C08C70E" w14:textId="2C875D86" w:rsidR="000D4B33" w:rsidRPr="009B1D9C" w:rsidRDefault="000D4B33" w:rsidP="000D4B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1D9C">
        <w:rPr>
          <w:szCs w:val="22"/>
        </w:rPr>
        <w:t xml:space="preserve">- </w:t>
      </w:r>
      <w:proofErr w:type="spellStart"/>
      <w:r w:rsidRPr="009B1D9C">
        <w:rPr>
          <w:szCs w:val="22"/>
        </w:rPr>
        <w:t>Nematódy</w:t>
      </w:r>
      <w:proofErr w:type="spellEnd"/>
      <w:r w:rsidRPr="009B1D9C">
        <w:rPr>
          <w:szCs w:val="22"/>
        </w:rPr>
        <w:t xml:space="preserve">: </w:t>
      </w:r>
    </w:p>
    <w:p w14:paraId="07C93D08" w14:textId="77777777" w:rsidR="000D4B33" w:rsidRPr="009B1D9C" w:rsidRDefault="000D4B33" w:rsidP="000D4B33">
      <w:pPr>
        <w:tabs>
          <w:tab w:val="clear" w:pos="567"/>
        </w:tabs>
        <w:spacing w:line="240" w:lineRule="auto"/>
        <w:ind w:firstLine="567"/>
        <w:jc w:val="both"/>
        <w:rPr>
          <w:i/>
          <w:iCs/>
          <w:szCs w:val="22"/>
        </w:rPr>
      </w:pPr>
      <w:proofErr w:type="spellStart"/>
      <w:r w:rsidRPr="009B1D9C">
        <w:rPr>
          <w:i/>
          <w:iCs/>
          <w:szCs w:val="22"/>
        </w:rPr>
        <w:t>Ancylostoma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tubaeforme</w:t>
      </w:r>
      <w:proofErr w:type="spellEnd"/>
      <w:r w:rsidRPr="009B1D9C">
        <w:rPr>
          <w:i/>
          <w:iCs/>
          <w:szCs w:val="22"/>
        </w:rPr>
        <w:t xml:space="preserve"> </w:t>
      </w:r>
    </w:p>
    <w:p w14:paraId="76895B82" w14:textId="4E371753" w:rsidR="000D4B33" w:rsidRPr="009B1D9C" w:rsidRDefault="000D4B33" w:rsidP="000D4B33">
      <w:pPr>
        <w:tabs>
          <w:tab w:val="clear" w:pos="567"/>
        </w:tabs>
        <w:spacing w:line="240" w:lineRule="auto"/>
        <w:ind w:firstLine="567"/>
        <w:rPr>
          <w:szCs w:val="22"/>
        </w:rPr>
      </w:pPr>
      <w:proofErr w:type="spellStart"/>
      <w:r w:rsidRPr="009B1D9C">
        <w:rPr>
          <w:i/>
          <w:iCs/>
          <w:szCs w:val="22"/>
        </w:rPr>
        <w:t>Toxocara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cati</w:t>
      </w:r>
      <w:proofErr w:type="spellEnd"/>
    </w:p>
    <w:p w14:paraId="1EEF826F" w14:textId="77777777" w:rsidR="000D4B33" w:rsidRPr="009B1D9C" w:rsidRDefault="000D4B33" w:rsidP="00B13B6D">
      <w:pPr>
        <w:pStyle w:val="Style1"/>
      </w:pPr>
    </w:p>
    <w:p w14:paraId="74960A51" w14:textId="77777777" w:rsidR="000D4B33" w:rsidRPr="009B1D9C" w:rsidRDefault="000D4B33" w:rsidP="00B13B6D">
      <w:pPr>
        <w:pStyle w:val="Style1"/>
        <w:rPr>
          <w:b w:val="0"/>
          <w:bCs/>
        </w:rPr>
      </w:pPr>
      <w:r w:rsidRPr="009B1D9C">
        <w:rPr>
          <w:b w:val="0"/>
          <w:bCs/>
        </w:rPr>
        <w:t>Prevencia ochorenia spôsobeného srdcovými červami (</w:t>
      </w:r>
      <w:proofErr w:type="spellStart"/>
      <w:r w:rsidRPr="009B1D9C">
        <w:rPr>
          <w:b w:val="0"/>
          <w:bCs/>
          <w:i/>
          <w:iCs/>
        </w:rPr>
        <w:t>Dirofilaria</w:t>
      </w:r>
      <w:proofErr w:type="spellEnd"/>
      <w:r w:rsidRPr="009B1D9C">
        <w:rPr>
          <w:b w:val="0"/>
          <w:bCs/>
          <w:i/>
          <w:iCs/>
        </w:rPr>
        <w:t xml:space="preserve"> </w:t>
      </w:r>
      <w:proofErr w:type="spellStart"/>
      <w:r w:rsidRPr="009B1D9C">
        <w:rPr>
          <w:b w:val="0"/>
          <w:bCs/>
          <w:i/>
          <w:iCs/>
        </w:rPr>
        <w:t>immitis</w:t>
      </w:r>
      <w:proofErr w:type="spellEnd"/>
      <w:r w:rsidRPr="009B1D9C">
        <w:rPr>
          <w:b w:val="0"/>
          <w:bCs/>
        </w:rPr>
        <w:t xml:space="preserve">), ak je indikovaná súbežná </w:t>
      </w:r>
    </w:p>
    <w:p w14:paraId="6ECB2B5A" w14:textId="7F3D76A0" w:rsidR="000D4B33" w:rsidRPr="009B1D9C" w:rsidRDefault="000D4B33" w:rsidP="00B13B6D">
      <w:pPr>
        <w:pStyle w:val="Style1"/>
        <w:rPr>
          <w:b w:val="0"/>
          <w:bCs/>
        </w:rPr>
      </w:pPr>
      <w:r w:rsidRPr="009B1D9C">
        <w:rPr>
          <w:b w:val="0"/>
          <w:bCs/>
        </w:rPr>
        <w:t xml:space="preserve">liečba proti </w:t>
      </w:r>
      <w:r w:rsidR="00DD695D" w:rsidRPr="009B1D9C">
        <w:rPr>
          <w:b w:val="0"/>
          <w:bCs/>
        </w:rPr>
        <w:t>pásomniciam</w:t>
      </w:r>
      <w:r w:rsidRPr="009B1D9C">
        <w:rPr>
          <w:b w:val="0"/>
          <w:bCs/>
        </w:rPr>
        <w:t>.</w:t>
      </w:r>
    </w:p>
    <w:p w14:paraId="6F9DB1CA" w14:textId="77777777" w:rsidR="000D4B33" w:rsidRPr="009B1D9C" w:rsidRDefault="000D4B33" w:rsidP="00B13B6D">
      <w:pPr>
        <w:pStyle w:val="Style1"/>
        <w:rPr>
          <w:b w:val="0"/>
          <w:bCs/>
        </w:rPr>
      </w:pPr>
    </w:p>
    <w:p w14:paraId="6A5376EF" w14:textId="656BACA5" w:rsidR="00C114FF" w:rsidRPr="009B1D9C" w:rsidRDefault="00514F6C" w:rsidP="00B13B6D">
      <w:pPr>
        <w:pStyle w:val="Style1"/>
      </w:pPr>
      <w:r w:rsidRPr="009B1D9C">
        <w:t>3.3</w:t>
      </w:r>
      <w:r w:rsidRPr="009B1D9C">
        <w:tab/>
        <w:t>Kontraindikácie</w:t>
      </w:r>
    </w:p>
    <w:p w14:paraId="1F06B03A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B01A51" w14:textId="42786928" w:rsidR="00BF3332" w:rsidRPr="009B1D9C" w:rsidRDefault="00BF3332" w:rsidP="00BF3332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Nepoužívať u mačiek s hmotnosťou nižšou ako </w:t>
      </w:r>
      <w:r w:rsidR="00ED714E" w:rsidRPr="009B1D9C">
        <w:rPr>
          <w:szCs w:val="22"/>
        </w:rPr>
        <w:t>2</w:t>
      </w:r>
      <w:r w:rsidRPr="009B1D9C">
        <w:rPr>
          <w:szCs w:val="22"/>
        </w:rPr>
        <w:t xml:space="preserve"> kg.</w:t>
      </w:r>
    </w:p>
    <w:p w14:paraId="158DDBD1" w14:textId="5EE45612" w:rsidR="00BF3332" w:rsidRPr="009B1D9C" w:rsidRDefault="00BF3332" w:rsidP="00BF3332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Nepoužívať v prípadoch precitlivenosti na účinn</w:t>
      </w:r>
      <w:r w:rsidR="00DD695D" w:rsidRPr="009B1D9C">
        <w:rPr>
          <w:szCs w:val="22"/>
        </w:rPr>
        <w:t>é</w:t>
      </w:r>
      <w:r w:rsidRPr="009B1D9C">
        <w:rPr>
          <w:szCs w:val="22"/>
        </w:rPr>
        <w:t xml:space="preserve"> látk</w:t>
      </w:r>
      <w:r w:rsidR="00DD695D" w:rsidRPr="009B1D9C">
        <w:rPr>
          <w:szCs w:val="22"/>
        </w:rPr>
        <w:t>y</w:t>
      </w:r>
      <w:r w:rsidRPr="009B1D9C">
        <w:rPr>
          <w:szCs w:val="22"/>
        </w:rPr>
        <w:t xml:space="preserve"> alebo na niektorú z pomocných látok.</w:t>
      </w:r>
    </w:p>
    <w:p w14:paraId="1BA27A52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9B1D9C" w:rsidRDefault="00514F6C" w:rsidP="00B13B6D">
      <w:pPr>
        <w:pStyle w:val="Style1"/>
      </w:pPr>
      <w:r w:rsidRPr="009B1D9C">
        <w:t>3.4</w:t>
      </w:r>
      <w:r w:rsidRPr="009B1D9C">
        <w:tab/>
        <w:t>Osobitné upozornenia</w:t>
      </w:r>
    </w:p>
    <w:p w14:paraId="55A1B245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28D5AE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Nadmerné použitie antiparazitík alebo použitie v rozpore s pokynmi uvedenými v SPC môže zvýšiť selekčný tlak na rezistenciu a viesť k zníženiu účinnosti. Rozhodnutie o použití veterinárneho lieku by malo byť založené na potvrdení druhu parazita a parazitárnej záťaže u každého jednotlivého zvieraťa alebo na riziku infekcie na základe jeho epidemiologických vlastností pre každé jednotlivé zviera.</w:t>
      </w:r>
    </w:p>
    <w:p w14:paraId="159A18EE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Odporúča sa súčasne ošetriť všetky zvieratá žijúce v spoločnej domácnosti.</w:t>
      </w:r>
    </w:p>
    <w:p w14:paraId="53BB1616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Pri infekcii pásomnicou </w:t>
      </w:r>
      <w:r w:rsidRPr="009B1D9C">
        <w:rPr>
          <w:i/>
          <w:iCs/>
          <w:szCs w:val="22"/>
        </w:rPr>
        <w:t xml:space="preserve">D. </w:t>
      </w:r>
      <w:proofErr w:type="spellStart"/>
      <w:r w:rsidRPr="009B1D9C">
        <w:rPr>
          <w:i/>
          <w:iCs/>
          <w:szCs w:val="22"/>
        </w:rPr>
        <w:t>caninum</w:t>
      </w:r>
      <w:proofErr w:type="spellEnd"/>
      <w:r w:rsidRPr="009B1D9C">
        <w:rPr>
          <w:szCs w:val="22"/>
        </w:rPr>
        <w:t xml:space="preserve"> je potrebné konzultovať s veterinárnym lekárom súbežnú liečbu proti </w:t>
      </w:r>
      <w:proofErr w:type="spellStart"/>
      <w:r w:rsidRPr="009B1D9C">
        <w:rPr>
          <w:szCs w:val="22"/>
        </w:rPr>
        <w:t>medzihostiteľom</w:t>
      </w:r>
      <w:proofErr w:type="spellEnd"/>
      <w:r w:rsidRPr="009B1D9C">
        <w:rPr>
          <w:szCs w:val="22"/>
        </w:rPr>
        <w:t xml:space="preserve"> ako sú blchy a vši, aby sa zabránilo opakovanej infekcii. </w:t>
      </w:r>
    </w:p>
    <w:p w14:paraId="4B4B299A" w14:textId="13643F78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Po častom, opakovanom použití </w:t>
      </w:r>
      <w:proofErr w:type="spellStart"/>
      <w:r w:rsidRPr="009B1D9C">
        <w:rPr>
          <w:szCs w:val="22"/>
        </w:rPr>
        <w:t>ant</w:t>
      </w:r>
      <w:r w:rsidR="0055344A" w:rsidRPr="009B1D9C">
        <w:rPr>
          <w:szCs w:val="22"/>
        </w:rPr>
        <w:t>i</w:t>
      </w:r>
      <w:r w:rsidRPr="009B1D9C">
        <w:rPr>
          <w:szCs w:val="22"/>
        </w:rPr>
        <w:t>helmintika</w:t>
      </w:r>
      <w:proofErr w:type="spellEnd"/>
      <w:r w:rsidRPr="009B1D9C">
        <w:rPr>
          <w:szCs w:val="22"/>
        </w:rPr>
        <w:t xml:space="preserve"> akejkoľvek triedy sa môže vyvinúť rezistencia parazitov na túto konkrétnu triedu </w:t>
      </w:r>
      <w:proofErr w:type="spellStart"/>
      <w:r w:rsidRPr="009B1D9C">
        <w:rPr>
          <w:szCs w:val="22"/>
        </w:rPr>
        <w:t>antihelmintík</w:t>
      </w:r>
      <w:proofErr w:type="spellEnd"/>
      <w:r w:rsidRPr="009B1D9C">
        <w:rPr>
          <w:szCs w:val="22"/>
        </w:rPr>
        <w:t xml:space="preserve">. </w:t>
      </w:r>
    </w:p>
    <w:p w14:paraId="1D87CA18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Odporúča sa ďalej vyšetriť prípady podozrenia na rezistenciu s využitím zodpovedajúcej diagnostickej metódy. Potvrdená rezistencia by mala byť hlásená držiteľovi rozhodnutia o registrácii alebo príslušným orgánom.</w:t>
      </w:r>
    </w:p>
    <w:p w14:paraId="7D60C9B1" w14:textId="07E3A2EF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Použitie vet</w:t>
      </w:r>
      <w:r w:rsidR="0055344A" w:rsidRPr="009B1D9C">
        <w:rPr>
          <w:szCs w:val="22"/>
        </w:rPr>
        <w:t>e</w:t>
      </w:r>
      <w:r w:rsidRPr="009B1D9C">
        <w:rPr>
          <w:szCs w:val="22"/>
        </w:rPr>
        <w:t>rinárneho lieku by malo byť založené na základe znalosti miestnej epidemiologickej informácie o citlivosti cieľových parazitov, ak sú k dispozícii.</w:t>
      </w:r>
    </w:p>
    <w:p w14:paraId="05267661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Ak hrozí riziko </w:t>
      </w:r>
      <w:proofErr w:type="spellStart"/>
      <w:r w:rsidRPr="009B1D9C">
        <w:rPr>
          <w:szCs w:val="22"/>
        </w:rPr>
        <w:t>koinfekcie</w:t>
      </w:r>
      <w:proofErr w:type="spellEnd"/>
      <w:r w:rsidRPr="009B1D9C">
        <w:rPr>
          <w:szCs w:val="22"/>
        </w:rPr>
        <w:t xml:space="preserve"> s hlístami alebo pásomnicami, mal by sa použiť veterinárny liek s úzkym spektrom.</w:t>
      </w:r>
    </w:p>
    <w:p w14:paraId="711CFC2F" w14:textId="77777777" w:rsidR="00BF3332" w:rsidRPr="009B1D9C" w:rsidRDefault="00BF3332" w:rsidP="00BF3332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9B1D9C" w:rsidRDefault="00514F6C" w:rsidP="00B13B6D">
      <w:pPr>
        <w:pStyle w:val="Style1"/>
      </w:pPr>
      <w:r w:rsidRPr="009B1D9C">
        <w:t>3.5</w:t>
      </w:r>
      <w:r w:rsidRPr="009B1D9C">
        <w:tab/>
        <w:t>Osobitné opatrenia na používanie</w:t>
      </w:r>
    </w:p>
    <w:p w14:paraId="3ABBE024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9B1D9C" w:rsidRDefault="00514F6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B1D9C">
        <w:rPr>
          <w:szCs w:val="22"/>
          <w:u w:val="single"/>
        </w:rPr>
        <w:t>Osobitné opatrenia na bezpečné používanie u cieľových druhov</w:t>
      </w:r>
    </w:p>
    <w:p w14:paraId="55AC2C3C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Uistite sa, že mačky a mačiatka s hmotnosťou od 0,5 kg do ≤ 2 kg dostanú príslušnú silu tablety (4 mg milbemycínoximu/10 mg </w:t>
      </w:r>
      <w:proofErr w:type="spellStart"/>
      <w:r w:rsidRPr="009B1D9C">
        <w:rPr>
          <w:szCs w:val="22"/>
        </w:rPr>
        <w:t>prazikvantelu</w:t>
      </w:r>
      <w:proofErr w:type="spellEnd"/>
      <w:r w:rsidRPr="009B1D9C">
        <w:rPr>
          <w:szCs w:val="22"/>
        </w:rPr>
        <w:t>) a správnu dávku (½ alebo 1 tabletu) pre zodpovedajúce hmotnostné rozpätie (½ tablety pre mačky s hmotnosťou 0,5 až 1 kg; 1 tableta pre mačky s hmotnosťou &gt; 1 až 2 kg).</w:t>
      </w:r>
    </w:p>
    <w:p w14:paraId="63C30207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</w:p>
    <w:p w14:paraId="4929DB0E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Neboli vykonané žiadne štúdie s veľmi oslabenými mačkami alebo jedincami s vážnym poškodením obličiek alebo funkcie pečene. Pre tieto zvieratá sa liek neodporúča alebo iba po zvážení pomeru rizika alebo prínosu zodpovedným veterinárnym lekárom.</w:t>
      </w:r>
    </w:p>
    <w:p w14:paraId="65C57915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Tablety sú ochutené. V záujme zabránenia nezamýšľaného požitia tablety uchovávajte mimo dosahu zvierat.</w:t>
      </w:r>
    </w:p>
    <w:p w14:paraId="18AB10F2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9B1D9C" w:rsidRDefault="00514F6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B1D9C">
        <w:rPr>
          <w:szCs w:val="22"/>
          <w:u w:val="single"/>
        </w:rPr>
        <w:t>Osobitné opatrenia, ktoré má urobiť osoba podávajúca liek zvieratám</w:t>
      </w:r>
    </w:p>
    <w:p w14:paraId="3D927275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Tento veterinárny liek môže byť po požití škodlivý, najmä pre deti. V záujme zabránenia náhodného požitia veterinárny liek uchovávajte mimo dohľadu a dosahu detí. Nepoužité časti tabliet vráťte do otvoreného otvoru v </w:t>
      </w:r>
      <w:proofErr w:type="spellStart"/>
      <w:r w:rsidRPr="009B1D9C">
        <w:rPr>
          <w:szCs w:val="22"/>
        </w:rPr>
        <w:t>blistri</w:t>
      </w:r>
      <w:proofErr w:type="spellEnd"/>
      <w:r w:rsidRPr="009B1D9C">
        <w:rPr>
          <w:szCs w:val="22"/>
        </w:rPr>
        <w:t>, vložte späť do škatuľky a použite pri ďalšom podaní alebo bezpečne zlikvidujte (pozri časť 5.5).</w:t>
      </w:r>
    </w:p>
    <w:p w14:paraId="363DB62A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V prípade náhodného požitia, predovšetkým deťmi, ihneď vyhľadajte lekársku pomoc a ukážte lekárovi písomnú informáciu pre používateľov alebo obal.</w:t>
      </w:r>
    </w:p>
    <w:p w14:paraId="788243EB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Po podaní veterinárneho lieku si umyte ruky.</w:t>
      </w:r>
    </w:p>
    <w:p w14:paraId="54BA3A63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9B1D9C" w:rsidRDefault="00514F6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B1D9C">
        <w:rPr>
          <w:szCs w:val="22"/>
          <w:u w:val="single"/>
        </w:rPr>
        <w:t>Osobitné opatrenia na ochranu životného prostredia:</w:t>
      </w:r>
    </w:p>
    <w:p w14:paraId="40CE7E7E" w14:textId="10A08532" w:rsidR="00C114FF" w:rsidRPr="009B1D9C" w:rsidRDefault="00514F6C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Neuplatňujú sa.</w:t>
      </w:r>
    </w:p>
    <w:p w14:paraId="4CD77300" w14:textId="77777777" w:rsidR="00295140" w:rsidRPr="009B1D9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3EA0C73E" w:rsidR="00295140" w:rsidRPr="009B1D9C" w:rsidRDefault="00514F6C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Ďalšie opatrenia</w:t>
      </w:r>
      <w:r w:rsidRPr="009B1D9C">
        <w:rPr>
          <w:szCs w:val="22"/>
        </w:rPr>
        <w:t>:</w:t>
      </w:r>
    </w:p>
    <w:p w14:paraId="69523D5F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Echinokokóza</w:t>
      </w:r>
      <w:proofErr w:type="spellEnd"/>
      <w:r w:rsidRPr="009B1D9C">
        <w:rPr>
          <w:szCs w:val="22"/>
        </w:rPr>
        <w:t xml:space="preserve"> predstavuje riziko pre človeka. Vzhľadom na to, že </w:t>
      </w:r>
      <w:proofErr w:type="spellStart"/>
      <w:r w:rsidRPr="009B1D9C">
        <w:rPr>
          <w:szCs w:val="22"/>
        </w:rPr>
        <w:t>echinokokóza</w:t>
      </w:r>
      <w:proofErr w:type="spellEnd"/>
      <w:r w:rsidRPr="009B1D9C">
        <w:rPr>
          <w:szCs w:val="22"/>
        </w:rPr>
        <w:t xml:space="preserve"> je ochorenie podliehajúce hláseniu Svetovej organizácii pre zdravie zvierat (WOAH), konkrétne pokyny pre ošetrovanie a následný postup a pokyny na ochranu osôb je potrebné získať od kompetentného úradu (napr. odborníkov alebo parazitologických ústavov).</w:t>
      </w:r>
    </w:p>
    <w:p w14:paraId="188B7130" w14:textId="77777777" w:rsidR="00AE33B3" w:rsidRPr="009B1D9C" w:rsidRDefault="00AE33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9B1D9C" w:rsidRDefault="00514F6C" w:rsidP="00B13B6D">
      <w:pPr>
        <w:pStyle w:val="Style1"/>
      </w:pPr>
      <w:r w:rsidRPr="009B1D9C">
        <w:t>3.6</w:t>
      </w:r>
      <w:r w:rsidRPr="009B1D9C">
        <w:tab/>
        <w:t xml:space="preserve">Nežiaduce </w:t>
      </w:r>
      <w:r w:rsidR="00E21B4D" w:rsidRPr="009B1D9C">
        <w:t>účinky</w:t>
      </w:r>
    </w:p>
    <w:p w14:paraId="3F074C4C" w14:textId="77777777" w:rsidR="00295140" w:rsidRPr="009B1D9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13096531" w:rsidR="00AD0710" w:rsidRPr="009B1D9C" w:rsidRDefault="00AE33B3" w:rsidP="00AD0710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Mačky</w:t>
      </w:r>
      <w:r w:rsidR="00DD695D" w:rsidRPr="009B1D9C">
        <w:rPr>
          <w:szCs w:val="22"/>
        </w:rPr>
        <w:t>:</w:t>
      </w:r>
    </w:p>
    <w:p w14:paraId="1EF66C48" w14:textId="77777777" w:rsidR="00295140" w:rsidRPr="009B1D9C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86547" w:rsidRPr="009B1D9C" w14:paraId="11755D43" w14:textId="77777777" w:rsidTr="00617B81">
        <w:tc>
          <w:tcPr>
            <w:tcW w:w="1957" w:type="pct"/>
          </w:tcPr>
          <w:p w14:paraId="2A606D29" w14:textId="77777777" w:rsidR="00295140" w:rsidRPr="009B1D9C" w:rsidRDefault="00514F6C" w:rsidP="00617B81">
            <w:pPr>
              <w:spacing w:before="60" w:after="60"/>
              <w:rPr>
                <w:szCs w:val="22"/>
              </w:rPr>
            </w:pPr>
            <w:r w:rsidRPr="009B1D9C">
              <w:rPr>
                <w:szCs w:val="22"/>
              </w:rPr>
              <w:t>Veľmi zriedkavé</w:t>
            </w:r>
          </w:p>
          <w:p w14:paraId="50488E4B" w14:textId="77777777" w:rsidR="00295140" w:rsidRPr="009B1D9C" w:rsidRDefault="00514F6C" w:rsidP="00617B81">
            <w:pPr>
              <w:spacing w:before="60" w:after="60"/>
              <w:rPr>
                <w:szCs w:val="22"/>
              </w:rPr>
            </w:pPr>
            <w:r w:rsidRPr="009B1D9C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5E67DFB3" w14:textId="4561AEAC" w:rsidR="00295140" w:rsidRPr="009B1D9C" w:rsidRDefault="00CC42C9" w:rsidP="0073656A">
            <w:pPr>
              <w:spacing w:before="60" w:after="60"/>
              <w:rPr>
                <w:szCs w:val="22"/>
              </w:rPr>
            </w:pPr>
            <w:proofErr w:type="spellStart"/>
            <w:r w:rsidRPr="009B1D9C">
              <w:rPr>
                <w:szCs w:val="22"/>
              </w:rPr>
              <w:t>Hypersenzitívne</w:t>
            </w:r>
            <w:proofErr w:type="spellEnd"/>
            <w:r w:rsidRPr="009B1D9C">
              <w:rPr>
                <w:szCs w:val="22"/>
              </w:rPr>
              <w:t xml:space="preserve"> reakcie</w:t>
            </w:r>
            <w:r w:rsidRPr="009B1D9C">
              <w:rPr>
                <w:iCs/>
                <w:szCs w:val="22"/>
                <w:vertAlign w:val="superscript"/>
              </w:rPr>
              <w:t>1</w:t>
            </w:r>
          </w:p>
          <w:p w14:paraId="4A74AD29" w14:textId="3DE89086" w:rsidR="00CC42C9" w:rsidRPr="009B1D9C" w:rsidRDefault="00CC42C9" w:rsidP="0073656A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Systémové príznaky</w:t>
            </w:r>
            <w:r w:rsidRPr="009B1D9C">
              <w:rPr>
                <w:iCs/>
                <w:szCs w:val="22"/>
                <w:vertAlign w:val="superscript"/>
              </w:rPr>
              <w:t>1</w:t>
            </w:r>
            <w:r w:rsidRPr="009B1D9C">
              <w:rPr>
                <w:iCs/>
                <w:szCs w:val="22"/>
              </w:rPr>
              <w:t xml:space="preserve"> (napr. letargia) </w:t>
            </w:r>
          </w:p>
          <w:p w14:paraId="14767934" w14:textId="05A61BA6" w:rsidR="00CC42C9" w:rsidRPr="009B1D9C" w:rsidRDefault="00CC42C9" w:rsidP="0073656A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Neurologické príznaky</w:t>
            </w:r>
            <w:r w:rsidRPr="009B1D9C">
              <w:rPr>
                <w:iCs/>
                <w:szCs w:val="22"/>
                <w:vertAlign w:val="superscript"/>
              </w:rPr>
              <w:t>1</w:t>
            </w:r>
            <w:r w:rsidRPr="009B1D9C">
              <w:rPr>
                <w:iCs/>
                <w:szCs w:val="22"/>
              </w:rPr>
              <w:t xml:space="preserve"> (napr. </w:t>
            </w:r>
            <w:proofErr w:type="spellStart"/>
            <w:r w:rsidRPr="009B1D9C">
              <w:rPr>
                <w:iCs/>
                <w:szCs w:val="22"/>
              </w:rPr>
              <w:t>ataxia</w:t>
            </w:r>
            <w:proofErr w:type="spellEnd"/>
            <w:r w:rsidRPr="009B1D9C">
              <w:rPr>
                <w:iCs/>
                <w:szCs w:val="22"/>
              </w:rPr>
              <w:t xml:space="preserve">, svalový </w:t>
            </w:r>
            <w:proofErr w:type="spellStart"/>
            <w:r w:rsidRPr="009B1D9C">
              <w:rPr>
                <w:iCs/>
                <w:szCs w:val="22"/>
              </w:rPr>
              <w:t>tremor</w:t>
            </w:r>
            <w:proofErr w:type="spellEnd"/>
            <w:r w:rsidRPr="009B1D9C">
              <w:rPr>
                <w:iCs/>
                <w:szCs w:val="22"/>
              </w:rPr>
              <w:t xml:space="preserve">) </w:t>
            </w:r>
          </w:p>
          <w:p w14:paraId="0A87A944" w14:textId="061A17EF" w:rsidR="00CC42C9" w:rsidRPr="009B1D9C" w:rsidRDefault="00CC42C9" w:rsidP="0073656A">
            <w:pPr>
              <w:spacing w:before="60" w:after="60"/>
              <w:rPr>
                <w:iCs/>
                <w:szCs w:val="22"/>
              </w:rPr>
            </w:pPr>
            <w:r w:rsidRPr="009B1D9C">
              <w:rPr>
                <w:iCs/>
                <w:szCs w:val="22"/>
              </w:rPr>
              <w:t>Gastrointestinálne príznaky</w:t>
            </w:r>
            <w:r w:rsidRPr="009B1D9C">
              <w:rPr>
                <w:iCs/>
                <w:szCs w:val="22"/>
                <w:vertAlign w:val="superscript"/>
              </w:rPr>
              <w:t>1</w:t>
            </w:r>
            <w:r w:rsidRPr="009B1D9C">
              <w:rPr>
                <w:iCs/>
                <w:szCs w:val="22"/>
              </w:rPr>
              <w:t xml:space="preserve"> (napr. zvracanie</w:t>
            </w:r>
            <w:r w:rsidR="00ED714E" w:rsidRPr="009B1D9C">
              <w:rPr>
                <w:iCs/>
                <w:szCs w:val="22"/>
              </w:rPr>
              <w:t>,</w:t>
            </w:r>
            <w:r w:rsidRPr="009B1D9C">
              <w:rPr>
                <w:iCs/>
                <w:szCs w:val="22"/>
              </w:rPr>
              <w:t> hnačka)</w:t>
            </w:r>
          </w:p>
        </w:tc>
      </w:tr>
    </w:tbl>
    <w:p w14:paraId="5E8798B9" w14:textId="4D31B561" w:rsidR="00295140" w:rsidRPr="009B1D9C" w:rsidRDefault="00CC42C9" w:rsidP="00AD0710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iCs/>
          <w:szCs w:val="22"/>
          <w:vertAlign w:val="superscript"/>
        </w:rPr>
        <w:t xml:space="preserve">1 </w:t>
      </w:r>
      <w:r w:rsidRPr="009B1D9C">
        <w:rPr>
          <w:szCs w:val="22"/>
        </w:rPr>
        <w:t>Najmä u mladých mačiek</w:t>
      </w:r>
    </w:p>
    <w:p w14:paraId="5D712F8A" w14:textId="77777777" w:rsidR="00CC42C9" w:rsidRPr="009B1D9C" w:rsidRDefault="00CC42C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403963A9" w:rsidR="00247A48" w:rsidRPr="009B1D9C" w:rsidRDefault="00514F6C" w:rsidP="00247A48">
      <w:pPr>
        <w:rPr>
          <w:szCs w:val="22"/>
        </w:rPr>
      </w:pPr>
      <w:bookmarkStart w:id="0" w:name="_Hlk66891708"/>
      <w:r w:rsidRPr="009B1D9C">
        <w:rPr>
          <w:szCs w:val="22"/>
        </w:rPr>
        <w:t xml:space="preserve">Hlásenie nežiaducich </w:t>
      </w:r>
      <w:r w:rsidR="0073656A" w:rsidRPr="009B1D9C">
        <w:rPr>
          <w:szCs w:val="22"/>
        </w:rPr>
        <w:t>účinkov</w:t>
      </w:r>
      <w:r w:rsidRPr="009B1D9C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</w:t>
      </w:r>
      <w:r w:rsidR="00362A12" w:rsidRPr="009B1D9C">
        <w:rPr>
          <w:szCs w:val="22"/>
        </w:rPr>
        <w:t> </w:t>
      </w:r>
      <w:r w:rsidRPr="009B1D9C">
        <w:rPr>
          <w:szCs w:val="22"/>
        </w:rPr>
        <w:t>písomnej informáci</w:t>
      </w:r>
      <w:r w:rsidR="00DD695D" w:rsidRPr="009B1D9C">
        <w:rPr>
          <w:szCs w:val="22"/>
        </w:rPr>
        <w:t>i</w:t>
      </w:r>
      <w:r w:rsidRPr="009B1D9C">
        <w:rPr>
          <w:szCs w:val="22"/>
        </w:rPr>
        <w:t xml:space="preserve"> pre používateľov.</w:t>
      </w:r>
    </w:p>
    <w:bookmarkEnd w:id="0"/>
    <w:p w14:paraId="3B718FD7" w14:textId="77777777" w:rsidR="00247A48" w:rsidRPr="009B1D9C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9B1D9C" w:rsidRDefault="00514F6C" w:rsidP="00B13B6D">
      <w:pPr>
        <w:pStyle w:val="Style1"/>
      </w:pPr>
      <w:r w:rsidRPr="009B1D9C">
        <w:t>3.7</w:t>
      </w:r>
      <w:r w:rsidRPr="009B1D9C">
        <w:tab/>
        <w:t>Použitie počas gravidity, laktácie, znášky</w:t>
      </w:r>
    </w:p>
    <w:p w14:paraId="038D6793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35F73AC" w:rsidR="00C114FF" w:rsidRPr="009B1D9C" w:rsidRDefault="00514F6C" w:rsidP="00E74050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Gravidita</w:t>
      </w:r>
      <w:r w:rsidR="00CC42C9" w:rsidRPr="009B1D9C">
        <w:rPr>
          <w:szCs w:val="22"/>
        </w:rPr>
        <w:t xml:space="preserve"> </w:t>
      </w:r>
      <w:r w:rsidRPr="009B1D9C">
        <w:rPr>
          <w:szCs w:val="22"/>
          <w:u w:val="single"/>
        </w:rPr>
        <w:t>a laktácia</w:t>
      </w:r>
      <w:r w:rsidRPr="009B1D9C">
        <w:rPr>
          <w:szCs w:val="22"/>
        </w:rPr>
        <w:t>:</w:t>
      </w:r>
    </w:p>
    <w:p w14:paraId="533A1207" w14:textId="26A9B2E8" w:rsidR="00092A37" w:rsidRPr="009B1D9C" w:rsidRDefault="00231A77" w:rsidP="00145C3F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Bezpečnosť veterinárneho lieku bola stanovená počas gravidity a laktácie.</w:t>
      </w:r>
    </w:p>
    <w:p w14:paraId="776AF215" w14:textId="05DF44A7" w:rsidR="00231A77" w:rsidRPr="009B1D9C" w:rsidRDefault="00231A77" w:rsidP="00145C3F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Veterinárny liek sa môže použiť u gravidných a </w:t>
      </w:r>
      <w:proofErr w:type="spellStart"/>
      <w:r w:rsidRPr="009B1D9C">
        <w:rPr>
          <w:szCs w:val="22"/>
        </w:rPr>
        <w:t>laktujúcich</w:t>
      </w:r>
      <w:proofErr w:type="spellEnd"/>
      <w:r w:rsidRPr="009B1D9C">
        <w:rPr>
          <w:szCs w:val="22"/>
        </w:rPr>
        <w:t xml:space="preserve"> mačiek.</w:t>
      </w:r>
    </w:p>
    <w:p w14:paraId="2138AD58" w14:textId="77777777" w:rsidR="00231A77" w:rsidRPr="009B1D9C" w:rsidRDefault="00231A7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3B164D3D" w:rsidR="00C114FF" w:rsidRPr="009B1D9C" w:rsidRDefault="00514F6C" w:rsidP="00A4313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Plodnosť</w:t>
      </w:r>
      <w:r w:rsidR="00CC42C9" w:rsidRPr="009B1D9C">
        <w:rPr>
          <w:szCs w:val="22"/>
        </w:rPr>
        <w:t>:</w:t>
      </w:r>
    </w:p>
    <w:p w14:paraId="1AB4E68A" w14:textId="41DBB8CE" w:rsidR="00C114FF" w:rsidRPr="009B1D9C" w:rsidRDefault="00231A77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Veterinárny liek sa môže použiť u chovných mačiek.</w:t>
      </w:r>
    </w:p>
    <w:p w14:paraId="53957B0C" w14:textId="77777777" w:rsidR="00231A77" w:rsidRPr="009B1D9C" w:rsidRDefault="00231A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9B1D9C" w:rsidRDefault="00514F6C" w:rsidP="00B13B6D">
      <w:pPr>
        <w:pStyle w:val="Style1"/>
      </w:pPr>
      <w:r w:rsidRPr="009B1D9C">
        <w:t>3.8</w:t>
      </w:r>
      <w:r w:rsidRPr="009B1D9C">
        <w:tab/>
      </w:r>
      <w:r w:rsidR="004456DA" w:rsidRPr="009B1D9C">
        <w:t>Interakcie s inými liekmi a ďalšie formy interakcií</w:t>
      </w:r>
    </w:p>
    <w:p w14:paraId="0EEAB286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5CD042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Súčasné podávanie tabliet obsahujúcich </w:t>
      </w:r>
      <w:proofErr w:type="spellStart"/>
      <w:r w:rsidRPr="009B1D9C">
        <w:rPr>
          <w:szCs w:val="22"/>
        </w:rPr>
        <w:t>milbemycínoxim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prazikvantel</w:t>
      </w:r>
      <w:proofErr w:type="spellEnd"/>
      <w:r w:rsidRPr="009B1D9C">
        <w:rPr>
          <w:szCs w:val="22"/>
        </w:rPr>
        <w:t xml:space="preserve"> so </w:t>
      </w:r>
      <w:proofErr w:type="spellStart"/>
      <w:r w:rsidRPr="009B1D9C">
        <w:rPr>
          <w:szCs w:val="22"/>
        </w:rPr>
        <w:t>selamektínom</w:t>
      </w:r>
      <w:proofErr w:type="spellEnd"/>
      <w:r w:rsidRPr="009B1D9C">
        <w:rPr>
          <w:szCs w:val="22"/>
        </w:rPr>
        <w:t xml:space="preserve"> je veľmi dobre znášané. Pri podávaní odporúčanej dávky </w:t>
      </w:r>
      <w:proofErr w:type="spellStart"/>
      <w:r w:rsidRPr="009B1D9C">
        <w:rPr>
          <w:szCs w:val="22"/>
        </w:rPr>
        <w:t>makrocyklického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laktónu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selamektínu</w:t>
      </w:r>
      <w:proofErr w:type="spellEnd"/>
      <w:r w:rsidRPr="009B1D9C">
        <w:rPr>
          <w:szCs w:val="22"/>
        </w:rPr>
        <w:t xml:space="preserve"> počas liečby odporúčanou dávkou kombinácie </w:t>
      </w:r>
      <w:proofErr w:type="spellStart"/>
      <w:r w:rsidRPr="009B1D9C">
        <w:rPr>
          <w:szCs w:val="22"/>
        </w:rPr>
        <w:t>milbemycínoximu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prazikvantelu</w:t>
      </w:r>
      <w:proofErr w:type="spellEnd"/>
      <w:r w:rsidRPr="009B1D9C">
        <w:rPr>
          <w:szCs w:val="22"/>
        </w:rPr>
        <w:t xml:space="preserve"> neboli pozorované žiadne interakcie. Hoci sa to neodporúča, súčasné použitie tabliet obsahujúcich </w:t>
      </w:r>
      <w:proofErr w:type="spellStart"/>
      <w:r w:rsidRPr="009B1D9C">
        <w:rPr>
          <w:szCs w:val="22"/>
        </w:rPr>
        <w:t>milbemycínoxim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prazikvantel</w:t>
      </w:r>
      <w:proofErr w:type="spellEnd"/>
      <w:r w:rsidRPr="009B1D9C">
        <w:rPr>
          <w:szCs w:val="22"/>
        </w:rPr>
        <w:t xml:space="preserve"> s liekom vo forme </w:t>
      </w:r>
      <w:proofErr w:type="spellStart"/>
      <w:r w:rsidRPr="009B1D9C">
        <w:rPr>
          <w:szCs w:val="22"/>
        </w:rPr>
        <w:t>spot-on</w:t>
      </w:r>
      <w:proofErr w:type="spellEnd"/>
      <w:r w:rsidRPr="009B1D9C">
        <w:rPr>
          <w:szCs w:val="22"/>
        </w:rPr>
        <w:t xml:space="preserve"> roztoku s obsahom </w:t>
      </w:r>
      <w:proofErr w:type="spellStart"/>
      <w:r w:rsidRPr="009B1D9C">
        <w:rPr>
          <w:szCs w:val="22"/>
        </w:rPr>
        <w:t>moxidektínu</w:t>
      </w:r>
      <w:proofErr w:type="spellEnd"/>
      <w:r w:rsidRPr="009B1D9C">
        <w:rPr>
          <w:szCs w:val="22"/>
        </w:rPr>
        <w:t xml:space="preserve"> s </w:t>
      </w:r>
      <w:proofErr w:type="spellStart"/>
      <w:r w:rsidRPr="009B1D9C">
        <w:rPr>
          <w:szCs w:val="22"/>
        </w:rPr>
        <w:t>imidaklopridom</w:t>
      </w:r>
      <w:proofErr w:type="spellEnd"/>
      <w:r w:rsidRPr="009B1D9C">
        <w:rPr>
          <w:szCs w:val="22"/>
        </w:rPr>
        <w:t xml:space="preserve"> v odporúčanej dávke po jednorazovej aplikácii bolo v jednej laboratórnej štúdii s desiatimi mačiatkami </w:t>
      </w:r>
    </w:p>
    <w:p w14:paraId="5CAE38FC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veľmi dobre znášané. </w:t>
      </w:r>
    </w:p>
    <w:p w14:paraId="22CD008D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Bezpečnosť a účinnosť súčasného použitia týchto liekov nebola skúmaná v terénnych štúdiách. Pri súčasnom podaní tabliet obsahujúcich </w:t>
      </w:r>
      <w:proofErr w:type="spellStart"/>
      <w:r w:rsidRPr="009B1D9C">
        <w:rPr>
          <w:szCs w:val="22"/>
        </w:rPr>
        <w:t>milbemycínoxim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prazikvantel</w:t>
      </w:r>
      <w:proofErr w:type="spellEnd"/>
      <w:r w:rsidRPr="009B1D9C">
        <w:rPr>
          <w:szCs w:val="22"/>
        </w:rPr>
        <w:t xml:space="preserve"> s inými </w:t>
      </w:r>
      <w:proofErr w:type="spellStart"/>
      <w:r w:rsidRPr="009B1D9C">
        <w:rPr>
          <w:szCs w:val="22"/>
        </w:rPr>
        <w:t>makrocyklickými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laktónmi</w:t>
      </w:r>
      <w:proofErr w:type="spellEnd"/>
      <w:r w:rsidRPr="009B1D9C">
        <w:rPr>
          <w:szCs w:val="22"/>
        </w:rPr>
        <w:t xml:space="preserve"> je potrebná osobitná opatrnosť, pretože nie sú dostupné ďalšie štúdie. Takéto štúdie neboli vykonané ani u chovných zvierat.</w:t>
      </w:r>
    </w:p>
    <w:p w14:paraId="1AA9FD25" w14:textId="77777777" w:rsidR="00C90EDA" w:rsidRPr="009B1D9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9B1D9C" w:rsidRDefault="00514F6C" w:rsidP="00B13B6D">
      <w:pPr>
        <w:pStyle w:val="Style1"/>
      </w:pPr>
      <w:r w:rsidRPr="009B1D9C">
        <w:t>3.9</w:t>
      </w:r>
      <w:r w:rsidRPr="009B1D9C">
        <w:tab/>
      </w:r>
      <w:r w:rsidR="00B07269" w:rsidRPr="009B1D9C">
        <w:t>Cesty</w:t>
      </w:r>
      <w:r w:rsidRPr="009B1D9C">
        <w:t xml:space="preserve"> podania a dávkovanie</w:t>
      </w:r>
    </w:p>
    <w:p w14:paraId="5BA94CFC" w14:textId="77777777" w:rsidR="00145D34" w:rsidRPr="009B1D9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1E7B9" w14:textId="2D9AF55E" w:rsidR="00F84F44" w:rsidRPr="009B1D9C" w:rsidRDefault="00F84F44" w:rsidP="00145C3F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Perorálne podanie.</w:t>
      </w:r>
    </w:p>
    <w:p w14:paraId="336DF6AC" w14:textId="2A9E5304" w:rsidR="001F36E9" w:rsidRPr="009B1D9C" w:rsidRDefault="001F36E9" w:rsidP="001F36E9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Minimálna odporúčaná dávka: 2 mg </w:t>
      </w:r>
      <w:proofErr w:type="spellStart"/>
      <w:r w:rsidRPr="009B1D9C">
        <w:rPr>
          <w:szCs w:val="22"/>
        </w:rPr>
        <w:t>milbemycínoximu</w:t>
      </w:r>
      <w:proofErr w:type="spellEnd"/>
      <w:r w:rsidRPr="009B1D9C">
        <w:rPr>
          <w:szCs w:val="22"/>
        </w:rPr>
        <w:t xml:space="preserve"> a 5 mg </w:t>
      </w:r>
      <w:proofErr w:type="spellStart"/>
      <w:r w:rsidRPr="009B1D9C">
        <w:rPr>
          <w:szCs w:val="22"/>
        </w:rPr>
        <w:t>prazi</w:t>
      </w:r>
      <w:r w:rsidR="00DD695D" w:rsidRPr="009B1D9C">
        <w:rPr>
          <w:szCs w:val="22"/>
        </w:rPr>
        <w:t>kv</w:t>
      </w:r>
      <w:r w:rsidRPr="009B1D9C">
        <w:rPr>
          <w:szCs w:val="22"/>
        </w:rPr>
        <w:t>antelu</w:t>
      </w:r>
      <w:proofErr w:type="spellEnd"/>
      <w:r w:rsidRPr="009B1D9C">
        <w:rPr>
          <w:szCs w:val="22"/>
        </w:rPr>
        <w:t xml:space="preserve"> na kg živej hmotnosti </w:t>
      </w:r>
      <w:r w:rsidR="00DD695D" w:rsidRPr="009B1D9C">
        <w:rPr>
          <w:szCs w:val="22"/>
        </w:rPr>
        <w:t xml:space="preserve">perorálne, </w:t>
      </w:r>
      <w:r w:rsidRPr="009B1D9C">
        <w:rPr>
          <w:szCs w:val="22"/>
        </w:rPr>
        <w:t>jednorazovo. V závislosti od živej hmotnosti mačky je praktické nasledovné dávkovanie:</w:t>
      </w:r>
    </w:p>
    <w:p w14:paraId="32DC76FF" w14:textId="77777777" w:rsidR="001F36E9" w:rsidRPr="009B1D9C" w:rsidRDefault="001F36E9" w:rsidP="001F36E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3818" w:type="dxa"/>
        <w:jc w:val="center"/>
        <w:tblLayout w:type="fixed"/>
        <w:tblLook w:val="0400" w:firstRow="0" w:lastRow="0" w:firstColumn="0" w:lastColumn="0" w:noHBand="0" w:noVBand="1"/>
      </w:tblPr>
      <w:tblGrid>
        <w:gridCol w:w="1833"/>
        <w:gridCol w:w="1985"/>
      </w:tblGrid>
      <w:tr w:rsidR="001F36E9" w:rsidRPr="009B1D9C" w14:paraId="715EEE1F" w14:textId="77777777" w:rsidTr="003A5C77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61E8A" w14:textId="5BDFFF75" w:rsidR="001F36E9" w:rsidRPr="009B1D9C" w:rsidRDefault="001F36E9" w:rsidP="003A5C77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szCs w:val="22"/>
                <w:lang w:val="cs"/>
              </w:rPr>
              <w:lastRenderedPageBreak/>
              <w:t xml:space="preserve">Živá </w:t>
            </w:r>
            <w:proofErr w:type="spellStart"/>
            <w:r w:rsidRPr="009B1D9C">
              <w:rPr>
                <w:szCs w:val="22"/>
                <w:lang w:val="cs"/>
              </w:rPr>
              <w:t>hmotnos</w:t>
            </w:r>
            <w:r w:rsidR="00F84F44" w:rsidRPr="009B1D9C">
              <w:rPr>
                <w:szCs w:val="22"/>
                <w:lang w:val="cs"/>
              </w:rPr>
              <w:t>ť</w:t>
            </w:r>
            <w:proofErr w:type="spellEnd"/>
            <w:r w:rsidRPr="009B1D9C">
              <w:rPr>
                <w:szCs w:val="22"/>
                <w:lang w:val="cs"/>
              </w:rPr>
              <w:t xml:space="preserve"> (kg)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E9AA1" w14:textId="22CD708E" w:rsidR="001F36E9" w:rsidRPr="009B1D9C" w:rsidRDefault="00ED714E" w:rsidP="003A5C77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szCs w:val="22"/>
                <w:lang w:val="cs"/>
              </w:rPr>
              <w:t>16</w:t>
            </w:r>
            <w:r w:rsidR="001F36E9" w:rsidRPr="009B1D9C">
              <w:rPr>
                <w:szCs w:val="22"/>
                <w:lang w:val="cs"/>
              </w:rPr>
              <w:t xml:space="preserve"> mg / </w:t>
            </w:r>
            <w:r w:rsidRPr="009B1D9C">
              <w:rPr>
                <w:szCs w:val="22"/>
                <w:lang w:val="cs"/>
              </w:rPr>
              <w:t>40</w:t>
            </w:r>
            <w:r w:rsidR="001F36E9" w:rsidRPr="009B1D9C">
              <w:rPr>
                <w:szCs w:val="22"/>
                <w:lang w:val="cs"/>
              </w:rPr>
              <w:t xml:space="preserve"> mg </w:t>
            </w:r>
            <w:r w:rsidR="00F84F44" w:rsidRPr="009B1D9C">
              <w:rPr>
                <w:szCs w:val="22"/>
                <w:lang w:val="cs"/>
              </w:rPr>
              <w:t>obalené</w:t>
            </w:r>
            <w:r w:rsidR="001F36E9" w:rsidRPr="009B1D9C">
              <w:rPr>
                <w:szCs w:val="22"/>
                <w:lang w:val="cs"/>
              </w:rPr>
              <w:t xml:space="preserve"> tablety</w:t>
            </w:r>
          </w:p>
        </w:tc>
      </w:tr>
      <w:tr w:rsidR="00ED714E" w:rsidRPr="009B1D9C" w14:paraId="3E12BDD9" w14:textId="77777777" w:rsidTr="003A5C77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22115" w14:textId="50FFD9F3" w:rsidR="00ED714E" w:rsidRPr="009B1D9C" w:rsidRDefault="00ED714E" w:rsidP="00ED714E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rFonts w:eastAsia="Calibri"/>
                <w:color w:val="000000"/>
                <w:szCs w:val="22"/>
              </w:rPr>
              <w:t>2-4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C0C5A" w14:textId="77777777" w:rsidR="00ED714E" w:rsidRPr="009B1D9C" w:rsidRDefault="00ED714E" w:rsidP="00ED714E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szCs w:val="22"/>
                <w:lang w:val="cs"/>
              </w:rPr>
              <w:t>1/2 tablety</w:t>
            </w:r>
          </w:p>
        </w:tc>
      </w:tr>
      <w:tr w:rsidR="00ED714E" w:rsidRPr="009B1D9C" w14:paraId="2CF40EE5" w14:textId="77777777" w:rsidTr="003A5C77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A0FE9" w14:textId="31222EAE" w:rsidR="00ED714E" w:rsidRPr="009B1D9C" w:rsidRDefault="00ED714E" w:rsidP="00ED714E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rFonts w:eastAsia="Calibri"/>
                <w:color w:val="000000"/>
                <w:szCs w:val="22"/>
              </w:rPr>
              <w:t>&gt;4-8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154EE" w14:textId="77777777" w:rsidR="00ED714E" w:rsidRPr="009B1D9C" w:rsidRDefault="00ED714E" w:rsidP="00ED714E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szCs w:val="22"/>
                <w:lang w:val="cs"/>
              </w:rPr>
              <w:t>1 tableta</w:t>
            </w:r>
          </w:p>
        </w:tc>
      </w:tr>
      <w:tr w:rsidR="00ED714E" w:rsidRPr="009B1D9C" w14:paraId="19699C59" w14:textId="77777777" w:rsidTr="003A5C77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CEB39" w14:textId="0765A215" w:rsidR="00ED714E" w:rsidRPr="009B1D9C" w:rsidRDefault="00ED714E" w:rsidP="00ED714E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 w:rsidRPr="009B1D9C">
              <w:rPr>
                <w:rFonts w:eastAsia="Calibri"/>
                <w:color w:val="000000"/>
                <w:szCs w:val="22"/>
              </w:rPr>
              <w:t>&gt;8-12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8DA40" w14:textId="6A11A4D5" w:rsidR="00ED714E" w:rsidRPr="009B1D9C" w:rsidRDefault="00ED714E" w:rsidP="00ED714E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 w:rsidRPr="009B1D9C">
              <w:rPr>
                <w:szCs w:val="22"/>
                <w:lang w:val="cs"/>
              </w:rPr>
              <w:t>1 + ½ tablety</w:t>
            </w:r>
          </w:p>
        </w:tc>
      </w:tr>
    </w:tbl>
    <w:p w14:paraId="1C9CE320" w14:textId="77777777" w:rsidR="001F36E9" w:rsidRPr="009B1D9C" w:rsidRDefault="001F36E9" w:rsidP="001F36E9">
      <w:pPr>
        <w:tabs>
          <w:tab w:val="clear" w:pos="567"/>
        </w:tabs>
        <w:spacing w:line="240" w:lineRule="auto"/>
        <w:rPr>
          <w:szCs w:val="22"/>
        </w:rPr>
      </w:pPr>
    </w:p>
    <w:p w14:paraId="079DBFC9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Veterinárny liek sa podáva s krmivom alebo po kŕmení. Tak je možné zaistiť optimálnu ochranu pred </w:t>
      </w:r>
      <w:proofErr w:type="spellStart"/>
      <w:r w:rsidRPr="009B1D9C">
        <w:rPr>
          <w:szCs w:val="22"/>
        </w:rPr>
        <w:t>dirofilariózou</w:t>
      </w:r>
      <w:proofErr w:type="spellEnd"/>
      <w:r w:rsidRPr="009B1D9C">
        <w:rPr>
          <w:szCs w:val="22"/>
        </w:rPr>
        <w:t>.</w:t>
      </w:r>
    </w:p>
    <w:p w14:paraId="49D34382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Pri prevencii </w:t>
      </w:r>
      <w:proofErr w:type="spellStart"/>
      <w:r w:rsidRPr="009B1D9C">
        <w:rPr>
          <w:szCs w:val="22"/>
        </w:rPr>
        <w:t>dirofilariózy</w:t>
      </w:r>
      <w:proofErr w:type="spellEnd"/>
      <w:r w:rsidRPr="009B1D9C">
        <w:rPr>
          <w:szCs w:val="22"/>
        </w:rPr>
        <w:t xml:space="preserve"> a ak je súčasne požadované ošetrenie proti pásomniciam, môže veterinárny liek nahradiť </w:t>
      </w:r>
      <w:proofErr w:type="spellStart"/>
      <w:r w:rsidRPr="009B1D9C">
        <w:rPr>
          <w:szCs w:val="22"/>
        </w:rPr>
        <w:t>monovalentný</w:t>
      </w:r>
      <w:proofErr w:type="spellEnd"/>
      <w:r w:rsidRPr="009B1D9C">
        <w:rPr>
          <w:szCs w:val="22"/>
        </w:rPr>
        <w:t xml:space="preserve"> liek na prevenciu </w:t>
      </w:r>
      <w:proofErr w:type="spellStart"/>
      <w:r w:rsidRPr="009B1D9C">
        <w:rPr>
          <w:szCs w:val="22"/>
        </w:rPr>
        <w:t>dirofilariózy</w:t>
      </w:r>
      <w:proofErr w:type="spellEnd"/>
      <w:r w:rsidRPr="009B1D9C">
        <w:rPr>
          <w:szCs w:val="22"/>
        </w:rPr>
        <w:t xml:space="preserve">. Veterinárny liek pôsobí preventívne proti </w:t>
      </w:r>
      <w:proofErr w:type="spellStart"/>
      <w:r w:rsidRPr="009B1D9C">
        <w:rPr>
          <w:szCs w:val="22"/>
        </w:rPr>
        <w:t>dirofilarióze</w:t>
      </w:r>
      <w:proofErr w:type="spellEnd"/>
      <w:r w:rsidRPr="009B1D9C">
        <w:rPr>
          <w:szCs w:val="22"/>
        </w:rPr>
        <w:t xml:space="preserve"> po dobu jedného mesiaca. Na bežnú prevenciu </w:t>
      </w:r>
      <w:proofErr w:type="spellStart"/>
      <w:r w:rsidRPr="009B1D9C">
        <w:rPr>
          <w:szCs w:val="22"/>
        </w:rPr>
        <w:t>dirofilariózy</w:t>
      </w:r>
      <w:proofErr w:type="spellEnd"/>
      <w:r w:rsidRPr="009B1D9C">
        <w:rPr>
          <w:szCs w:val="22"/>
        </w:rPr>
        <w:t xml:space="preserve"> sa odporúča dať prednosť </w:t>
      </w:r>
      <w:proofErr w:type="spellStart"/>
      <w:r w:rsidRPr="009B1D9C">
        <w:rPr>
          <w:szCs w:val="22"/>
        </w:rPr>
        <w:t>monovalentnému</w:t>
      </w:r>
      <w:proofErr w:type="spellEnd"/>
      <w:r w:rsidRPr="009B1D9C">
        <w:rPr>
          <w:szCs w:val="22"/>
        </w:rPr>
        <w:t xml:space="preserve"> lieku.</w:t>
      </w:r>
    </w:p>
    <w:p w14:paraId="48D1A2A0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Poddávkovanie</w:t>
      </w:r>
      <w:proofErr w:type="spellEnd"/>
      <w:r w:rsidRPr="009B1D9C">
        <w:rPr>
          <w:szCs w:val="22"/>
        </w:rPr>
        <w:t xml:space="preserve"> môže viesť k neúčinnému podaniu a mohlo by podporiť rozvoj rezistencie.</w:t>
      </w:r>
    </w:p>
    <w:p w14:paraId="2D58AA25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Potreba a frekvencia opakovanej liečby by mala vychádzať z odborného posúdenia a mala by zohľadňovať miestnu epidemiologickú situáciu a životný štýl zvieraťa.</w:t>
      </w:r>
    </w:p>
    <w:p w14:paraId="08854EB6" w14:textId="77777777" w:rsidR="00247A48" w:rsidRPr="009B1D9C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9B1D9C" w:rsidRDefault="00514F6C" w:rsidP="00B13B6D">
      <w:pPr>
        <w:pStyle w:val="Style1"/>
      </w:pPr>
      <w:r w:rsidRPr="009B1D9C">
        <w:t>3.10</w:t>
      </w:r>
      <w:r w:rsidRPr="009B1D9C">
        <w:tab/>
        <w:t xml:space="preserve">Príznaky predávkovania (a ak je to potrebné, núdzové postupy, </w:t>
      </w:r>
      <w:proofErr w:type="spellStart"/>
      <w:r w:rsidRPr="009B1D9C">
        <w:t>antidotá</w:t>
      </w:r>
      <w:proofErr w:type="spellEnd"/>
      <w:r w:rsidRPr="009B1D9C">
        <w:t>)</w:t>
      </w:r>
    </w:p>
    <w:p w14:paraId="32ABE53D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2C7DE6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V prípade predávkovania bolo pozorované zvýšené slinenie okrem príznakov pozorovaných po podaní odporúčanej dávky (pozri časť 3.6. Nežiaduce účinky). Tento príznak vymizne spontánne v priebehu jedného dňa.</w:t>
      </w:r>
    </w:p>
    <w:p w14:paraId="66740F25" w14:textId="77777777" w:rsidR="000E441D" w:rsidRPr="009B1D9C" w:rsidRDefault="000E44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9B1D9C" w:rsidRDefault="00514F6C" w:rsidP="00B13B6D">
      <w:pPr>
        <w:pStyle w:val="Style1"/>
      </w:pPr>
      <w:r w:rsidRPr="009B1D9C">
        <w:t>3.11</w:t>
      </w:r>
      <w:r w:rsidRPr="009B1D9C">
        <w:tab/>
        <w:t xml:space="preserve">Osobitné obmedzenia používania a osobitné podmienky používania vrátane obmedzení používania </w:t>
      </w:r>
      <w:proofErr w:type="spellStart"/>
      <w:r w:rsidRPr="009B1D9C">
        <w:t>antimikrobiálnych</w:t>
      </w:r>
      <w:proofErr w:type="spellEnd"/>
      <w:r w:rsidRPr="009B1D9C">
        <w:t xml:space="preserve"> a </w:t>
      </w:r>
      <w:proofErr w:type="spellStart"/>
      <w:r w:rsidRPr="009B1D9C">
        <w:t>antiparazitických</w:t>
      </w:r>
      <w:proofErr w:type="spellEnd"/>
      <w:r w:rsidRPr="009B1D9C">
        <w:t xml:space="preserve"> veterinárnych liekov s cieľom obmedziť riziko vzniku rezistencie</w:t>
      </w:r>
    </w:p>
    <w:p w14:paraId="420AE191" w14:textId="77777777" w:rsidR="009A6509" w:rsidRPr="009B1D9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415EE424" w:rsidR="009A6509" w:rsidRPr="009B1D9C" w:rsidRDefault="00514F6C" w:rsidP="009A6509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Neuplatňujú sa.</w:t>
      </w:r>
    </w:p>
    <w:p w14:paraId="0B324978" w14:textId="77777777" w:rsidR="009A6509" w:rsidRPr="009B1D9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9B1D9C" w:rsidRDefault="00514F6C" w:rsidP="00B13B6D">
      <w:pPr>
        <w:pStyle w:val="Style1"/>
      </w:pPr>
      <w:r w:rsidRPr="009B1D9C">
        <w:t>3.12</w:t>
      </w:r>
      <w:r w:rsidRPr="009B1D9C">
        <w:tab/>
        <w:t>Ochranné lehoty</w:t>
      </w:r>
    </w:p>
    <w:p w14:paraId="67276A56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250D2535" w:rsidR="00C114FF" w:rsidRPr="009B1D9C" w:rsidRDefault="00514F6C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Netýka sa.</w:t>
      </w:r>
    </w:p>
    <w:p w14:paraId="5148C55D" w14:textId="77777777" w:rsidR="00FC02F3" w:rsidRPr="009B1D9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21A7C81C" w:rsidR="00C114FF" w:rsidRPr="009B1D9C" w:rsidRDefault="00514F6C" w:rsidP="00B13B6D">
      <w:pPr>
        <w:pStyle w:val="Style1"/>
      </w:pPr>
      <w:r w:rsidRPr="009B1D9C">
        <w:t>4.</w:t>
      </w:r>
      <w:r w:rsidRPr="009B1D9C">
        <w:tab/>
        <w:t>FARMAKOLOGICKÉ ÚDAJE</w:t>
      </w:r>
    </w:p>
    <w:p w14:paraId="756610FE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9B1D9C" w:rsidRDefault="00514F6C" w:rsidP="00B13B6D">
      <w:pPr>
        <w:pStyle w:val="Style1"/>
      </w:pPr>
      <w:r w:rsidRPr="009B1D9C">
        <w:t>4.1</w:t>
      </w:r>
      <w:r w:rsidRPr="009B1D9C">
        <w:tab/>
      </w:r>
      <w:proofErr w:type="spellStart"/>
      <w:r w:rsidRPr="009B1D9C">
        <w:t>ATCvet</w:t>
      </w:r>
      <w:proofErr w:type="spellEnd"/>
      <w:r w:rsidRPr="009B1D9C">
        <w:t xml:space="preserve"> kód:</w:t>
      </w:r>
    </w:p>
    <w:p w14:paraId="21D93E9E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A0F96" w14:textId="0DC4C709" w:rsidR="000E441D" w:rsidRPr="009B1D9C" w:rsidRDefault="000E441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9B1D9C">
        <w:rPr>
          <w:szCs w:val="22"/>
          <w:lang w:val="cs-CZ"/>
        </w:rPr>
        <w:t>QP54AB51</w:t>
      </w:r>
    </w:p>
    <w:p w14:paraId="2BBE6FCF" w14:textId="77777777" w:rsidR="000E441D" w:rsidRPr="009B1D9C" w:rsidRDefault="000E44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E797C57" w:rsidR="00C114FF" w:rsidRPr="009B1D9C" w:rsidRDefault="00514F6C" w:rsidP="00B13B6D">
      <w:pPr>
        <w:pStyle w:val="Style1"/>
      </w:pPr>
      <w:r w:rsidRPr="009B1D9C">
        <w:t>4.2</w:t>
      </w:r>
      <w:r w:rsidRPr="009B1D9C">
        <w:tab/>
      </w:r>
      <w:proofErr w:type="spellStart"/>
      <w:r w:rsidRPr="009B1D9C">
        <w:t>Farmakodynami</w:t>
      </w:r>
      <w:r w:rsidR="007909DD" w:rsidRPr="009B1D9C">
        <w:t>ka</w:t>
      </w:r>
      <w:proofErr w:type="spellEnd"/>
    </w:p>
    <w:p w14:paraId="6B4BE23F" w14:textId="77777777" w:rsidR="00D42B54" w:rsidRPr="009B1D9C" w:rsidRDefault="00D42B54" w:rsidP="00B13B6D">
      <w:pPr>
        <w:pStyle w:val="Style1"/>
      </w:pPr>
    </w:p>
    <w:p w14:paraId="362D1C79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Milbemycínoxim</w:t>
      </w:r>
      <w:proofErr w:type="spellEnd"/>
      <w:r w:rsidRPr="009B1D9C">
        <w:rPr>
          <w:szCs w:val="22"/>
        </w:rPr>
        <w:t xml:space="preserve"> patrí do skupiny </w:t>
      </w:r>
      <w:proofErr w:type="spellStart"/>
      <w:r w:rsidRPr="009B1D9C">
        <w:rPr>
          <w:szCs w:val="22"/>
        </w:rPr>
        <w:t>makrocyklických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laktónov</w:t>
      </w:r>
      <w:proofErr w:type="spellEnd"/>
      <w:r w:rsidRPr="009B1D9C">
        <w:rPr>
          <w:szCs w:val="22"/>
        </w:rPr>
        <w:t xml:space="preserve">, izolovaných z fermentácie </w:t>
      </w:r>
      <w:proofErr w:type="spellStart"/>
      <w:r w:rsidRPr="009B1D9C">
        <w:rPr>
          <w:i/>
          <w:iCs/>
          <w:szCs w:val="22"/>
        </w:rPr>
        <w:t>Streptomyces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hygroscopicus</w:t>
      </w:r>
      <w:proofErr w:type="spellEnd"/>
      <w:r w:rsidRPr="009B1D9C">
        <w:rPr>
          <w:szCs w:val="22"/>
        </w:rPr>
        <w:t xml:space="preserve"> var. </w:t>
      </w:r>
      <w:proofErr w:type="spellStart"/>
      <w:r w:rsidRPr="009B1D9C">
        <w:rPr>
          <w:i/>
          <w:iCs/>
          <w:szCs w:val="22"/>
        </w:rPr>
        <w:t>aureolacrimosus</w:t>
      </w:r>
      <w:proofErr w:type="spellEnd"/>
      <w:r w:rsidRPr="009B1D9C">
        <w:rPr>
          <w:szCs w:val="22"/>
        </w:rPr>
        <w:t xml:space="preserve">. Je účinný proti larválnym štádiám a dospelým hlístam a tiež proti larvám </w:t>
      </w:r>
      <w:proofErr w:type="spellStart"/>
      <w:r w:rsidRPr="009B1D9C">
        <w:rPr>
          <w:i/>
          <w:iCs/>
          <w:szCs w:val="22"/>
        </w:rPr>
        <w:t>Dirofilaria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immitis</w:t>
      </w:r>
      <w:proofErr w:type="spellEnd"/>
      <w:r w:rsidRPr="009B1D9C">
        <w:rPr>
          <w:szCs w:val="22"/>
        </w:rPr>
        <w:t xml:space="preserve">. </w:t>
      </w:r>
    </w:p>
    <w:p w14:paraId="7BAA2F83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Účinok </w:t>
      </w:r>
      <w:proofErr w:type="spellStart"/>
      <w:r w:rsidRPr="009B1D9C">
        <w:rPr>
          <w:szCs w:val="22"/>
        </w:rPr>
        <w:t>milbemycínu</w:t>
      </w:r>
      <w:proofErr w:type="spellEnd"/>
      <w:r w:rsidRPr="009B1D9C">
        <w:rPr>
          <w:szCs w:val="22"/>
        </w:rPr>
        <w:t xml:space="preserve"> je spojený s jeho pôsobením na </w:t>
      </w:r>
      <w:proofErr w:type="spellStart"/>
      <w:r w:rsidRPr="009B1D9C">
        <w:rPr>
          <w:szCs w:val="22"/>
        </w:rPr>
        <w:t>neurotransmisiu</w:t>
      </w:r>
      <w:proofErr w:type="spellEnd"/>
      <w:r w:rsidRPr="009B1D9C">
        <w:rPr>
          <w:szCs w:val="22"/>
        </w:rPr>
        <w:t xml:space="preserve"> u bezstavovcov: </w:t>
      </w:r>
      <w:proofErr w:type="spellStart"/>
      <w:r w:rsidRPr="009B1D9C">
        <w:rPr>
          <w:szCs w:val="22"/>
        </w:rPr>
        <w:t>Milbemycínoxim</w:t>
      </w:r>
      <w:proofErr w:type="spellEnd"/>
      <w:r w:rsidRPr="009B1D9C">
        <w:rPr>
          <w:szCs w:val="22"/>
        </w:rPr>
        <w:t xml:space="preserve">, podobne ako </w:t>
      </w:r>
      <w:proofErr w:type="spellStart"/>
      <w:r w:rsidRPr="009B1D9C">
        <w:rPr>
          <w:szCs w:val="22"/>
        </w:rPr>
        <w:t>avermektíny</w:t>
      </w:r>
      <w:proofErr w:type="spellEnd"/>
      <w:r w:rsidRPr="009B1D9C">
        <w:rPr>
          <w:szCs w:val="22"/>
        </w:rPr>
        <w:t xml:space="preserve"> a iné </w:t>
      </w:r>
      <w:proofErr w:type="spellStart"/>
      <w:r w:rsidRPr="009B1D9C">
        <w:rPr>
          <w:szCs w:val="22"/>
        </w:rPr>
        <w:t>milbemycíny</w:t>
      </w:r>
      <w:proofErr w:type="spellEnd"/>
      <w:r w:rsidRPr="009B1D9C">
        <w:rPr>
          <w:szCs w:val="22"/>
        </w:rPr>
        <w:t xml:space="preserve"> zvyšuje </w:t>
      </w:r>
      <w:proofErr w:type="spellStart"/>
      <w:r w:rsidRPr="009B1D9C">
        <w:rPr>
          <w:szCs w:val="22"/>
        </w:rPr>
        <w:t>permeabilitu</w:t>
      </w:r>
      <w:proofErr w:type="spellEnd"/>
      <w:r w:rsidRPr="009B1D9C">
        <w:rPr>
          <w:szCs w:val="22"/>
        </w:rPr>
        <w:t xml:space="preserve"> membrán </w:t>
      </w:r>
      <w:proofErr w:type="spellStart"/>
      <w:r w:rsidRPr="009B1D9C">
        <w:rPr>
          <w:szCs w:val="22"/>
        </w:rPr>
        <w:t>hlístov</w:t>
      </w:r>
      <w:proofErr w:type="spellEnd"/>
      <w:r w:rsidRPr="009B1D9C">
        <w:rPr>
          <w:szCs w:val="22"/>
        </w:rPr>
        <w:t xml:space="preserve"> a hmyzu pre </w:t>
      </w:r>
      <w:proofErr w:type="spellStart"/>
      <w:r w:rsidRPr="009B1D9C">
        <w:rPr>
          <w:szCs w:val="22"/>
        </w:rPr>
        <w:t>chloridové</w:t>
      </w:r>
      <w:proofErr w:type="spellEnd"/>
      <w:r w:rsidRPr="009B1D9C">
        <w:rPr>
          <w:szCs w:val="22"/>
        </w:rPr>
        <w:t xml:space="preserve"> ióny cez </w:t>
      </w:r>
      <w:proofErr w:type="spellStart"/>
      <w:r w:rsidRPr="009B1D9C">
        <w:rPr>
          <w:szCs w:val="22"/>
        </w:rPr>
        <w:t>glutamátom</w:t>
      </w:r>
      <w:proofErr w:type="spellEnd"/>
      <w:r w:rsidRPr="009B1D9C">
        <w:rPr>
          <w:szCs w:val="22"/>
        </w:rPr>
        <w:t xml:space="preserve"> riadené </w:t>
      </w:r>
      <w:proofErr w:type="spellStart"/>
      <w:r w:rsidRPr="009B1D9C">
        <w:rPr>
          <w:szCs w:val="22"/>
        </w:rPr>
        <w:t>chloridové</w:t>
      </w:r>
      <w:proofErr w:type="spellEnd"/>
      <w:r w:rsidRPr="009B1D9C">
        <w:rPr>
          <w:szCs w:val="22"/>
        </w:rPr>
        <w:t xml:space="preserve"> kanály (príbuzných GABAA a </w:t>
      </w:r>
      <w:proofErr w:type="spellStart"/>
      <w:r w:rsidRPr="009B1D9C">
        <w:rPr>
          <w:szCs w:val="22"/>
        </w:rPr>
        <w:t>glycínovým</w:t>
      </w:r>
      <w:proofErr w:type="spellEnd"/>
      <w:r w:rsidRPr="009B1D9C">
        <w:rPr>
          <w:szCs w:val="22"/>
        </w:rPr>
        <w:t xml:space="preserve"> receptorom u stavovcov). To vedie k </w:t>
      </w:r>
      <w:proofErr w:type="spellStart"/>
      <w:r w:rsidRPr="009B1D9C">
        <w:rPr>
          <w:szCs w:val="22"/>
        </w:rPr>
        <w:t>hyperpolarizácii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neuromuskulárnej</w:t>
      </w:r>
      <w:proofErr w:type="spellEnd"/>
      <w:r w:rsidRPr="009B1D9C">
        <w:rPr>
          <w:szCs w:val="22"/>
        </w:rPr>
        <w:t xml:space="preserve"> membrány, slabej paralýze a smrti parazita. </w:t>
      </w:r>
    </w:p>
    <w:p w14:paraId="4AEDA176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Prazikvantel</w:t>
      </w:r>
      <w:proofErr w:type="spellEnd"/>
      <w:r w:rsidRPr="009B1D9C">
        <w:rPr>
          <w:szCs w:val="22"/>
        </w:rPr>
        <w:t xml:space="preserve"> je </w:t>
      </w:r>
      <w:proofErr w:type="spellStart"/>
      <w:r w:rsidRPr="009B1D9C">
        <w:rPr>
          <w:szCs w:val="22"/>
        </w:rPr>
        <w:t>acylovaný</w:t>
      </w:r>
      <w:proofErr w:type="spellEnd"/>
      <w:r w:rsidRPr="009B1D9C">
        <w:rPr>
          <w:szCs w:val="22"/>
        </w:rPr>
        <w:t xml:space="preserve"> derivát </w:t>
      </w:r>
      <w:proofErr w:type="spellStart"/>
      <w:r w:rsidRPr="009B1D9C">
        <w:rPr>
          <w:szCs w:val="22"/>
        </w:rPr>
        <w:t>pyrazino-isoquinolínu</w:t>
      </w:r>
      <w:proofErr w:type="spellEnd"/>
      <w:r w:rsidRPr="009B1D9C">
        <w:rPr>
          <w:szCs w:val="22"/>
        </w:rPr>
        <w:t xml:space="preserve">. </w:t>
      </w:r>
      <w:proofErr w:type="spellStart"/>
      <w:r w:rsidRPr="009B1D9C">
        <w:rPr>
          <w:szCs w:val="22"/>
        </w:rPr>
        <w:t>Prazikvantel</w:t>
      </w:r>
      <w:proofErr w:type="spellEnd"/>
      <w:r w:rsidRPr="009B1D9C">
        <w:rPr>
          <w:szCs w:val="22"/>
        </w:rPr>
        <w:t xml:space="preserve"> je účinný proti pásomniciam. Modifikuje priepustnosť membrán parazitov pre vápnik (vtok Ca2+), navodzuje nerovnováhu membránových štruktúr, čo vedie k depolarizácii membrán a k takmer okamžitej kontrakcii svalov (kŕče), k rýchlej </w:t>
      </w:r>
      <w:proofErr w:type="spellStart"/>
      <w:r w:rsidRPr="009B1D9C">
        <w:rPr>
          <w:szCs w:val="22"/>
        </w:rPr>
        <w:t>vakuolizácii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syncytiálneho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tegumentu</w:t>
      </w:r>
      <w:proofErr w:type="spellEnd"/>
      <w:r w:rsidRPr="009B1D9C">
        <w:rPr>
          <w:szCs w:val="22"/>
        </w:rPr>
        <w:t xml:space="preserve"> a ďalej k dezintegrácii povrchu parazita (pľuzgieriky), čo končí ľahkým vypudením parazita z tráviaceho traktu alebo jeho úhynom.</w:t>
      </w:r>
    </w:p>
    <w:p w14:paraId="195802DD" w14:textId="77777777" w:rsidR="00DD695D" w:rsidRDefault="00DD695D" w:rsidP="00DD695D">
      <w:pPr>
        <w:tabs>
          <w:tab w:val="clear" w:pos="567"/>
        </w:tabs>
        <w:spacing w:line="240" w:lineRule="auto"/>
        <w:rPr>
          <w:szCs w:val="22"/>
        </w:rPr>
      </w:pPr>
    </w:p>
    <w:p w14:paraId="76899A85" w14:textId="77777777" w:rsidR="009B1D9C" w:rsidRDefault="009B1D9C" w:rsidP="00DD695D">
      <w:pPr>
        <w:tabs>
          <w:tab w:val="clear" w:pos="567"/>
        </w:tabs>
        <w:spacing w:line="240" w:lineRule="auto"/>
        <w:rPr>
          <w:szCs w:val="22"/>
        </w:rPr>
      </w:pPr>
    </w:p>
    <w:p w14:paraId="17F9CA58" w14:textId="77777777" w:rsidR="009B1D9C" w:rsidRDefault="009B1D9C" w:rsidP="00DD695D">
      <w:pPr>
        <w:tabs>
          <w:tab w:val="clear" w:pos="567"/>
        </w:tabs>
        <w:spacing w:line="240" w:lineRule="auto"/>
        <w:rPr>
          <w:szCs w:val="22"/>
        </w:rPr>
      </w:pPr>
    </w:p>
    <w:p w14:paraId="64D44657" w14:textId="77777777" w:rsidR="009B1D9C" w:rsidRPr="009B1D9C" w:rsidRDefault="009B1D9C" w:rsidP="00DD695D">
      <w:pPr>
        <w:tabs>
          <w:tab w:val="clear" w:pos="567"/>
        </w:tabs>
        <w:spacing w:line="240" w:lineRule="auto"/>
        <w:rPr>
          <w:szCs w:val="22"/>
        </w:rPr>
      </w:pPr>
    </w:p>
    <w:p w14:paraId="60728757" w14:textId="77777777" w:rsidR="00DD695D" w:rsidRPr="009B1D9C" w:rsidRDefault="00DD695D" w:rsidP="00DD695D">
      <w:pPr>
        <w:pStyle w:val="Style1"/>
      </w:pPr>
      <w:r w:rsidRPr="009B1D9C">
        <w:lastRenderedPageBreak/>
        <w:t>4.3</w:t>
      </w:r>
      <w:r w:rsidRPr="009B1D9C">
        <w:tab/>
      </w:r>
      <w:proofErr w:type="spellStart"/>
      <w:r w:rsidRPr="009B1D9C">
        <w:t>Farmakokinetika</w:t>
      </w:r>
      <w:proofErr w:type="spellEnd"/>
    </w:p>
    <w:p w14:paraId="24BEF125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</w:p>
    <w:p w14:paraId="4C35D86E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Po perorálnom podaní </w:t>
      </w:r>
      <w:proofErr w:type="spellStart"/>
      <w:r w:rsidRPr="009B1D9C">
        <w:rPr>
          <w:szCs w:val="22"/>
        </w:rPr>
        <w:t>prazikvantelu</w:t>
      </w:r>
      <w:proofErr w:type="spellEnd"/>
      <w:r w:rsidRPr="009B1D9C">
        <w:rPr>
          <w:szCs w:val="22"/>
        </w:rPr>
        <w:t xml:space="preserve"> je u mačiek dosiahnutá maximálna koncentrácia látky v plazme, ktorá je 1 225 µg/l, v priebehu 2 hodín. Polčas eliminácie je približne 4 hodiny. Po perorálnom podaní </w:t>
      </w:r>
      <w:proofErr w:type="spellStart"/>
      <w:r w:rsidRPr="009B1D9C">
        <w:rPr>
          <w:szCs w:val="22"/>
        </w:rPr>
        <w:t>milbemycínoxímu</w:t>
      </w:r>
      <w:proofErr w:type="spellEnd"/>
      <w:r w:rsidRPr="009B1D9C">
        <w:rPr>
          <w:szCs w:val="22"/>
        </w:rPr>
        <w:t xml:space="preserve"> je u mačiek dosiahnutá maximálna koncentrácia látky v plazme, ktorá je 1 696 µg/l, počas 3 hodín. Polčas eliminácie je približne 78 hodín. Navyše popri relatívne vysokých koncentráciách v pečeni je určitá koncentrácia v tuku, ktorá odráža jeho </w:t>
      </w:r>
      <w:proofErr w:type="spellStart"/>
      <w:r w:rsidRPr="009B1D9C">
        <w:rPr>
          <w:szCs w:val="22"/>
        </w:rPr>
        <w:t>lipofilitu</w:t>
      </w:r>
      <w:proofErr w:type="spellEnd"/>
      <w:r w:rsidRPr="009B1D9C">
        <w:rPr>
          <w:szCs w:val="22"/>
        </w:rPr>
        <w:t>.</w:t>
      </w:r>
    </w:p>
    <w:p w14:paraId="48BCD272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9B1D9C" w:rsidRDefault="00514F6C" w:rsidP="00B13B6D">
      <w:pPr>
        <w:pStyle w:val="Style1"/>
      </w:pPr>
      <w:r w:rsidRPr="009B1D9C">
        <w:t>5.</w:t>
      </w:r>
      <w:r w:rsidRPr="009B1D9C">
        <w:tab/>
        <w:t>FARMACEUTICKÉ INFORMÁCIE</w:t>
      </w:r>
    </w:p>
    <w:p w14:paraId="11A4B94B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9B1D9C" w:rsidRDefault="00514F6C" w:rsidP="00B13B6D">
      <w:pPr>
        <w:pStyle w:val="Style1"/>
      </w:pPr>
      <w:r w:rsidRPr="009B1D9C">
        <w:t>5.1</w:t>
      </w:r>
      <w:r w:rsidRPr="009B1D9C">
        <w:tab/>
        <w:t>Závažné inkompatibility</w:t>
      </w:r>
    </w:p>
    <w:p w14:paraId="0158F9DF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79497E54" w:rsidR="00C114FF" w:rsidRPr="009B1D9C" w:rsidRDefault="00514F6C" w:rsidP="00953E4C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Neuplatňujú sa.</w:t>
      </w:r>
    </w:p>
    <w:p w14:paraId="47B88C1A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9B1D9C" w:rsidRDefault="00514F6C" w:rsidP="00B13B6D">
      <w:pPr>
        <w:pStyle w:val="Style1"/>
      </w:pPr>
      <w:r w:rsidRPr="009B1D9C">
        <w:t>5.2</w:t>
      </w:r>
      <w:r w:rsidRPr="009B1D9C">
        <w:tab/>
        <w:t>Čas použiteľnosti</w:t>
      </w:r>
    </w:p>
    <w:p w14:paraId="70EB6420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7EDD8C7C" w:rsidR="00C114FF" w:rsidRPr="009B1D9C" w:rsidRDefault="00514F6C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Čas použiteľnosti veterinárneho lieku zabaleného v neporušenom obale:</w:t>
      </w:r>
      <w:r w:rsidR="00A81196" w:rsidRPr="009B1D9C">
        <w:rPr>
          <w:szCs w:val="22"/>
        </w:rPr>
        <w:t xml:space="preserve"> 3 roky</w:t>
      </w:r>
    </w:p>
    <w:p w14:paraId="360934BB" w14:textId="230012C6" w:rsidR="00C114FF" w:rsidRPr="009B1D9C" w:rsidRDefault="003A3F39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Čas použiteľnosti po prvom otvorení vnútorného obalu: 6 mesiacov</w:t>
      </w:r>
    </w:p>
    <w:p w14:paraId="147D5489" w14:textId="77777777" w:rsidR="003A3F39" w:rsidRPr="009B1D9C" w:rsidRDefault="003A3F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9B1D9C" w:rsidRDefault="00514F6C" w:rsidP="00B13B6D">
      <w:pPr>
        <w:pStyle w:val="Style1"/>
      </w:pPr>
      <w:r w:rsidRPr="009B1D9C">
        <w:t>5.3</w:t>
      </w:r>
      <w:r w:rsidRPr="009B1D9C">
        <w:tab/>
        <w:t>Osobitné upozornenia na uchovávanie</w:t>
      </w:r>
    </w:p>
    <w:p w14:paraId="0B1DBE3F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17D52D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bookmarkStart w:id="1" w:name="_Hlk141353371"/>
      <w:r w:rsidRPr="009B1D9C">
        <w:rPr>
          <w:szCs w:val="22"/>
        </w:rPr>
        <w:t xml:space="preserve">Nepoužité časti tabliet vrátiť do otvoreného otvoru v </w:t>
      </w:r>
      <w:proofErr w:type="spellStart"/>
      <w:r w:rsidRPr="009B1D9C">
        <w:rPr>
          <w:szCs w:val="22"/>
        </w:rPr>
        <w:t>blistri</w:t>
      </w:r>
      <w:proofErr w:type="spellEnd"/>
      <w:r w:rsidRPr="009B1D9C">
        <w:rPr>
          <w:szCs w:val="22"/>
        </w:rPr>
        <w:t>, vložiť späť do škatuľky a použiť pri ďalšom podaní alebo bezpečne zlikvidovať (pozri časť 5.5).</w:t>
      </w:r>
    </w:p>
    <w:p w14:paraId="6C59F6F0" w14:textId="77777777" w:rsidR="00DD695D" w:rsidRPr="009B1D9C" w:rsidRDefault="00DD695D" w:rsidP="00DD695D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Chrániť pred svetlom.</w:t>
      </w:r>
      <w:bookmarkEnd w:id="1"/>
    </w:p>
    <w:p w14:paraId="1F209089" w14:textId="77777777" w:rsidR="00A81196" w:rsidRPr="009B1D9C" w:rsidRDefault="00A8119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9B1D9C" w:rsidRDefault="00514F6C" w:rsidP="00B13B6D">
      <w:pPr>
        <w:pStyle w:val="Style1"/>
      </w:pPr>
      <w:r w:rsidRPr="009B1D9C">
        <w:t>5.4</w:t>
      </w:r>
      <w:r w:rsidRPr="009B1D9C">
        <w:tab/>
        <w:t>Charakter a zloženie vnútorného obalu</w:t>
      </w:r>
    </w:p>
    <w:p w14:paraId="1238D57B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52959F" w14:textId="1DF06239" w:rsidR="00A81196" w:rsidRPr="009B1D9C" w:rsidRDefault="00F256E2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Polyamid-</w:t>
      </w:r>
      <w:r w:rsidR="00DD695D" w:rsidRPr="009B1D9C">
        <w:rPr>
          <w:szCs w:val="22"/>
        </w:rPr>
        <w:t>h</w:t>
      </w:r>
      <w:r w:rsidRPr="009B1D9C">
        <w:rPr>
          <w:szCs w:val="22"/>
        </w:rPr>
        <w:t>liník-</w:t>
      </w:r>
      <w:r w:rsidR="00DD695D" w:rsidRPr="009B1D9C">
        <w:rPr>
          <w:szCs w:val="22"/>
        </w:rPr>
        <w:t>p</w:t>
      </w:r>
      <w:r w:rsidRPr="009B1D9C">
        <w:rPr>
          <w:szCs w:val="22"/>
        </w:rPr>
        <w:t>olyvinyl</w:t>
      </w:r>
      <w:proofErr w:type="spellEnd"/>
      <w:r w:rsidRPr="009B1D9C">
        <w:rPr>
          <w:szCs w:val="22"/>
        </w:rPr>
        <w:t xml:space="preserve"> chlorid/hliník teplom zatavené </w:t>
      </w:r>
      <w:proofErr w:type="spellStart"/>
      <w:r w:rsidRPr="009B1D9C">
        <w:rPr>
          <w:szCs w:val="22"/>
        </w:rPr>
        <w:t>blistre</w:t>
      </w:r>
      <w:proofErr w:type="spellEnd"/>
      <w:r w:rsidRPr="009B1D9C">
        <w:rPr>
          <w:szCs w:val="22"/>
        </w:rPr>
        <w:t>.</w:t>
      </w:r>
    </w:p>
    <w:p w14:paraId="44C0134E" w14:textId="77777777" w:rsidR="00F256E2" w:rsidRPr="009B1D9C" w:rsidRDefault="00F256E2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BE1FA80" w14:textId="1EB86AF5" w:rsidR="00A81196" w:rsidRPr="009B1D9C" w:rsidRDefault="00A81196" w:rsidP="00A8119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 w:rsidRPr="009B1D9C">
        <w:rPr>
          <w:szCs w:val="22"/>
          <w:lang w:val="cs"/>
        </w:rPr>
        <w:t>Škatuľ</w:t>
      </w:r>
      <w:r w:rsidR="00E34B0C" w:rsidRPr="009B1D9C">
        <w:rPr>
          <w:szCs w:val="22"/>
          <w:lang w:val="cs"/>
        </w:rPr>
        <w:t>k</w:t>
      </w:r>
      <w:r w:rsidRPr="009B1D9C">
        <w:rPr>
          <w:szCs w:val="22"/>
          <w:lang w:val="cs"/>
        </w:rPr>
        <w:t>a</w:t>
      </w:r>
      <w:proofErr w:type="spellEnd"/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obsahujúca</w:t>
      </w:r>
      <w:proofErr w:type="spellEnd"/>
      <w:r w:rsidRPr="009B1D9C">
        <w:rPr>
          <w:szCs w:val="22"/>
          <w:lang w:val="cs"/>
        </w:rPr>
        <w:t xml:space="preserve"> 1 </w:t>
      </w:r>
      <w:proofErr w:type="spellStart"/>
      <w:r w:rsidRPr="009B1D9C">
        <w:rPr>
          <w:szCs w:val="22"/>
          <w:lang w:val="cs"/>
        </w:rPr>
        <w:t>blister</w:t>
      </w:r>
      <w:proofErr w:type="spellEnd"/>
      <w:r w:rsidRPr="009B1D9C">
        <w:rPr>
          <w:szCs w:val="22"/>
          <w:lang w:val="cs"/>
        </w:rPr>
        <w:t xml:space="preserve"> po 2 tablety (2 tablety).</w:t>
      </w:r>
    </w:p>
    <w:p w14:paraId="412E0BE3" w14:textId="23EC0595" w:rsidR="00A81196" w:rsidRPr="009B1D9C" w:rsidRDefault="00A81196" w:rsidP="00A8119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 w:rsidRPr="009B1D9C">
        <w:rPr>
          <w:szCs w:val="22"/>
          <w:lang w:val="cs"/>
        </w:rPr>
        <w:t>Škatuľ</w:t>
      </w:r>
      <w:r w:rsidR="00E34B0C" w:rsidRPr="009B1D9C">
        <w:rPr>
          <w:szCs w:val="22"/>
          <w:lang w:val="cs"/>
        </w:rPr>
        <w:t>k</w:t>
      </w:r>
      <w:r w:rsidRPr="009B1D9C">
        <w:rPr>
          <w:szCs w:val="22"/>
          <w:lang w:val="cs"/>
        </w:rPr>
        <w:t>a</w:t>
      </w:r>
      <w:proofErr w:type="spellEnd"/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obsahujúca</w:t>
      </w:r>
      <w:proofErr w:type="spellEnd"/>
      <w:r w:rsidRPr="009B1D9C">
        <w:rPr>
          <w:szCs w:val="22"/>
          <w:lang w:val="cs"/>
        </w:rPr>
        <w:t xml:space="preserve"> 2 blistre po 2 tablety (4 tablety).</w:t>
      </w:r>
    </w:p>
    <w:p w14:paraId="7E5E789E" w14:textId="309EF108" w:rsidR="00A81196" w:rsidRPr="009B1D9C" w:rsidRDefault="00A81196" w:rsidP="00A8119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 w:rsidRPr="009B1D9C">
        <w:rPr>
          <w:szCs w:val="22"/>
          <w:lang w:val="cs"/>
        </w:rPr>
        <w:t>Škatuľ</w:t>
      </w:r>
      <w:r w:rsidR="00E34B0C" w:rsidRPr="009B1D9C">
        <w:rPr>
          <w:szCs w:val="22"/>
          <w:lang w:val="cs"/>
        </w:rPr>
        <w:t>k</w:t>
      </w:r>
      <w:r w:rsidRPr="009B1D9C">
        <w:rPr>
          <w:szCs w:val="22"/>
          <w:lang w:val="cs"/>
        </w:rPr>
        <w:t>a</w:t>
      </w:r>
      <w:proofErr w:type="spellEnd"/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obsahujúca</w:t>
      </w:r>
      <w:proofErr w:type="spellEnd"/>
      <w:r w:rsidRPr="009B1D9C">
        <w:rPr>
          <w:szCs w:val="22"/>
          <w:lang w:val="cs"/>
        </w:rPr>
        <w:t xml:space="preserve"> </w:t>
      </w:r>
      <w:r w:rsidR="00A13F01" w:rsidRPr="009B1D9C">
        <w:rPr>
          <w:szCs w:val="22"/>
          <w:lang w:val="cs"/>
        </w:rPr>
        <w:t>5</w:t>
      </w:r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blistr</w:t>
      </w:r>
      <w:r w:rsidR="00A13F01" w:rsidRPr="009B1D9C">
        <w:rPr>
          <w:szCs w:val="22"/>
          <w:lang w:val="cs"/>
        </w:rPr>
        <w:t>ov</w:t>
      </w:r>
      <w:proofErr w:type="spellEnd"/>
      <w:r w:rsidRPr="009B1D9C">
        <w:rPr>
          <w:szCs w:val="22"/>
          <w:lang w:val="cs"/>
        </w:rPr>
        <w:t xml:space="preserve"> po 2 tablety (</w:t>
      </w:r>
      <w:r w:rsidR="00A13F01" w:rsidRPr="009B1D9C">
        <w:rPr>
          <w:szCs w:val="22"/>
          <w:lang w:val="cs"/>
        </w:rPr>
        <w:t>10</w:t>
      </w:r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tabl</w:t>
      </w:r>
      <w:r w:rsidR="00A13F01" w:rsidRPr="009B1D9C">
        <w:rPr>
          <w:szCs w:val="22"/>
          <w:lang w:val="cs"/>
        </w:rPr>
        <w:t>iet</w:t>
      </w:r>
      <w:proofErr w:type="spellEnd"/>
      <w:r w:rsidRPr="009B1D9C">
        <w:rPr>
          <w:szCs w:val="22"/>
          <w:lang w:val="cs"/>
        </w:rPr>
        <w:t>).</w:t>
      </w:r>
    </w:p>
    <w:p w14:paraId="094643CE" w14:textId="5C9199D2" w:rsidR="00A81196" w:rsidRPr="009B1D9C" w:rsidRDefault="00A81196" w:rsidP="00A8119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 w:rsidRPr="009B1D9C">
        <w:rPr>
          <w:szCs w:val="22"/>
          <w:lang w:val="cs"/>
        </w:rPr>
        <w:t>Škatuľ</w:t>
      </w:r>
      <w:r w:rsidR="00E34B0C" w:rsidRPr="009B1D9C">
        <w:rPr>
          <w:szCs w:val="22"/>
          <w:lang w:val="cs"/>
        </w:rPr>
        <w:t>k</w:t>
      </w:r>
      <w:r w:rsidRPr="009B1D9C">
        <w:rPr>
          <w:szCs w:val="22"/>
          <w:lang w:val="cs"/>
        </w:rPr>
        <w:t>a</w:t>
      </w:r>
      <w:proofErr w:type="spellEnd"/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obsahujúca</w:t>
      </w:r>
      <w:proofErr w:type="spellEnd"/>
      <w:r w:rsidRPr="009B1D9C">
        <w:rPr>
          <w:szCs w:val="22"/>
          <w:lang w:val="cs"/>
        </w:rPr>
        <w:t xml:space="preserve"> </w:t>
      </w:r>
      <w:r w:rsidR="00A13F01" w:rsidRPr="009B1D9C">
        <w:rPr>
          <w:szCs w:val="22"/>
          <w:lang w:val="cs"/>
        </w:rPr>
        <w:t>1</w:t>
      </w:r>
      <w:r w:rsidRPr="009B1D9C">
        <w:rPr>
          <w:szCs w:val="22"/>
          <w:lang w:val="cs"/>
        </w:rPr>
        <w:t xml:space="preserve">2 </w:t>
      </w:r>
      <w:proofErr w:type="spellStart"/>
      <w:r w:rsidRPr="009B1D9C">
        <w:rPr>
          <w:szCs w:val="22"/>
          <w:lang w:val="cs"/>
        </w:rPr>
        <w:t>blistr</w:t>
      </w:r>
      <w:r w:rsidR="00A13F01" w:rsidRPr="009B1D9C">
        <w:rPr>
          <w:szCs w:val="22"/>
          <w:lang w:val="cs"/>
        </w:rPr>
        <w:t>ov</w:t>
      </w:r>
      <w:proofErr w:type="spellEnd"/>
      <w:r w:rsidRPr="009B1D9C">
        <w:rPr>
          <w:szCs w:val="22"/>
          <w:lang w:val="cs"/>
        </w:rPr>
        <w:t xml:space="preserve"> po 2 tablety (</w:t>
      </w:r>
      <w:r w:rsidR="00A13F01" w:rsidRPr="009B1D9C">
        <w:rPr>
          <w:szCs w:val="22"/>
          <w:lang w:val="cs"/>
        </w:rPr>
        <w:t>2</w:t>
      </w:r>
      <w:r w:rsidRPr="009B1D9C">
        <w:rPr>
          <w:szCs w:val="22"/>
          <w:lang w:val="cs"/>
        </w:rPr>
        <w:t xml:space="preserve">4 </w:t>
      </w:r>
      <w:proofErr w:type="spellStart"/>
      <w:r w:rsidRPr="009B1D9C">
        <w:rPr>
          <w:szCs w:val="22"/>
          <w:lang w:val="cs"/>
        </w:rPr>
        <w:t>tabl</w:t>
      </w:r>
      <w:r w:rsidR="00A13F01" w:rsidRPr="009B1D9C">
        <w:rPr>
          <w:szCs w:val="22"/>
          <w:lang w:val="cs"/>
        </w:rPr>
        <w:t>iet</w:t>
      </w:r>
      <w:proofErr w:type="spellEnd"/>
      <w:r w:rsidRPr="009B1D9C">
        <w:rPr>
          <w:szCs w:val="22"/>
          <w:lang w:val="cs"/>
        </w:rPr>
        <w:t>).</w:t>
      </w:r>
    </w:p>
    <w:p w14:paraId="67A3F9CB" w14:textId="58C6E5EE" w:rsidR="00A81196" w:rsidRPr="009B1D9C" w:rsidRDefault="00A81196" w:rsidP="00A8119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 w:rsidRPr="009B1D9C">
        <w:rPr>
          <w:szCs w:val="22"/>
          <w:lang w:val="cs"/>
        </w:rPr>
        <w:t>Škatuľ</w:t>
      </w:r>
      <w:r w:rsidR="00E34B0C" w:rsidRPr="009B1D9C">
        <w:rPr>
          <w:szCs w:val="22"/>
          <w:lang w:val="cs"/>
        </w:rPr>
        <w:t>k</w:t>
      </w:r>
      <w:r w:rsidRPr="009B1D9C">
        <w:rPr>
          <w:szCs w:val="22"/>
          <w:lang w:val="cs"/>
        </w:rPr>
        <w:t>a</w:t>
      </w:r>
      <w:proofErr w:type="spellEnd"/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obsahujúca</w:t>
      </w:r>
      <w:proofErr w:type="spellEnd"/>
      <w:r w:rsidRPr="009B1D9C">
        <w:rPr>
          <w:szCs w:val="22"/>
          <w:lang w:val="cs"/>
        </w:rPr>
        <w:t xml:space="preserve"> 2</w:t>
      </w:r>
      <w:r w:rsidR="00A13F01" w:rsidRPr="009B1D9C">
        <w:rPr>
          <w:szCs w:val="22"/>
          <w:lang w:val="cs"/>
        </w:rPr>
        <w:t>4</w:t>
      </w:r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blistr</w:t>
      </w:r>
      <w:r w:rsidR="00A13F01" w:rsidRPr="009B1D9C">
        <w:rPr>
          <w:szCs w:val="22"/>
          <w:lang w:val="cs"/>
        </w:rPr>
        <w:t>ov</w:t>
      </w:r>
      <w:proofErr w:type="spellEnd"/>
      <w:r w:rsidRPr="009B1D9C">
        <w:rPr>
          <w:szCs w:val="22"/>
          <w:lang w:val="cs"/>
        </w:rPr>
        <w:t xml:space="preserve"> po 2 tablety (4</w:t>
      </w:r>
      <w:r w:rsidR="00A13F01" w:rsidRPr="009B1D9C">
        <w:rPr>
          <w:szCs w:val="22"/>
          <w:lang w:val="cs"/>
        </w:rPr>
        <w:t>8</w:t>
      </w:r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tabl</w:t>
      </w:r>
      <w:r w:rsidR="00A13F01" w:rsidRPr="009B1D9C">
        <w:rPr>
          <w:szCs w:val="22"/>
          <w:lang w:val="cs"/>
        </w:rPr>
        <w:t>iet</w:t>
      </w:r>
      <w:proofErr w:type="spellEnd"/>
      <w:r w:rsidRPr="009B1D9C">
        <w:rPr>
          <w:szCs w:val="22"/>
          <w:lang w:val="cs"/>
        </w:rPr>
        <w:t>).</w:t>
      </w:r>
    </w:p>
    <w:p w14:paraId="18B2D749" w14:textId="4447D1BC" w:rsidR="00A81196" w:rsidRPr="009B1D9C" w:rsidRDefault="00A81196" w:rsidP="00A8119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 w:rsidRPr="009B1D9C">
        <w:rPr>
          <w:szCs w:val="22"/>
          <w:lang w:val="cs"/>
        </w:rPr>
        <w:t>Škatuľ</w:t>
      </w:r>
      <w:r w:rsidR="00E34B0C" w:rsidRPr="009B1D9C">
        <w:rPr>
          <w:szCs w:val="22"/>
          <w:lang w:val="cs"/>
        </w:rPr>
        <w:t>k</w:t>
      </w:r>
      <w:r w:rsidRPr="009B1D9C">
        <w:rPr>
          <w:szCs w:val="22"/>
          <w:lang w:val="cs"/>
        </w:rPr>
        <w:t>a</w:t>
      </w:r>
      <w:proofErr w:type="spellEnd"/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obsahujúca</w:t>
      </w:r>
      <w:proofErr w:type="spellEnd"/>
      <w:r w:rsidRPr="009B1D9C">
        <w:rPr>
          <w:szCs w:val="22"/>
          <w:lang w:val="cs"/>
        </w:rPr>
        <w:t xml:space="preserve"> </w:t>
      </w:r>
      <w:r w:rsidR="00A13F01" w:rsidRPr="009B1D9C">
        <w:rPr>
          <w:szCs w:val="22"/>
          <w:lang w:val="cs"/>
        </w:rPr>
        <w:t>50</w:t>
      </w:r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blistr</w:t>
      </w:r>
      <w:r w:rsidR="00E34B0C" w:rsidRPr="009B1D9C">
        <w:rPr>
          <w:szCs w:val="22"/>
          <w:lang w:val="cs"/>
        </w:rPr>
        <w:t>ov</w:t>
      </w:r>
      <w:proofErr w:type="spellEnd"/>
      <w:r w:rsidRPr="009B1D9C">
        <w:rPr>
          <w:szCs w:val="22"/>
          <w:lang w:val="cs"/>
        </w:rPr>
        <w:t xml:space="preserve"> po 2 tablety (</w:t>
      </w:r>
      <w:r w:rsidR="00A13F01" w:rsidRPr="009B1D9C">
        <w:rPr>
          <w:szCs w:val="22"/>
          <w:lang w:val="cs"/>
        </w:rPr>
        <w:t>100</w:t>
      </w:r>
      <w:r w:rsidRPr="009B1D9C">
        <w:rPr>
          <w:szCs w:val="22"/>
          <w:lang w:val="cs"/>
        </w:rPr>
        <w:t xml:space="preserve"> </w:t>
      </w:r>
      <w:proofErr w:type="spellStart"/>
      <w:r w:rsidRPr="009B1D9C">
        <w:rPr>
          <w:szCs w:val="22"/>
          <w:lang w:val="cs"/>
        </w:rPr>
        <w:t>tabl</w:t>
      </w:r>
      <w:r w:rsidR="00A13F01" w:rsidRPr="009B1D9C">
        <w:rPr>
          <w:szCs w:val="22"/>
          <w:lang w:val="cs"/>
        </w:rPr>
        <w:t>iet</w:t>
      </w:r>
      <w:proofErr w:type="spellEnd"/>
      <w:r w:rsidRPr="009B1D9C">
        <w:rPr>
          <w:szCs w:val="22"/>
          <w:lang w:val="cs"/>
        </w:rPr>
        <w:t>).</w:t>
      </w:r>
    </w:p>
    <w:p w14:paraId="38BF3BD0" w14:textId="77777777" w:rsidR="00A81196" w:rsidRPr="009B1D9C" w:rsidRDefault="00A81196" w:rsidP="00A8119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96299B7" w14:textId="0F9DC3CF" w:rsidR="00C114FF" w:rsidRPr="009B1D9C" w:rsidRDefault="00514F6C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Na trh nemusia byť uvedené všetky veľkosti balenia.</w:t>
      </w:r>
    </w:p>
    <w:p w14:paraId="46AFC6A4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9B1D9C" w:rsidRDefault="00514F6C" w:rsidP="00B13B6D">
      <w:pPr>
        <w:pStyle w:val="Style1"/>
      </w:pPr>
      <w:r w:rsidRPr="009B1D9C">
        <w:t>5.5</w:t>
      </w:r>
      <w:r w:rsidRPr="009B1D9C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7E8B352A" w:rsidR="00FD1E45" w:rsidRPr="009B1D9C" w:rsidRDefault="00514F6C" w:rsidP="00FD1E45">
      <w:pPr>
        <w:rPr>
          <w:szCs w:val="22"/>
        </w:rPr>
      </w:pPr>
      <w:r w:rsidRPr="009B1D9C">
        <w:rPr>
          <w:szCs w:val="22"/>
        </w:rPr>
        <w:t>Lieky sa nesmú likvidovať prostredníctvom odpadovej vody ani odpadu v domácnostiach.</w:t>
      </w:r>
    </w:p>
    <w:p w14:paraId="48B62CBE" w14:textId="1DFFEDE3" w:rsidR="00C114FF" w:rsidRPr="009B1D9C" w:rsidRDefault="00514F6C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9B1D9C">
        <w:rPr>
          <w:szCs w:val="22"/>
        </w:rPr>
        <w:t>Veterinárny liek nesmie kontaminovať vodné toky, pretože  môže byť nebezpečný pre ryby a iné vodné organizmy.</w:t>
      </w:r>
    </w:p>
    <w:p w14:paraId="079606CB" w14:textId="24247E0A" w:rsidR="0078538F" w:rsidRPr="009B1D9C" w:rsidRDefault="00514F6C" w:rsidP="00FD1E45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Pri likvidácii nepoužitého veterinárneho lieku alebo </w:t>
      </w:r>
      <w:r w:rsidR="00BB3428" w:rsidRPr="009B1D9C">
        <w:rPr>
          <w:szCs w:val="22"/>
        </w:rPr>
        <w:t>jeho</w:t>
      </w:r>
      <w:r w:rsidRPr="009B1D9C">
        <w:rPr>
          <w:szCs w:val="22"/>
        </w:rPr>
        <w:t xml:space="preserve"> odpadového materiálu sa riaďte </w:t>
      </w:r>
      <w:r w:rsidR="0029154A" w:rsidRPr="009B1D9C">
        <w:rPr>
          <w:szCs w:val="22"/>
        </w:rPr>
        <w:t>systémom spätného odberu</w:t>
      </w:r>
      <w:r w:rsidRPr="009B1D9C">
        <w:rPr>
          <w:szCs w:val="22"/>
        </w:rPr>
        <w:t xml:space="preserve"> v súlade s miestnymi požiadavkami a národnými zbernými systémami platnými pre daný veterinárny liek.</w:t>
      </w:r>
    </w:p>
    <w:p w14:paraId="6C7D400D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9B1D9C" w:rsidRDefault="00514F6C" w:rsidP="00B13B6D">
      <w:pPr>
        <w:pStyle w:val="Style1"/>
      </w:pPr>
      <w:r w:rsidRPr="009B1D9C">
        <w:t>6.</w:t>
      </w:r>
      <w:r w:rsidRPr="009B1D9C">
        <w:tab/>
        <w:t xml:space="preserve">NÁZOV DRŽITEĽA ROZHODNUTIA O REGISTRÁCII </w:t>
      </w:r>
    </w:p>
    <w:p w14:paraId="0DD9A328" w14:textId="77777777" w:rsidR="00C114FF" w:rsidRPr="009B1D9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B260F1" w14:textId="23776B98" w:rsidR="00C114FF" w:rsidRPr="009B1D9C" w:rsidRDefault="00105AAB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CEVA ANIMAL HEALTH SLOVAKIA, s.r.o.</w:t>
      </w:r>
    </w:p>
    <w:p w14:paraId="133DD572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9B1D9C" w:rsidRDefault="00514F6C" w:rsidP="00B13B6D">
      <w:pPr>
        <w:pStyle w:val="Style1"/>
      </w:pPr>
      <w:r w:rsidRPr="009B1D9C">
        <w:t>7.</w:t>
      </w:r>
      <w:r w:rsidRPr="009B1D9C">
        <w:tab/>
        <w:t>REGISTRAČNÉ ČÍSLO(A)</w:t>
      </w:r>
    </w:p>
    <w:p w14:paraId="68546B47" w14:textId="77777777" w:rsidR="00D67567" w:rsidRPr="009B1D9C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8394ED" w14:textId="39B4062D" w:rsidR="00504BF7" w:rsidRPr="009B1D9C" w:rsidRDefault="00110DCB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96/020/DC/24-S</w:t>
      </w:r>
    </w:p>
    <w:p w14:paraId="09A483C0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9B1D9C" w:rsidRDefault="00514F6C" w:rsidP="00B13B6D">
      <w:pPr>
        <w:pStyle w:val="Style1"/>
      </w:pPr>
      <w:r w:rsidRPr="009B1D9C">
        <w:t>8.</w:t>
      </w:r>
      <w:r w:rsidRPr="009B1D9C">
        <w:tab/>
        <w:t>DÁTUM PRVEJ REGISTRÁCIE</w:t>
      </w:r>
    </w:p>
    <w:p w14:paraId="62B6CCFE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6BE2F7CC" w:rsidR="00C114FF" w:rsidRPr="009B1D9C" w:rsidRDefault="00514F6C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Dátum prvej registrácie:</w:t>
      </w:r>
      <w:r w:rsidR="00E964D0">
        <w:rPr>
          <w:szCs w:val="22"/>
        </w:rPr>
        <w:t xml:space="preserve"> 29.05.2024</w:t>
      </w:r>
      <w:bookmarkStart w:id="2" w:name="_GoBack"/>
      <w:bookmarkEnd w:id="2"/>
    </w:p>
    <w:p w14:paraId="372D1C25" w14:textId="77777777" w:rsidR="00D65777" w:rsidRPr="009B1D9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9B1D9C" w:rsidRDefault="00514F6C" w:rsidP="00B13B6D">
      <w:pPr>
        <w:pStyle w:val="Style1"/>
      </w:pPr>
      <w:r w:rsidRPr="009B1D9C">
        <w:t>9.</w:t>
      </w:r>
      <w:r w:rsidRPr="009B1D9C">
        <w:tab/>
        <w:t>DÁTUM  POSLEDNEJ REVÍZIE SÚHRNU CHARAKTERISTICKÝCH VLASTNOSTÍ LIEKU</w:t>
      </w:r>
    </w:p>
    <w:p w14:paraId="52B14FA7" w14:textId="77777777" w:rsidR="0078538F" w:rsidRPr="009B1D9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F52DEC" w14:textId="3E7D83D6" w:rsidR="00504BF7" w:rsidRPr="009B1D9C" w:rsidRDefault="00EE3CD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14:paraId="7749A4D0" w14:textId="77777777" w:rsidR="00B113B9" w:rsidRPr="009B1D9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9B1D9C" w:rsidRDefault="00514F6C" w:rsidP="00B13B6D">
      <w:pPr>
        <w:pStyle w:val="Style1"/>
      </w:pPr>
      <w:r w:rsidRPr="009B1D9C">
        <w:t>10.</w:t>
      </w:r>
      <w:r w:rsidRPr="009B1D9C">
        <w:tab/>
        <w:t>KLASIFIKÁCIA VETERINÁRNEHO LIEKU</w:t>
      </w:r>
    </w:p>
    <w:p w14:paraId="6A07E4C3" w14:textId="77777777" w:rsidR="0078538F" w:rsidRPr="009B1D9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54FA2CFF" w:rsidR="0078538F" w:rsidRPr="009B1D9C" w:rsidRDefault="00514F6C" w:rsidP="0078538F">
      <w:pPr>
        <w:numPr>
          <w:ilvl w:val="12"/>
          <w:numId w:val="0"/>
        </w:numPr>
        <w:rPr>
          <w:szCs w:val="22"/>
        </w:rPr>
      </w:pPr>
      <w:r w:rsidRPr="009B1D9C">
        <w:rPr>
          <w:szCs w:val="22"/>
        </w:rPr>
        <w:t>Výdaj lieku je viazaný na veterinárny predpis.</w:t>
      </w:r>
    </w:p>
    <w:p w14:paraId="6AC04AFD" w14:textId="77777777" w:rsidR="0078538F" w:rsidRPr="009B1D9C" w:rsidRDefault="0078538F" w:rsidP="0078538F">
      <w:pPr>
        <w:ind w:right="-318"/>
        <w:rPr>
          <w:szCs w:val="22"/>
        </w:rPr>
      </w:pPr>
    </w:p>
    <w:p w14:paraId="6E09B149" w14:textId="1693BCFB" w:rsidR="0078538F" w:rsidRPr="009B1D9C" w:rsidRDefault="00514F6C" w:rsidP="0078538F">
      <w:pPr>
        <w:ind w:right="-318"/>
        <w:rPr>
          <w:szCs w:val="22"/>
        </w:rPr>
      </w:pPr>
      <w:bookmarkStart w:id="3" w:name="_Hlk73467306"/>
      <w:r w:rsidRPr="009B1D9C">
        <w:rPr>
          <w:szCs w:val="22"/>
        </w:rPr>
        <w:t>Podrobné informácie o veterinárnom lieku sú dostupné v databáze liekov Únie</w:t>
      </w:r>
    </w:p>
    <w:bookmarkEnd w:id="3"/>
    <w:p w14:paraId="04E33482" w14:textId="4AFF42EB" w:rsidR="00C114FF" w:rsidRPr="009B1D9C" w:rsidRDefault="00514F6C" w:rsidP="00A9226B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(</w:t>
      </w:r>
      <w:hyperlink r:id="rId8" w:history="1">
        <w:r w:rsidR="00B60C92" w:rsidRPr="009B1D9C">
          <w:rPr>
            <w:rStyle w:val="Hypertextovprepojenie"/>
            <w:szCs w:val="22"/>
          </w:rPr>
          <w:t>https://medicines.health.europa.eu/veterinary</w:t>
        </w:r>
      </w:hyperlink>
      <w:r w:rsidRPr="009B1D9C">
        <w:rPr>
          <w:szCs w:val="22"/>
        </w:rPr>
        <w:t>).</w:t>
      </w:r>
    </w:p>
    <w:p w14:paraId="1B6223CA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832596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45B96B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E7141E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B78FE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DAE05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9D87F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236284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74EC0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4EBB3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30499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441DE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FA4C8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18344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95B639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C7F79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332BD6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5735A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C72FE4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522C3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9339A7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798F5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53BEF4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D16936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E1CE7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678D0E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9B2256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10553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610F4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52547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63D6F4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A3765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6BCE9F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274B1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3765A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0428C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05C541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D4B00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2E032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FA38B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AA0BE6" w:rsidRPr="009B1D9C" w14:paraId="04458C8B" w14:textId="77777777" w:rsidTr="00000021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2DCD695" w14:textId="77777777" w:rsidR="00AA0BE6" w:rsidRPr="009B1D9C" w:rsidRDefault="00AA0BE6" w:rsidP="0000002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B1D9C">
              <w:rPr>
                <w:b/>
                <w:szCs w:val="22"/>
              </w:rPr>
              <w:t>ÚDAJE, KTORÉ MAJÚ BYŤ UVEDENÉ NA VONKAJŠOM OBALE</w:t>
            </w:r>
          </w:p>
          <w:p w14:paraId="4EA32EAD" w14:textId="77777777" w:rsidR="00504BF7" w:rsidRPr="009B1D9C" w:rsidRDefault="00504BF7" w:rsidP="00000021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D20F436" w14:textId="0CFC85BC" w:rsidR="00AA0BE6" w:rsidRPr="009B1D9C" w:rsidRDefault="00504BF7" w:rsidP="0000002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B1D9C">
              <w:rPr>
                <w:b/>
                <w:szCs w:val="22"/>
              </w:rPr>
              <w:t>Škatuľka</w:t>
            </w:r>
          </w:p>
        </w:tc>
      </w:tr>
    </w:tbl>
    <w:p w14:paraId="7B2D6A90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185E0DC0" w14:textId="77777777" w:rsidR="00AA0BE6" w:rsidRPr="009B1D9C" w:rsidRDefault="00AA0BE6" w:rsidP="00AA0BE6">
      <w:pPr>
        <w:pStyle w:val="Style2"/>
      </w:pPr>
      <w:r w:rsidRPr="009B1D9C">
        <w:t>1.</w:t>
      </w:r>
      <w:r w:rsidRPr="009B1D9C">
        <w:tab/>
        <w:t>NÁZOV VETERINÁRNEHO LIEKU</w:t>
      </w:r>
    </w:p>
    <w:p w14:paraId="6B4246C1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68A1494E" w14:textId="03A63302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Milbeguard</w:t>
      </w:r>
      <w:proofErr w:type="spellEnd"/>
      <w:r w:rsidRPr="009B1D9C">
        <w:rPr>
          <w:szCs w:val="22"/>
        </w:rPr>
        <w:t xml:space="preserve"> Duo 16 mg/40 mg obalené tablety</w:t>
      </w:r>
    </w:p>
    <w:p w14:paraId="0E86247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B315E4A" w14:textId="77777777" w:rsidR="00AA0BE6" w:rsidRPr="009B1D9C" w:rsidRDefault="00AA0BE6" w:rsidP="00AA0BE6">
      <w:pPr>
        <w:pStyle w:val="Style2"/>
      </w:pPr>
      <w:r w:rsidRPr="009B1D9C">
        <w:t>2.</w:t>
      </w:r>
      <w:r w:rsidRPr="009B1D9C">
        <w:tab/>
        <w:t>OBSAH ÚČINNÝCH LÁTOK</w:t>
      </w:r>
    </w:p>
    <w:p w14:paraId="3FFB2928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166A911" w14:textId="565B2F69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Milbemyc</w:t>
      </w:r>
      <w:r w:rsidR="00504BF7" w:rsidRPr="009B1D9C">
        <w:rPr>
          <w:szCs w:val="22"/>
        </w:rPr>
        <w:t>í</w:t>
      </w:r>
      <w:r w:rsidRPr="009B1D9C">
        <w:rPr>
          <w:szCs w:val="22"/>
        </w:rPr>
        <w:t>noxim</w:t>
      </w:r>
      <w:proofErr w:type="spellEnd"/>
      <w:r w:rsidRPr="009B1D9C">
        <w:rPr>
          <w:szCs w:val="22"/>
        </w:rPr>
        <w:t xml:space="preserve"> 16 mg/tableta</w:t>
      </w:r>
    </w:p>
    <w:p w14:paraId="7A70BA3A" w14:textId="7CFB6919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Prazi</w:t>
      </w:r>
      <w:r w:rsidR="00504BF7" w:rsidRPr="009B1D9C">
        <w:rPr>
          <w:szCs w:val="22"/>
        </w:rPr>
        <w:t>kv</w:t>
      </w:r>
      <w:r w:rsidRPr="009B1D9C">
        <w:rPr>
          <w:szCs w:val="22"/>
        </w:rPr>
        <w:t>antel</w:t>
      </w:r>
      <w:proofErr w:type="spellEnd"/>
      <w:r w:rsidRPr="009B1D9C">
        <w:rPr>
          <w:szCs w:val="22"/>
        </w:rPr>
        <w:t xml:space="preserve"> </w:t>
      </w:r>
      <w:r w:rsidR="00504BF7" w:rsidRPr="009B1D9C">
        <w:rPr>
          <w:szCs w:val="22"/>
        </w:rPr>
        <w:t xml:space="preserve">        </w:t>
      </w:r>
      <w:r w:rsidRPr="009B1D9C">
        <w:rPr>
          <w:szCs w:val="22"/>
        </w:rPr>
        <w:t>40 mg/tableta</w:t>
      </w:r>
    </w:p>
    <w:p w14:paraId="4CA53F81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7A822541" w14:textId="77777777" w:rsidR="00AA0BE6" w:rsidRPr="009B1D9C" w:rsidRDefault="00AA0BE6" w:rsidP="00AA0BE6">
      <w:pPr>
        <w:pStyle w:val="Style2"/>
      </w:pPr>
      <w:r w:rsidRPr="009B1D9C">
        <w:t>3.</w:t>
      </w:r>
      <w:r w:rsidRPr="009B1D9C">
        <w:tab/>
        <w:t>VEĽKOSŤ BALENIA</w:t>
      </w:r>
    </w:p>
    <w:p w14:paraId="6DDC364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41C4CB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2 tablety</w:t>
      </w:r>
    </w:p>
    <w:p w14:paraId="3CB8D8F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B1D9C">
        <w:rPr>
          <w:szCs w:val="22"/>
          <w:highlight w:val="lightGray"/>
        </w:rPr>
        <w:t>4 tablety</w:t>
      </w:r>
    </w:p>
    <w:p w14:paraId="1A690BB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B1D9C">
        <w:rPr>
          <w:szCs w:val="22"/>
          <w:highlight w:val="lightGray"/>
        </w:rPr>
        <w:t>10 tabliet</w:t>
      </w:r>
    </w:p>
    <w:p w14:paraId="4AF3795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B1D9C">
        <w:rPr>
          <w:szCs w:val="22"/>
          <w:highlight w:val="lightGray"/>
        </w:rPr>
        <w:t>24 tabliet</w:t>
      </w:r>
    </w:p>
    <w:p w14:paraId="798212B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B1D9C">
        <w:rPr>
          <w:szCs w:val="22"/>
          <w:highlight w:val="lightGray"/>
        </w:rPr>
        <w:t>48 tabliet</w:t>
      </w:r>
    </w:p>
    <w:p w14:paraId="0E149461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highlight w:val="lightGray"/>
        </w:rPr>
        <w:t>100 tabliet</w:t>
      </w:r>
    </w:p>
    <w:p w14:paraId="2D1E9E9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0AB724E2" w14:textId="77777777" w:rsidR="00AA0BE6" w:rsidRPr="009B1D9C" w:rsidRDefault="00AA0BE6" w:rsidP="00AA0BE6">
      <w:pPr>
        <w:pStyle w:val="Style2"/>
      </w:pPr>
      <w:r w:rsidRPr="009B1D9C">
        <w:t>4.</w:t>
      </w:r>
      <w:r w:rsidRPr="009B1D9C">
        <w:tab/>
        <w:t>CIEĽOVÉ DRUHY</w:t>
      </w:r>
    </w:p>
    <w:p w14:paraId="2F0EA8A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6068CB2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Mačky s hmotnosťou najmenej 2 kg.</w:t>
      </w:r>
    </w:p>
    <w:p w14:paraId="2306EFC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C2A86A7" w14:textId="77777777" w:rsidR="00AA0BE6" w:rsidRPr="009B1D9C" w:rsidRDefault="00AA0BE6" w:rsidP="00AA0BE6">
      <w:pPr>
        <w:pStyle w:val="Style2"/>
      </w:pPr>
      <w:r w:rsidRPr="009B1D9C">
        <w:t>5.</w:t>
      </w:r>
      <w:r w:rsidRPr="009B1D9C">
        <w:tab/>
        <w:t>INDIKÁCIE</w:t>
      </w:r>
    </w:p>
    <w:p w14:paraId="667CA62F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7003A08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EBF2065" w14:textId="77777777" w:rsidR="00AA0BE6" w:rsidRPr="009B1D9C" w:rsidRDefault="00AA0BE6" w:rsidP="00AA0BE6">
      <w:pPr>
        <w:pStyle w:val="Style2"/>
      </w:pPr>
      <w:r w:rsidRPr="009B1D9C">
        <w:t>6.</w:t>
      </w:r>
      <w:r w:rsidRPr="009B1D9C">
        <w:tab/>
        <w:t>CESTY PODANIA</w:t>
      </w:r>
    </w:p>
    <w:p w14:paraId="454A943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924CD6F" w14:textId="53FBD04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Perorálne podanie.</w:t>
      </w:r>
    </w:p>
    <w:p w14:paraId="70EDC3BF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6C7B6FD8" w14:textId="77777777" w:rsidR="00AA0BE6" w:rsidRPr="009B1D9C" w:rsidRDefault="00AA0BE6" w:rsidP="00AA0BE6">
      <w:pPr>
        <w:pStyle w:val="Style2"/>
      </w:pPr>
      <w:r w:rsidRPr="009B1D9C">
        <w:t>7.</w:t>
      </w:r>
      <w:r w:rsidRPr="009B1D9C">
        <w:tab/>
        <w:t>OCHRANNÉ LEHOTY</w:t>
      </w:r>
    </w:p>
    <w:p w14:paraId="567E9C3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01269C11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13DE3DC" w14:textId="77777777" w:rsidR="00AA0BE6" w:rsidRPr="009B1D9C" w:rsidRDefault="00AA0BE6" w:rsidP="00AA0BE6">
      <w:pPr>
        <w:pStyle w:val="Style2"/>
      </w:pPr>
      <w:r w:rsidRPr="009B1D9C">
        <w:t>8.</w:t>
      </w:r>
      <w:r w:rsidRPr="009B1D9C">
        <w:tab/>
        <w:t>DÁTUM EXSPIRÁCIE</w:t>
      </w:r>
    </w:p>
    <w:p w14:paraId="7E5B44CA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0E6AE4D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Exp</w:t>
      </w:r>
      <w:proofErr w:type="spellEnd"/>
      <w:r w:rsidRPr="009B1D9C">
        <w:rPr>
          <w:szCs w:val="22"/>
        </w:rPr>
        <w:t>. {mesiac/rok}</w:t>
      </w:r>
    </w:p>
    <w:p w14:paraId="35D984F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74CFADE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Čas použiteľnosti rozpolenej tablety po prvom otvorení </w:t>
      </w:r>
      <w:proofErr w:type="spellStart"/>
      <w:r w:rsidRPr="009B1D9C">
        <w:rPr>
          <w:szCs w:val="22"/>
        </w:rPr>
        <w:t>blistra</w:t>
      </w:r>
      <w:proofErr w:type="spellEnd"/>
      <w:r w:rsidRPr="009B1D9C">
        <w:rPr>
          <w:szCs w:val="22"/>
        </w:rPr>
        <w:t>: 6 mesiacov.</w:t>
      </w:r>
    </w:p>
    <w:p w14:paraId="5E50835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1CC6305" w14:textId="77777777" w:rsidR="00AA0BE6" w:rsidRPr="009B1D9C" w:rsidRDefault="00AA0BE6" w:rsidP="00AA0BE6">
      <w:pPr>
        <w:pStyle w:val="Style2"/>
      </w:pPr>
      <w:r w:rsidRPr="009B1D9C">
        <w:t>9.</w:t>
      </w:r>
      <w:r w:rsidRPr="009B1D9C">
        <w:tab/>
        <w:t>OSOBITNÉ PODMIENKY NA UCHOVÁVANIE</w:t>
      </w:r>
    </w:p>
    <w:p w14:paraId="28FFA7A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5B26DDA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Nepoužité časti tabliet vrátiť do otvoreného otvoru v </w:t>
      </w:r>
      <w:proofErr w:type="spellStart"/>
      <w:r w:rsidRPr="009B1D9C">
        <w:rPr>
          <w:szCs w:val="22"/>
        </w:rPr>
        <w:t>blistri</w:t>
      </w:r>
      <w:proofErr w:type="spellEnd"/>
      <w:r w:rsidRPr="009B1D9C">
        <w:rPr>
          <w:szCs w:val="22"/>
        </w:rPr>
        <w:t>, vložiť späť do škatuľky a použiť pri ďalšom podaní alebo bezpečne zlikvidovať.</w:t>
      </w:r>
    </w:p>
    <w:p w14:paraId="492D0070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Chrániť pred svetlom.</w:t>
      </w:r>
    </w:p>
    <w:p w14:paraId="5E76A406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 </w:t>
      </w:r>
    </w:p>
    <w:p w14:paraId="080F4624" w14:textId="77777777" w:rsidR="00AA0BE6" w:rsidRPr="009B1D9C" w:rsidRDefault="00AA0BE6" w:rsidP="00AA0BE6">
      <w:pPr>
        <w:pStyle w:val="Style2"/>
      </w:pPr>
      <w:r w:rsidRPr="009B1D9C">
        <w:t>10.</w:t>
      </w:r>
      <w:r w:rsidRPr="009B1D9C">
        <w:tab/>
        <w:t>OZNAČENIE „PRED POUŽITÍM SI PREČÍTAJTE PÍSOMNÚ INFORMÁCIU PRE POUŽÍVATEĽOV“</w:t>
      </w:r>
    </w:p>
    <w:p w14:paraId="4D027CD0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737B1811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Pred použitím si prečítajte písomnú informáciu pre používateľov.</w:t>
      </w:r>
    </w:p>
    <w:p w14:paraId="5457429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2A2121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0E9CCC88" w14:textId="77777777" w:rsidR="00AA0BE6" w:rsidRPr="009B1D9C" w:rsidRDefault="00AA0BE6" w:rsidP="00AA0BE6">
      <w:pPr>
        <w:pStyle w:val="Style2"/>
      </w:pPr>
      <w:r w:rsidRPr="009B1D9C">
        <w:t>11.</w:t>
      </w:r>
      <w:r w:rsidRPr="009B1D9C">
        <w:tab/>
        <w:t>OZNAČENIE „LEN PRE ZVIERATÁ“</w:t>
      </w:r>
    </w:p>
    <w:p w14:paraId="305F3E8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0EE483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Len pre zvieratá.</w:t>
      </w:r>
    </w:p>
    <w:p w14:paraId="60C0C4EA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E4F425C" w14:textId="77777777" w:rsidR="00AA0BE6" w:rsidRPr="009B1D9C" w:rsidRDefault="00AA0BE6" w:rsidP="00AA0BE6">
      <w:pPr>
        <w:pStyle w:val="Style2"/>
      </w:pPr>
      <w:r w:rsidRPr="009B1D9C">
        <w:t>12.</w:t>
      </w:r>
      <w:r w:rsidRPr="009B1D9C">
        <w:tab/>
        <w:t>OZNAČENIE „UCHOVÁVAŤ MIMO DOHĽADU A DOSAHU DETÍ“</w:t>
      </w:r>
    </w:p>
    <w:p w14:paraId="21B1BF3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B010A6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Uchovávať mimo dohľadu a dosahu detí.</w:t>
      </w:r>
    </w:p>
    <w:p w14:paraId="59C491C3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6518C18D" w14:textId="77777777" w:rsidR="00AA0BE6" w:rsidRPr="009B1D9C" w:rsidRDefault="00AA0BE6" w:rsidP="00AA0BE6">
      <w:pPr>
        <w:pStyle w:val="Style2"/>
      </w:pPr>
      <w:r w:rsidRPr="009B1D9C">
        <w:t>13.</w:t>
      </w:r>
      <w:r w:rsidRPr="009B1D9C">
        <w:tab/>
        <w:t>NÁZOV A ADRESA DRŽITEĽA ROZHODNUTIA O REGISTRÁCII</w:t>
      </w:r>
    </w:p>
    <w:p w14:paraId="01C624A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978D9C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noProof/>
          <w:szCs w:val="22"/>
          <w:lang w:eastAsia="sk-SK"/>
        </w:rPr>
        <w:drawing>
          <wp:inline distT="0" distB="0" distL="0" distR="0" wp14:anchorId="472F6899" wp14:editId="00CC9E09">
            <wp:extent cx="657225" cy="638175"/>
            <wp:effectExtent l="0" t="0" r="0" b="0"/>
            <wp:docPr id="1" name="Image 1" descr="Obrázok, na ktorom je logo, písm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ázok, na ktorom je logo, písmo, grafika, symbo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ECFB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DBC320D" w14:textId="77777777" w:rsidR="00AA0BE6" w:rsidRPr="009B1D9C" w:rsidRDefault="00AA0BE6" w:rsidP="00AA0BE6">
      <w:pPr>
        <w:pStyle w:val="Style2"/>
      </w:pPr>
      <w:r w:rsidRPr="009B1D9C">
        <w:t>14.</w:t>
      </w:r>
      <w:r w:rsidRPr="009B1D9C">
        <w:tab/>
        <w:t>REGISTRAČNÉ ČÍSLO (ČÍSLA)</w:t>
      </w:r>
    </w:p>
    <w:p w14:paraId="27D8E08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62AAA02" w14:textId="4A5DC271" w:rsidR="00AA0BE6" w:rsidRPr="009B1D9C" w:rsidRDefault="00110DCB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96/020/DC/24-S</w:t>
      </w:r>
    </w:p>
    <w:p w14:paraId="6DC8D81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D1670CD" w14:textId="77777777" w:rsidR="00AA0BE6" w:rsidRPr="009B1D9C" w:rsidRDefault="00AA0BE6" w:rsidP="00AA0BE6">
      <w:pPr>
        <w:pStyle w:val="Style2"/>
      </w:pPr>
      <w:r w:rsidRPr="009B1D9C">
        <w:t>15.</w:t>
      </w:r>
      <w:r w:rsidRPr="009B1D9C">
        <w:tab/>
        <w:t>ČÍSLO VÝROBNEJ ŠARŽE</w:t>
      </w:r>
    </w:p>
    <w:p w14:paraId="70F233C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16B921D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Lot</w:t>
      </w:r>
      <w:proofErr w:type="spellEnd"/>
      <w:r w:rsidRPr="009B1D9C">
        <w:rPr>
          <w:szCs w:val="22"/>
        </w:rPr>
        <w:t xml:space="preserve"> {číslo}</w:t>
      </w:r>
    </w:p>
    <w:p w14:paraId="57536EE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6D23FD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br w:type="page"/>
      </w:r>
    </w:p>
    <w:p w14:paraId="3AE76C6D" w14:textId="77777777" w:rsidR="00AA0BE6" w:rsidRPr="009B1D9C" w:rsidRDefault="00AA0BE6" w:rsidP="00AA0BE6">
      <w:pPr>
        <w:ind w:right="113"/>
        <w:rPr>
          <w:szCs w:val="22"/>
        </w:rPr>
      </w:pPr>
    </w:p>
    <w:p w14:paraId="5B376537" w14:textId="77777777" w:rsidR="00AA0BE6" w:rsidRPr="009B1D9C" w:rsidRDefault="00AA0BE6" w:rsidP="00AA0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B1D9C">
        <w:rPr>
          <w:b/>
          <w:szCs w:val="22"/>
        </w:rPr>
        <w:t>MINIMÁLNE ÚDAJE, KTORÉ MAJÚ BYŤ UVEDENÉ NA MALOM VNÚTORNOM OBALE</w:t>
      </w:r>
    </w:p>
    <w:p w14:paraId="7732E417" w14:textId="77777777" w:rsidR="00AA0BE6" w:rsidRPr="009B1D9C" w:rsidRDefault="00AA0BE6" w:rsidP="00AA0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66542E2" w14:textId="77777777" w:rsidR="00AA0BE6" w:rsidRPr="009B1D9C" w:rsidRDefault="00AA0BE6" w:rsidP="00AA0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9B1D9C">
        <w:rPr>
          <w:b/>
          <w:szCs w:val="22"/>
        </w:rPr>
        <w:t>Blister</w:t>
      </w:r>
      <w:proofErr w:type="spellEnd"/>
    </w:p>
    <w:p w14:paraId="25C3D3F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64A74195" w14:textId="77777777" w:rsidR="00AA0BE6" w:rsidRPr="009B1D9C" w:rsidRDefault="00AA0BE6" w:rsidP="00AA0BE6">
      <w:pPr>
        <w:pStyle w:val="Style2"/>
      </w:pPr>
      <w:r w:rsidRPr="009B1D9C">
        <w:t>1.</w:t>
      </w:r>
      <w:r w:rsidRPr="009B1D9C">
        <w:tab/>
        <w:t>NÁZOV VETERINÁRNEHO LIEKU</w:t>
      </w:r>
    </w:p>
    <w:p w14:paraId="7F8BDA53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noProof/>
          <w:szCs w:val="22"/>
          <w:shd w:val="clear" w:color="auto" w:fill="E6E6E6"/>
          <w:lang w:eastAsia="sk-SK"/>
        </w:rPr>
        <w:drawing>
          <wp:anchor distT="0" distB="0" distL="114300" distR="114300" simplePos="0" relativeHeight="251659264" behindDoc="0" locked="0" layoutInCell="1" allowOverlap="1" wp14:anchorId="44D77AB0" wp14:editId="198A8D5B">
            <wp:simplePos x="0" y="0"/>
            <wp:positionH relativeFrom="column">
              <wp:posOffset>1211580</wp:posOffset>
            </wp:positionH>
            <wp:positionV relativeFrom="paragraph">
              <wp:posOffset>60960</wp:posOffset>
            </wp:positionV>
            <wp:extent cx="485775" cy="581025"/>
            <wp:effectExtent l="0" t="0" r="9525" b="9525"/>
            <wp:wrapSquare wrapText="bothSides"/>
            <wp:docPr id="2" name="Image 2" descr="Obrázok, na ktorom je silueta, náčrt, kreslený obrázok, cicav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ázok, na ktorom je silueta, náčrt, kreslený obrázok, cicavec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3A341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bookmarkStart w:id="4" w:name="_Hlk120804848"/>
      <w:proofErr w:type="spellStart"/>
      <w:r w:rsidRPr="009B1D9C">
        <w:rPr>
          <w:szCs w:val="22"/>
          <w:lang w:val="en-US"/>
        </w:rPr>
        <w:t>Milbeguard</w:t>
      </w:r>
      <w:proofErr w:type="spellEnd"/>
      <w:r w:rsidRPr="009B1D9C">
        <w:rPr>
          <w:szCs w:val="22"/>
          <w:lang w:val="en-US"/>
        </w:rPr>
        <w:t xml:space="preserve"> Duo</w:t>
      </w:r>
      <w:bookmarkEnd w:id="4"/>
      <w:r w:rsidRPr="009B1D9C">
        <w:rPr>
          <w:szCs w:val="22"/>
          <w:lang w:val="en-US"/>
        </w:rPr>
        <w:t xml:space="preserve">   </w:t>
      </w:r>
    </w:p>
    <w:p w14:paraId="19010BE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831ABB3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0494E0A0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E7A117F" w14:textId="77777777" w:rsidR="00AA0BE6" w:rsidRPr="009B1D9C" w:rsidRDefault="00AA0BE6" w:rsidP="00AA0BE6">
      <w:pPr>
        <w:pStyle w:val="Style2"/>
      </w:pPr>
      <w:r w:rsidRPr="009B1D9C">
        <w:t>2.</w:t>
      </w:r>
      <w:r w:rsidRPr="009B1D9C">
        <w:tab/>
        <w:t>KVANTITATÍVNE ÚDAJE O ÚČINNÝCH LÁTKACH</w:t>
      </w:r>
    </w:p>
    <w:p w14:paraId="0BFE17E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DE76F1B" w14:textId="71F88E8E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bookmarkStart w:id="5" w:name="_Hlk120804909"/>
      <w:r w:rsidRPr="009B1D9C">
        <w:rPr>
          <w:szCs w:val="22"/>
        </w:rPr>
        <w:t xml:space="preserve">16 mg </w:t>
      </w:r>
      <w:proofErr w:type="spellStart"/>
      <w:r w:rsidRPr="009B1D9C">
        <w:rPr>
          <w:szCs w:val="22"/>
        </w:rPr>
        <w:t>milbemyc</w:t>
      </w:r>
      <w:r w:rsidR="004E1242" w:rsidRPr="009B1D9C">
        <w:rPr>
          <w:szCs w:val="22"/>
        </w:rPr>
        <w:t>i</w:t>
      </w:r>
      <w:r w:rsidRPr="009B1D9C">
        <w:rPr>
          <w:szCs w:val="22"/>
        </w:rPr>
        <w:t>noxim</w:t>
      </w:r>
      <w:r w:rsidR="004E1242" w:rsidRPr="009B1D9C">
        <w:rPr>
          <w:szCs w:val="22"/>
        </w:rPr>
        <w:t>um</w:t>
      </w:r>
      <w:proofErr w:type="spellEnd"/>
      <w:r w:rsidRPr="009B1D9C">
        <w:rPr>
          <w:szCs w:val="22"/>
        </w:rPr>
        <w:t xml:space="preserve"> a 40 mg </w:t>
      </w:r>
      <w:proofErr w:type="spellStart"/>
      <w:r w:rsidRPr="009B1D9C">
        <w:rPr>
          <w:szCs w:val="22"/>
        </w:rPr>
        <w:t>prazi</w:t>
      </w:r>
      <w:r w:rsidR="004E1242" w:rsidRPr="009B1D9C">
        <w:rPr>
          <w:szCs w:val="22"/>
        </w:rPr>
        <w:t>qua</w:t>
      </w:r>
      <w:r w:rsidRPr="009B1D9C">
        <w:rPr>
          <w:szCs w:val="22"/>
        </w:rPr>
        <w:t>ntel</w:t>
      </w:r>
      <w:bookmarkEnd w:id="5"/>
      <w:r w:rsidR="004E1242" w:rsidRPr="009B1D9C">
        <w:rPr>
          <w:szCs w:val="22"/>
        </w:rPr>
        <w:t>um</w:t>
      </w:r>
      <w:proofErr w:type="spellEnd"/>
      <w:r w:rsidRPr="009B1D9C">
        <w:rPr>
          <w:szCs w:val="22"/>
        </w:rPr>
        <w:t>/tableta</w:t>
      </w:r>
    </w:p>
    <w:p w14:paraId="229E1A2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65E1E9D" w14:textId="77777777" w:rsidR="00AA0BE6" w:rsidRPr="009B1D9C" w:rsidRDefault="00AA0BE6" w:rsidP="00AA0BE6">
      <w:pPr>
        <w:pStyle w:val="Style2"/>
      </w:pPr>
      <w:r w:rsidRPr="009B1D9C">
        <w:t>3.</w:t>
      </w:r>
      <w:r w:rsidRPr="009B1D9C">
        <w:tab/>
        <w:t>ČÍSLO ŠARŽE</w:t>
      </w:r>
    </w:p>
    <w:p w14:paraId="03C93BB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A048451" w14:textId="77777777" w:rsidR="00AA0BE6" w:rsidRPr="009B1D9C" w:rsidRDefault="00AA0BE6" w:rsidP="00AA0BE6">
      <w:pPr>
        <w:rPr>
          <w:szCs w:val="22"/>
        </w:rPr>
      </w:pPr>
      <w:proofErr w:type="spellStart"/>
      <w:r w:rsidRPr="009B1D9C">
        <w:rPr>
          <w:szCs w:val="22"/>
        </w:rPr>
        <w:t>Lot</w:t>
      </w:r>
      <w:proofErr w:type="spellEnd"/>
      <w:r w:rsidRPr="009B1D9C">
        <w:rPr>
          <w:szCs w:val="22"/>
        </w:rPr>
        <w:t xml:space="preserve"> {číslo}</w:t>
      </w:r>
    </w:p>
    <w:p w14:paraId="27AFEFC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38DF1AB" w14:textId="77777777" w:rsidR="00AA0BE6" w:rsidRPr="009B1D9C" w:rsidRDefault="00AA0BE6" w:rsidP="00AA0BE6">
      <w:pPr>
        <w:pStyle w:val="Style2"/>
      </w:pPr>
      <w:r w:rsidRPr="009B1D9C">
        <w:t>4.</w:t>
      </w:r>
      <w:r w:rsidRPr="009B1D9C">
        <w:tab/>
        <w:t>DÁTUM EXSPIRÁCIE</w:t>
      </w:r>
    </w:p>
    <w:p w14:paraId="177D013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1A38700" w14:textId="77777777" w:rsidR="00AA0BE6" w:rsidRPr="009B1D9C" w:rsidRDefault="00AA0BE6" w:rsidP="00AA0BE6">
      <w:pPr>
        <w:rPr>
          <w:szCs w:val="22"/>
        </w:rPr>
      </w:pPr>
      <w:proofErr w:type="spellStart"/>
      <w:r w:rsidRPr="009B1D9C">
        <w:rPr>
          <w:szCs w:val="22"/>
        </w:rPr>
        <w:t>Exp</w:t>
      </w:r>
      <w:proofErr w:type="spellEnd"/>
      <w:r w:rsidRPr="009B1D9C">
        <w:rPr>
          <w:szCs w:val="22"/>
        </w:rPr>
        <w:t>. {mesiac/rok}</w:t>
      </w:r>
    </w:p>
    <w:p w14:paraId="697EC870" w14:textId="77777777" w:rsidR="00AA0BE6" w:rsidRPr="009B1D9C" w:rsidRDefault="00AA0BE6" w:rsidP="00AA0BE6">
      <w:pPr>
        <w:rPr>
          <w:szCs w:val="22"/>
        </w:rPr>
      </w:pPr>
    </w:p>
    <w:p w14:paraId="3FDC6ECB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br w:type="page"/>
      </w:r>
    </w:p>
    <w:p w14:paraId="1DAADE97" w14:textId="52B1E71F" w:rsidR="00AA0BE6" w:rsidRPr="009B1D9C" w:rsidRDefault="00AA0BE6" w:rsidP="00AA0BE6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B1D9C">
        <w:rPr>
          <w:b/>
          <w:szCs w:val="22"/>
        </w:rPr>
        <w:lastRenderedPageBreak/>
        <w:t>PÍSOMNÁ INFORMÁCIA PRE POUŽÍVATEĽOV</w:t>
      </w:r>
    </w:p>
    <w:p w14:paraId="4938D7C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4B9FB2E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1.</w:t>
      </w:r>
      <w:r w:rsidRPr="009B1D9C">
        <w:tab/>
        <w:t>Názov veterinárneho lieku</w:t>
      </w:r>
    </w:p>
    <w:p w14:paraId="0DE5D50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52B162F" w14:textId="2973629E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Milbeguard</w:t>
      </w:r>
      <w:proofErr w:type="spellEnd"/>
      <w:r w:rsidRPr="009B1D9C">
        <w:rPr>
          <w:szCs w:val="22"/>
        </w:rPr>
        <w:t xml:space="preserve"> Duo 16 mg/40 mg obalené tablety pre malé mačky a mačiatka</w:t>
      </w:r>
    </w:p>
    <w:p w14:paraId="6DFD950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44BE027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2.</w:t>
      </w:r>
      <w:r w:rsidRPr="009B1D9C">
        <w:tab/>
        <w:t>Zloženie</w:t>
      </w:r>
    </w:p>
    <w:p w14:paraId="5DE2F62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095881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Každá tableta obsahuje:</w:t>
      </w:r>
    </w:p>
    <w:p w14:paraId="6C954B1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b/>
          <w:szCs w:val="22"/>
        </w:rPr>
      </w:pPr>
      <w:r w:rsidRPr="009B1D9C">
        <w:rPr>
          <w:b/>
          <w:szCs w:val="22"/>
        </w:rPr>
        <w:t>Účinná(-é) látka(-y):</w:t>
      </w:r>
    </w:p>
    <w:p w14:paraId="366F9A36" w14:textId="4B7D9F99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B1D9C">
        <w:rPr>
          <w:iCs/>
          <w:szCs w:val="22"/>
        </w:rPr>
        <w:t>Milbemyc</w:t>
      </w:r>
      <w:r w:rsidR="00504BF7" w:rsidRPr="009B1D9C">
        <w:rPr>
          <w:iCs/>
          <w:szCs w:val="22"/>
        </w:rPr>
        <w:t>í</w:t>
      </w:r>
      <w:r w:rsidRPr="009B1D9C">
        <w:rPr>
          <w:iCs/>
          <w:szCs w:val="22"/>
        </w:rPr>
        <w:t>noxim</w:t>
      </w:r>
      <w:proofErr w:type="spellEnd"/>
      <w:r w:rsidRPr="009B1D9C">
        <w:rPr>
          <w:iCs/>
          <w:szCs w:val="22"/>
        </w:rPr>
        <w:t xml:space="preserve"> </w:t>
      </w:r>
      <w:r w:rsidRPr="009B1D9C">
        <w:rPr>
          <w:iCs/>
          <w:szCs w:val="22"/>
        </w:rPr>
        <w:tab/>
      </w:r>
      <w:r w:rsidR="00504BF7" w:rsidRPr="009B1D9C">
        <w:rPr>
          <w:iCs/>
          <w:szCs w:val="22"/>
        </w:rPr>
        <w:t xml:space="preserve">          </w:t>
      </w:r>
      <w:r w:rsidRPr="009B1D9C">
        <w:rPr>
          <w:iCs/>
          <w:szCs w:val="22"/>
        </w:rPr>
        <w:t>16 mg</w:t>
      </w:r>
    </w:p>
    <w:p w14:paraId="727BDB10" w14:textId="200A7029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B1D9C">
        <w:rPr>
          <w:iCs/>
          <w:szCs w:val="22"/>
        </w:rPr>
        <w:t>Prazikvantel</w:t>
      </w:r>
      <w:proofErr w:type="spellEnd"/>
      <w:r w:rsidRPr="009B1D9C">
        <w:rPr>
          <w:iCs/>
          <w:szCs w:val="22"/>
        </w:rPr>
        <w:t xml:space="preserve"> </w:t>
      </w:r>
      <w:r w:rsidRPr="009B1D9C">
        <w:rPr>
          <w:iCs/>
          <w:szCs w:val="22"/>
        </w:rPr>
        <w:tab/>
      </w:r>
      <w:r w:rsidRPr="009B1D9C">
        <w:rPr>
          <w:iCs/>
          <w:szCs w:val="22"/>
        </w:rPr>
        <w:tab/>
        <w:t>40 mg</w:t>
      </w:r>
    </w:p>
    <w:p w14:paraId="148FDFAA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b/>
          <w:szCs w:val="22"/>
        </w:rPr>
      </w:pPr>
    </w:p>
    <w:p w14:paraId="083575CF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Podlhovasté tablety červenej  až červenohnedej farby s deliacou ryhou na jednej strane.</w:t>
      </w:r>
    </w:p>
    <w:p w14:paraId="05F52C6B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Tablety možno deliť na dve rovnaké časti.</w:t>
      </w:r>
    </w:p>
    <w:p w14:paraId="76E02EC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11703D60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3.</w:t>
      </w:r>
      <w:r w:rsidRPr="009B1D9C">
        <w:tab/>
        <w:t>Cieľové druhy</w:t>
      </w:r>
    </w:p>
    <w:p w14:paraId="19EF49B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0BEADF8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Mačky s hmotnosťou najmenej 2 kg.</w:t>
      </w:r>
    </w:p>
    <w:p w14:paraId="77A9045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A185619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4.</w:t>
      </w:r>
      <w:r w:rsidRPr="009B1D9C">
        <w:tab/>
        <w:t>Indikácie na použitie</w:t>
      </w:r>
    </w:p>
    <w:p w14:paraId="02ABC47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129DCD3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U mačiek: Liečba zmiešaných infekcií nezrelými a dospelými </w:t>
      </w:r>
      <w:proofErr w:type="spellStart"/>
      <w:r w:rsidRPr="009B1D9C">
        <w:rPr>
          <w:szCs w:val="22"/>
        </w:rPr>
        <w:t>cestódami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nematódami</w:t>
      </w:r>
      <w:proofErr w:type="spellEnd"/>
      <w:r w:rsidRPr="009B1D9C">
        <w:rPr>
          <w:szCs w:val="22"/>
        </w:rPr>
        <w:t xml:space="preserve"> týchto druhov: </w:t>
      </w:r>
    </w:p>
    <w:p w14:paraId="4AD6C71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C9FD355" w14:textId="77777777" w:rsidR="00AA0BE6" w:rsidRPr="009B1D9C" w:rsidRDefault="00AA0BE6" w:rsidP="00AA0B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1D9C">
        <w:rPr>
          <w:szCs w:val="22"/>
        </w:rPr>
        <w:t xml:space="preserve">- </w:t>
      </w:r>
      <w:proofErr w:type="spellStart"/>
      <w:r w:rsidRPr="009B1D9C">
        <w:rPr>
          <w:szCs w:val="22"/>
        </w:rPr>
        <w:t>Cestódy</w:t>
      </w:r>
      <w:proofErr w:type="spellEnd"/>
      <w:r w:rsidRPr="009B1D9C">
        <w:rPr>
          <w:szCs w:val="22"/>
        </w:rPr>
        <w:t xml:space="preserve">: </w:t>
      </w:r>
    </w:p>
    <w:p w14:paraId="0A7B3CE6" w14:textId="77777777" w:rsidR="00AA0BE6" w:rsidRPr="009B1D9C" w:rsidRDefault="00AA0BE6" w:rsidP="00AA0BE6">
      <w:pPr>
        <w:tabs>
          <w:tab w:val="clear" w:pos="567"/>
        </w:tabs>
        <w:spacing w:line="240" w:lineRule="auto"/>
        <w:ind w:firstLine="567"/>
        <w:jc w:val="both"/>
        <w:rPr>
          <w:i/>
          <w:iCs/>
          <w:szCs w:val="22"/>
        </w:rPr>
      </w:pPr>
      <w:proofErr w:type="spellStart"/>
      <w:r w:rsidRPr="009B1D9C">
        <w:rPr>
          <w:i/>
          <w:iCs/>
          <w:szCs w:val="22"/>
        </w:rPr>
        <w:t>Dipylidium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caninum</w:t>
      </w:r>
      <w:proofErr w:type="spellEnd"/>
      <w:r w:rsidRPr="009B1D9C">
        <w:rPr>
          <w:i/>
          <w:iCs/>
          <w:szCs w:val="22"/>
        </w:rPr>
        <w:t xml:space="preserve"> </w:t>
      </w:r>
    </w:p>
    <w:p w14:paraId="34DBEEF0" w14:textId="77777777" w:rsidR="00AA0BE6" w:rsidRPr="009B1D9C" w:rsidRDefault="00AA0BE6" w:rsidP="00AA0BE6">
      <w:pPr>
        <w:tabs>
          <w:tab w:val="clear" w:pos="567"/>
        </w:tabs>
        <w:spacing w:line="240" w:lineRule="auto"/>
        <w:ind w:firstLine="567"/>
        <w:jc w:val="both"/>
        <w:rPr>
          <w:i/>
          <w:iCs/>
          <w:szCs w:val="22"/>
        </w:rPr>
      </w:pPr>
      <w:proofErr w:type="spellStart"/>
      <w:r w:rsidRPr="009B1D9C">
        <w:rPr>
          <w:i/>
          <w:iCs/>
          <w:szCs w:val="22"/>
        </w:rPr>
        <w:t>Taenia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szCs w:val="22"/>
        </w:rPr>
        <w:t>spp</w:t>
      </w:r>
      <w:proofErr w:type="spellEnd"/>
      <w:r w:rsidRPr="009B1D9C">
        <w:rPr>
          <w:i/>
          <w:iCs/>
          <w:szCs w:val="22"/>
        </w:rPr>
        <w:t xml:space="preserve">. </w:t>
      </w:r>
    </w:p>
    <w:p w14:paraId="746A4D8B" w14:textId="77777777" w:rsidR="00AA0BE6" w:rsidRPr="009B1D9C" w:rsidRDefault="00AA0BE6" w:rsidP="00AA0BE6">
      <w:pPr>
        <w:tabs>
          <w:tab w:val="clear" w:pos="567"/>
        </w:tabs>
        <w:spacing w:line="240" w:lineRule="auto"/>
        <w:ind w:firstLine="567"/>
        <w:jc w:val="both"/>
        <w:rPr>
          <w:szCs w:val="22"/>
        </w:rPr>
      </w:pPr>
      <w:proofErr w:type="spellStart"/>
      <w:r w:rsidRPr="009B1D9C">
        <w:rPr>
          <w:i/>
          <w:iCs/>
          <w:szCs w:val="22"/>
        </w:rPr>
        <w:t>Echinococcus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multilocularis</w:t>
      </w:r>
      <w:proofErr w:type="spellEnd"/>
      <w:r w:rsidRPr="009B1D9C">
        <w:rPr>
          <w:i/>
          <w:iCs/>
          <w:szCs w:val="22"/>
        </w:rPr>
        <w:t xml:space="preserve"> </w:t>
      </w:r>
    </w:p>
    <w:p w14:paraId="2D2DBDF7" w14:textId="77777777" w:rsidR="00AA0BE6" w:rsidRPr="009B1D9C" w:rsidRDefault="00AA0BE6" w:rsidP="00AA0BE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B1D9C">
        <w:rPr>
          <w:szCs w:val="22"/>
        </w:rPr>
        <w:t xml:space="preserve">- </w:t>
      </w:r>
      <w:proofErr w:type="spellStart"/>
      <w:r w:rsidRPr="009B1D9C">
        <w:rPr>
          <w:szCs w:val="22"/>
        </w:rPr>
        <w:t>Nematódy</w:t>
      </w:r>
      <w:proofErr w:type="spellEnd"/>
      <w:r w:rsidRPr="009B1D9C">
        <w:rPr>
          <w:szCs w:val="22"/>
        </w:rPr>
        <w:t xml:space="preserve">: </w:t>
      </w:r>
    </w:p>
    <w:p w14:paraId="4EDD78EF" w14:textId="77777777" w:rsidR="00AA0BE6" w:rsidRPr="009B1D9C" w:rsidRDefault="00AA0BE6" w:rsidP="00AA0BE6">
      <w:pPr>
        <w:tabs>
          <w:tab w:val="clear" w:pos="567"/>
        </w:tabs>
        <w:spacing w:line="240" w:lineRule="auto"/>
        <w:ind w:firstLine="567"/>
        <w:jc w:val="both"/>
        <w:rPr>
          <w:i/>
          <w:iCs/>
          <w:szCs w:val="22"/>
        </w:rPr>
      </w:pPr>
      <w:proofErr w:type="spellStart"/>
      <w:r w:rsidRPr="009B1D9C">
        <w:rPr>
          <w:i/>
          <w:iCs/>
          <w:szCs w:val="22"/>
        </w:rPr>
        <w:t>Ancylostoma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tubaeforme</w:t>
      </w:r>
      <w:proofErr w:type="spellEnd"/>
      <w:r w:rsidRPr="009B1D9C">
        <w:rPr>
          <w:i/>
          <w:iCs/>
          <w:szCs w:val="22"/>
        </w:rPr>
        <w:t xml:space="preserve"> </w:t>
      </w:r>
    </w:p>
    <w:p w14:paraId="21753840" w14:textId="77777777" w:rsidR="00AA0BE6" w:rsidRPr="009B1D9C" w:rsidRDefault="00AA0BE6" w:rsidP="00AA0BE6">
      <w:pPr>
        <w:tabs>
          <w:tab w:val="clear" w:pos="567"/>
        </w:tabs>
        <w:spacing w:line="240" w:lineRule="auto"/>
        <w:ind w:firstLine="567"/>
        <w:rPr>
          <w:szCs w:val="22"/>
        </w:rPr>
      </w:pPr>
      <w:proofErr w:type="spellStart"/>
      <w:r w:rsidRPr="009B1D9C">
        <w:rPr>
          <w:i/>
          <w:iCs/>
          <w:szCs w:val="22"/>
        </w:rPr>
        <w:t>Toxocara</w:t>
      </w:r>
      <w:proofErr w:type="spellEnd"/>
      <w:r w:rsidRPr="009B1D9C">
        <w:rPr>
          <w:i/>
          <w:iCs/>
          <w:szCs w:val="22"/>
        </w:rPr>
        <w:t xml:space="preserve"> </w:t>
      </w:r>
      <w:proofErr w:type="spellStart"/>
      <w:r w:rsidRPr="009B1D9C">
        <w:rPr>
          <w:i/>
          <w:iCs/>
          <w:szCs w:val="22"/>
        </w:rPr>
        <w:t>cati</w:t>
      </w:r>
      <w:proofErr w:type="spellEnd"/>
    </w:p>
    <w:p w14:paraId="28FBB768" w14:textId="77777777" w:rsidR="00AA0BE6" w:rsidRPr="009B1D9C" w:rsidRDefault="00AA0BE6" w:rsidP="00AA0BE6">
      <w:pPr>
        <w:pStyle w:val="Style1"/>
      </w:pPr>
    </w:p>
    <w:p w14:paraId="5BB7E78C" w14:textId="77777777" w:rsidR="00AA0BE6" w:rsidRPr="009B1D9C" w:rsidRDefault="00AA0BE6" w:rsidP="00AA0BE6">
      <w:pPr>
        <w:pStyle w:val="Style1"/>
        <w:rPr>
          <w:b w:val="0"/>
          <w:bCs/>
        </w:rPr>
      </w:pPr>
      <w:r w:rsidRPr="009B1D9C">
        <w:rPr>
          <w:b w:val="0"/>
          <w:bCs/>
        </w:rPr>
        <w:t>Prevencia ochorenia spôsobeného srdcovými červami (</w:t>
      </w:r>
      <w:proofErr w:type="spellStart"/>
      <w:r w:rsidRPr="009B1D9C">
        <w:rPr>
          <w:b w:val="0"/>
          <w:bCs/>
          <w:i/>
          <w:iCs/>
        </w:rPr>
        <w:t>Dirofilaria</w:t>
      </w:r>
      <w:proofErr w:type="spellEnd"/>
      <w:r w:rsidRPr="009B1D9C">
        <w:rPr>
          <w:b w:val="0"/>
          <w:bCs/>
          <w:i/>
          <w:iCs/>
        </w:rPr>
        <w:t xml:space="preserve"> </w:t>
      </w:r>
      <w:proofErr w:type="spellStart"/>
      <w:r w:rsidRPr="009B1D9C">
        <w:rPr>
          <w:b w:val="0"/>
          <w:bCs/>
          <w:i/>
          <w:iCs/>
        </w:rPr>
        <w:t>immitis</w:t>
      </w:r>
      <w:proofErr w:type="spellEnd"/>
      <w:r w:rsidRPr="009B1D9C">
        <w:rPr>
          <w:b w:val="0"/>
          <w:bCs/>
        </w:rPr>
        <w:t xml:space="preserve">), ak je indikovaná súbežná </w:t>
      </w:r>
    </w:p>
    <w:p w14:paraId="1FCD3133" w14:textId="632E9FB4" w:rsidR="00AA0BE6" w:rsidRPr="009B1D9C" w:rsidRDefault="00AA0BE6" w:rsidP="00504BF7">
      <w:pPr>
        <w:pStyle w:val="Style1"/>
      </w:pPr>
      <w:r w:rsidRPr="009B1D9C">
        <w:rPr>
          <w:b w:val="0"/>
          <w:bCs/>
        </w:rPr>
        <w:t xml:space="preserve">liečba proti </w:t>
      </w:r>
      <w:r w:rsidR="00504BF7" w:rsidRPr="009B1D9C">
        <w:rPr>
          <w:b w:val="0"/>
          <w:bCs/>
        </w:rPr>
        <w:t>pásomniciam</w:t>
      </w:r>
      <w:r w:rsidRPr="009B1D9C">
        <w:rPr>
          <w:b w:val="0"/>
          <w:bCs/>
        </w:rPr>
        <w:t>.</w:t>
      </w:r>
    </w:p>
    <w:p w14:paraId="1DE5306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7C7E5560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5.</w:t>
      </w:r>
      <w:r w:rsidRPr="009B1D9C">
        <w:tab/>
        <w:t>Kontraindikácie</w:t>
      </w:r>
    </w:p>
    <w:p w14:paraId="159E370B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71B25B83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Nepoužívať u mačiek s hmotnosťou nižšou ako 2 kg.</w:t>
      </w:r>
    </w:p>
    <w:p w14:paraId="2458169A" w14:textId="242E52B0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Nepoužívať v prípadoch precitlivenosti na účinn</w:t>
      </w:r>
      <w:r w:rsidR="00504BF7" w:rsidRPr="009B1D9C">
        <w:rPr>
          <w:szCs w:val="22"/>
        </w:rPr>
        <w:t>é</w:t>
      </w:r>
      <w:r w:rsidRPr="009B1D9C">
        <w:rPr>
          <w:szCs w:val="22"/>
        </w:rPr>
        <w:t xml:space="preserve"> látk</w:t>
      </w:r>
      <w:r w:rsidR="00504BF7" w:rsidRPr="009B1D9C">
        <w:rPr>
          <w:szCs w:val="22"/>
        </w:rPr>
        <w:t>y</w:t>
      </w:r>
      <w:r w:rsidRPr="009B1D9C">
        <w:rPr>
          <w:szCs w:val="22"/>
        </w:rPr>
        <w:t xml:space="preserve"> alebo na niektorú z pomocných látok.</w:t>
      </w:r>
    </w:p>
    <w:p w14:paraId="6267DD0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597092B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6.</w:t>
      </w:r>
      <w:r w:rsidRPr="009B1D9C">
        <w:tab/>
        <w:t>Osobitné upozornenia</w:t>
      </w:r>
    </w:p>
    <w:p w14:paraId="4E47963B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B5B269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Osobitné upozornenia</w:t>
      </w:r>
      <w:r w:rsidRPr="009B1D9C">
        <w:rPr>
          <w:szCs w:val="22"/>
        </w:rPr>
        <w:t>:</w:t>
      </w:r>
    </w:p>
    <w:p w14:paraId="54E7DBE1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Nadmerné použitie antiparazitík alebo použitie v rozpore s pokynmi uvedenými v SPC môže zvýšiť selekčný tlak na rezistenciu a viesť k zníženiu účinnosti. Rozhodnutie o použití veterinárneho lieku by malo byť založené na potvrdení druhu parazita a parazitárnej záťaže u každého jednotlivého zvieraťa alebo na riziku infekcie na základe jeho epidemiologických vlastností pre každé jednotlivé zviera.</w:t>
      </w:r>
    </w:p>
    <w:p w14:paraId="5DEB3CC0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Odporúča sa súčasne ošetriť všetky zvieratá žijúce v spoločnej domácnosti.</w:t>
      </w:r>
    </w:p>
    <w:p w14:paraId="24866ED0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Pri infekcii pásomnicou </w:t>
      </w:r>
      <w:r w:rsidRPr="009B1D9C">
        <w:rPr>
          <w:i/>
          <w:iCs/>
          <w:szCs w:val="22"/>
        </w:rPr>
        <w:t xml:space="preserve">D. </w:t>
      </w:r>
      <w:proofErr w:type="spellStart"/>
      <w:r w:rsidRPr="009B1D9C">
        <w:rPr>
          <w:i/>
          <w:iCs/>
          <w:szCs w:val="22"/>
        </w:rPr>
        <w:t>caninum</w:t>
      </w:r>
      <w:proofErr w:type="spellEnd"/>
      <w:r w:rsidRPr="009B1D9C">
        <w:rPr>
          <w:szCs w:val="22"/>
        </w:rPr>
        <w:t xml:space="preserve"> je potrebné konzultovať s veterinárnym lekárom súbežnú liečbu proti </w:t>
      </w:r>
      <w:proofErr w:type="spellStart"/>
      <w:r w:rsidRPr="009B1D9C">
        <w:rPr>
          <w:szCs w:val="22"/>
        </w:rPr>
        <w:t>medzihostiteľom</w:t>
      </w:r>
      <w:proofErr w:type="spellEnd"/>
      <w:r w:rsidRPr="009B1D9C">
        <w:rPr>
          <w:szCs w:val="22"/>
        </w:rPr>
        <w:t xml:space="preserve"> ako sú blchy a vši, aby sa zabránilo opakovanej infekcii. </w:t>
      </w:r>
    </w:p>
    <w:p w14:paraId="5455EBF7" w14:textId="42EE511D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Po častom, opakovanom použití </w:t>
      </w:r>
      <w:proofErr w:type="spellStart"/>
      <w:r w:rsidRPr="009B1D9C">
        <w:rPr>
          <w:szCs w:val="22"/>
        </w:rPr>
        <w:t>ant</w:t>
      </w:r>
      <w:r w:rsidR="0055344A" w:rsidRPr="009B1D9C">
        <w:rPr>
          <w:szCs w:val="22"/>
        </w:rPr>
        <w:t>i</w:t>
      </w:r>
      <w:r w:rsidRPr="009B1D9C">
        <w:rPr>
          <w:szCs w:val="22"/>
        </w:rPr>
        <w:t>helmintika</w:t>
      </w:r>
      <w:proofErr w:type="spellEnd"/>
      <w:r w:rsidRPr="009B1D9C">
        <w:rPr>
          <w:szCs w:val="22"/>
        </w:rPr>
        <w:t xml:space="preserve"> akejkoľvek triedy sa môže vyvinúť rezistencia parazitov na túto konkrétnu triedu </w:t>
      </w:r>
      <w:proofErr w:type="spellStart"/>
      <w:r w:rsidRPr="009B1D9C">
        <w:rPr>
          <w:szCs w:val="22"/>
        </w:rPr>
        <w:t>antihelmintík</w:t>
      </w:r>
      <w:proofErr w:type="spellEnd"/>
      <w:r w:rsidRPr="009B1D9C">
        <w:rPr>
          <w:szCs w:val="22"/>
        </w:rPr>
        <w:t xml:space="preserve">. </w:t>
      </w:r>
    </w:p>
    <w:p w14:paraId="7F4A4ABA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Odporúča sa ďalej vyšetriť prípady podozrenia na rezistenciu s využitím zodpovedajúcej diagnostickej metódy. Potvrdená rezistencia by mala byť hlásená držiteľovi rozhodnutia o registrácii alebo príslušným orgánom.</w:t>
      </w:r>
    </w:p>
    <w:p w14:paraId="6021C644" w14:textId="4BAA9868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Použitie vet</w:t>
      </w:r>
      <w:r w:rsidR="0055344A" w:rsidRPr="009B1D9C">
        <w:rPr>
          <w:szCs w:val="22"/>
        </w:rPr>
        <w:t>e</w:t>
      </w:r>
      <w:r w:rsidRPr="009B1D9C">
        <w:rPr>
          <w:szCs w:val="22"/>
        </w:rPr>
        <w:t>rinárneho lieku by malo byť založené na základe znalosti miestnej epidemiologickej informácie o citlivosti cieľových parazitov, ak sú k dispozícii.</w:t>
      </w:r>
    </w:p>
    <w:p w14:paraId="0AC012EC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lastRenderedPageBreak/>
        <w:t xml:space="preserve">Ak hrozí riziko </w:t>
      </w:r>
      <w:proofErr w:type="spellStart"/>
      <w:r w:rsidRPr="009B1D9C">
        <w:rPr>
          <w:szCs w:val="22"/>
        </w:rPr>
        <w:t>koinfekcie</w:t>
      </w:r>
      <w:proofErr w:type="spellEnd"/>
      <w:r w:rsidRPr="009B1D9C">
        <w:rPr>
          <w:szCs w:val="22"/>
        </w:rPr>
        <w:t xml:space="preserve"> s hlístami alebo pásomnicami, mal by sa použiť veterinárny liek s úzkym spektrom.</w:t>
      </w:r>
    </w:p>
    <w:p w14:paraId="01846EE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09F52B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Osobitné opatrenia na používanie u cieľových druhov</w:t>
      </w:r>
      <w:r w:rsidRPr="009B1D9C">
        <w:rPr>
          <w:szCs w:val="22"/>
        </w:rPr>
        <w:t>:</w:t>
      </w:r>
    </w:p>
    <w:p w14:paraId="11B120D5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Uistite sa, že mačky a mačiatka s hmotnosťou od 0,5 kg do ≤ 2 kg dostanú príslušnú silu tablety (4 mg milbemycínoximu/10 mg </w:t>
      </w:r>
      <w:proofErr w:type="spellStart"/>
      <w:r w:rsidRPr="009B1D9C">
        <w:rPr>
          <w:szCs w:val="22"/>
        </w:rPr>
        <w:t>prazikvantelu</w:t>
      </w:r>
      <w:proofErr w:type="spellEnd"/>
      <w:r w:rsidRPr="009B1D9C">
        <w:rPr>
          <w:szCs w:val="22"/>
        </w:rPr>
        <w:t>) a správnu dávku (½ alebo 1 tabletu) pre zodpovedajúce hmotnostné rozpätie (½ tablety pre mačky s hmotnosťou 0,5 až 1 kg; 1 tableta pre mačky s hmotnosťou &gt; 1 až 2 kg).</w:t>
      </w:r>
    </w:p>
    <w:p w14:paraId="5345540F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</w:p>
    <w:p w14:paraId="25B6A4A2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Neboli vykonané žiadne štúdie s veľmi oslabenými mačkami alebo jedincami s vážnym poškodením obličiek alebo funkcie pečene. Pre tieto zvieratá sa liek neodporúča alebo iba po zvážení pomeru rizika alebo prínosu zodpovedným veterinárnym lekárom.</w:t>
      </w:r>
    </w:p>
    <w:p w14:paraId="6AD6A4E1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Tablety sú ochutené. V záujme zabránenia nezamýšľaného požitia tablety uchovávajte mimo dosahu zvierat.</w:t>
      </w:r>
    </w:p>
    <w:p w14:paraId="51D29F6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183A1FE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Osobitné opatrenia, ktoré má urobiť osoba podávajúca liek zvieratám</w:t>
      </w:r>
      <w:r w:rsidRPr="009B1D9C">
        <w:rPr>
          <w:szCs w:val="22"/>
        </w:rPr>
        <w:t>:</w:t>
      </w:r>
    </w:p>
    <w:p w14:paraId="2539543A" w14:textId="3FAFBE2C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Tento veterinárny liek môže byť po požití škodlivý, najmä pre deti. V záujme zabránenia náhodného požitia veterinárny liek uchovávajte mimo dohľadu a dosahu detí. Nepoužité časti tabliet vráťte do otvoreného otvoru v </w:t>
      </w:r>
      <w:proofErr w:type="spellStart"/>
      <w:r w:rsidRPr="009B1D9C">
        <w:rPr>
          <w:szCs w:val="22"/>
        </w:rPr>
        <w:t>blistri</w:t>
      </w:r>
      <w:proofErr w:type="spellEnd"/>
      <w:r w:rsidRPr="009B1D9C">
        <w:rPr>
          <w:szCs w:val="22"/>
        </w:rPr>
        <w:t>, vložte späť do škatuľky a použite pri ďalšom podaní alebo bezpečne zlikvidujte (pozri časť „Špeciálne opatrenia na likvidáciu“).</w:t>
      </w:r>
    </w:p>
    <w:p w14:paraId="236107B8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V prípade náhodného požitia, predovšetkým deťmi, ihneď vyhľadajte lekársku pomoc a ukážte lekárovi písomnú informáciu pre používateľov alebo obal.</w:t>
      </w:r>
    </w:p>
    <w:p w14:paraId="5C71DEBB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Po podaní veterinárneho lieku si umyte ruky.</w:t>
      </w:r>
    </w:p>
    <w:p w14:paraId="64834942" w14:textId="77777777" w:rsidR="00AA0BE6" w:rsidRPr="009B1D9C" w:rsidRDefault="00AA0BE6" w:rsidP="00AA0BE6">
      <w:pPr>
        <w:rPr>
          <w:szCs w:val="22"/>
          <w:u w:val="single"/>
        </w:rPr>
      </w:pPr>
    </w:p>
    <w:p w14:paraId="1B9E5699" w14:textId="77777777" w:rsidR="00AA0BE6" w:rsidRPr="009B1D9C" w:rsidRDefault="00AA0BE6" w:rsidP="00AA0BE6">
      <w:pPr>
        <w:rPr>
          <w:szCs w:val="22"/>
        </w:rPr>
      </w:pPr>
      <w:r w:rsidRPr="009B1D9C">
        <w:rPr>
          <w:szCs w:val="22"/>
          <w:u w:val="single"/>
        </w:rPr>
        <w:t>Osobitné opatrenia na ochranu životného prostredia</w:t>
      </w:r>
      <w:r w:rsidRPr="009B1D9C">
        <w:rPr>
          <w:szCs w:val="22"/>
        </w:rPr>
        <w:t>:</w:t>
      </w:r>
    </w:p>
    <w:p w14:paraId="246CFB7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Neuplatňujú sa.</w:t>
      </w:r>
    </w:p>
    <w:p w14:paraId="03F7831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96D873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Gravidita a laktácia</w:t>
      </w:r>
      <w:r w:rsidRPr="009B1D9C">
        <w:rPr>
          <w:szCs w:val="22"/>
        </w:rPr>
        <w:t>:</w:t>
      </w:r>
    </w:p>
    <w:p w14:paraId="09E90BBF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Bezpečnosť veterinárneho lieku bola stanovená počas gravidity a laktácie.</w:t>
      </w:r>
    </w:p>
    <w:p w14:paraId="4C744BCB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Veterinárny liek sa môže použiť u gravidných a </w:t>
      </w:r>
      <w:proofErr w:type="spellStart"/>
      <w:r w:rsidRPr="009B1D9C">
        <w:rPr>
          <w:szCs w:val="22"/>
        </w:rPr>
        <w:t>laktujúcich</w:t>
      </w:r>
      <w:proofErr w:type="spellEnd"/>
      <w:r w:rsidRPr="009B1D9C">
        <w:rPr>
          <w:szCs w:val="22"/>
        </w:rPr>
        <w:t xml:space="preserve"> mačiek.</w:t>
      </w:r>
    </w:p>
    <w:p w14:paraId="248C876F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E347B40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Plodnosť</w:t>
      </w:r>
      <w:r w:rsidRPr="009B1D9C">
        <w:rPr>
          <w:szCs w:val="22"/>
        </w:rPr>
        <w:t>:</w:t>
      </w:r>
    </w:p>
    <w:p w14:paraId="7E691C7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Veterinárny liek sa môže použiť u chovných mačiek.</w:t>
      </w:r>
    </w:p>
    <w:p w14:paraId="2176EA3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6A04DF2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Interakcie s inými liekmi a ďalšie formy interakcií</w:t>
      </w:r>
      <w:r w:rsidRPr="009B1D9C">
        <w:rPr>
          <w:szCs w:val="22"/>
        </w:rPr>
        <w:t>:</w:t>
      </w:r>
    </w:p>
    <w:p w14:paraId="209A3792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Súčasné podávanie tabliet obsahujúcich </w:t>
      </w:r>
      <w:proofErr w:type="spellStart"/>
      <w:r w:rsidRPr="009B1D9C">
        <w:rPr>
          <w:szCs w:val="22"/>
        </w:rPr>
        <w:t>milbemycínoxim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prazikvantel</w:t>
      </w:r>
      <w:proofErr w:type="spellEnd"/>
      <w:r w:rsidRPr="009B1D9C">
        <w:rPr>
          <w:szCs w:val="22"/>
        </w:rPr>
        <w:t xml:space="preserve"> so </w:t>
      </w:r>
      <w:proofErr w:type="spellStart"/>
      <w:r w:rsidRPr="009B1D9C">
        <w:rPr>
          <w:szCs w:val="22"/>
        </w:rPr>
        <w:t>selamektínom</w:t>
      </w:r>
      <w:proofErr w:type="spellEnd"/>
      <w:r w:rsidRPr="009B1D9C">
        <w:rPr>
          <w:szCs w:val="22"/>
        </w:rPr>
        <w:t xml:space="preserve"> je veľmi dobre znášané. Pri podávaní odporúčanej dávky </w:t>
      </w:r>
      <w:proofErr w:type="spellStart"/>
      <w:r w:rsidRPr="009B1D9C">
        <w:rPr>
          <w:szCs w:val="22"/>
        </w:rPr>
        <w:t>makrocyklického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laktónu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selamektínu</w:t>
      </w:r>
      <w:proofErr w:type="spellEnd"/>
      <w:r w:rsidRPr="009B1D9C">
        <w:rPr>
          <w:szCs w:val="22"/>
        </w:rPr>
        <w:t xml:space="preserve"> počas liečby odporúčanou dávkou kombinácie </w:t>
      </w:r>
      <w:proofErr w:type="spellStart"/>
      <w:r w:rsidRPr="009B1D9C">
        <w:rPr>
          <w:szCs w:val="22"/>
        </w:rPr>
        <w:t>milbemycínoximu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prazikvantelu</w:t>
      </w:r>
      <w:proofErr w:type="spellEnd"/>
      <w:r w:rsidRPr="009B1D9C">
        <w:rPr>
          <w:szCs w:val="22"/>
        </w:rPr>
        <w:t xml:space="preserve"> neboli pozorované žiadne interakcie. Hoci sa to neodporúča, súčasné použitie tabliet obsahujúcich </w:t>
      </w:r>
      <w:proofErr w:type="spellStart"/>
      <w:r w:rsidRPr="009B1D9C">
        <w:rPr>
          <w:szCs w:val="22"/>
        </w:rPr>
        <w:t>milbemycínoxim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prazikvantel</w:t>
      </w:r>
      <w:proofErr w:type="spellEnd"/>
      <w:r w:rsidRPr="009B1D9C">
        <w:rPr>
          <w:szCs w:val="22"/>
        </w:rPr>
        <w:t xml:space="preserve"> s liekom vo forme </w:t>
      </w:r>
      <w:proofErr w:type="spellStart"/>
      <w:r w:rsidRPr="009B1D9C">
        <w:rPr>
          <w:szCs w:val="22"/>
        </w:rPr>
        <w:t>spot-on</w:t>
      </w:r>
      <w:proofErr w:type="spellEnd"/>
      <w:r w:rsidRPr="009B1D9C">
        <w:rPr>
          <w:szCs w:val="22"/>
        </w:rPr>
        <w:t xml:space="preserve"> roztoku s obsahom </w:t>
      </w:r>
      <w:proofErr w:type="spellStart"/>
      <w:r w:rsidRPr="009B1D9C">
        <w:rPr>
          <w:szCs w:val="22"/>
        </w:rPr>
        <w:t>moxidektínu</w:t>
      </w:r>
      <w:proofErr w:type="spellEnd"/>
      <w:r w:rsidRPr="009B1D9C">
        <w:rPr>
          <w:szCs w:val="22"/>
        </w:rPr>
        <w:t xml:space="preserve"> s </w:t>
      </w:r>
      <w:proofErr w:type="spellStart"/>
      <w:r w:rsidRPr="009B1D9C">
        <w:rPr>
          <w:szCs w:val="22"/>
        </w:rPr>
        <w:t>imidaklopridom</w:t>
      </w:r>
      <w:proofErr w:type="spellEnd"/>
      <w:r w:rsidRPr="009B1D9C">
        <w:rPr>
          <w:szCs w:val="22"/>
        </w:rPr>
        <w:t xml:space="preserve"> v odporúčanej dávke po jednorazovej aplikácii bolo v jednej laboratórnej štúdii s desiatimi mačiatkami </w:t>
      </w:r>
    </w:p>
    <w:p w14:paraId="5752A5FE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veľmi dobre znášané. </w:t>
      </w:r>
    </w:p>
    <w:p w14:paraId="18B6E5D4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Bezpečnosť a účinnosť súčasného použitia týchto liekov nebola skúmaná v terénnych štúdiách. Pri súčasnom podaní tabliet obsahujúcich </w:t>
      </w:r>
      <w:proofErr w:type="spellStart"/>
      <w:r w:rsidRPr="009B1D9C">
        <w:rPr>
          <w:szCs w:val="22"/>
        </w:rPr>
        <w:t>milbemycínoxim</w:t>
      </w:r>
      <w:proofErr w:type="spellEnd"/>
      <w:r w:rsidRPr="009B1D9C">
        <w:rPr>
          <w:szCs w:val="22"/>
        </w:rPr>
        <w:t xml:space="preserve"> a </w:t>
      </w:r>
      <w:proofErr w:type="spellStart"/>
      <w:r w:rsidRPr="009B1D9C">
        <w:rPr>
          <w:szCs w:val="22"/>
        </w:rPr>
        <w:t>prazikvantel</w:t>
      </w:r>
      <w:proofErr w:type="spellEnd"/>
      <w:r w:rsidRPr="009B1D9C">
        <w:rPr>
          <w:szCs w:val="22"/>
        </w:rPr>
        <w:t xml:space="preserve"> s inými </w:t>
      </w:r>
      <w:proofErr w:type="spellStart"/>
      <w:r w:rsidRPr="009B1D9C">
        <w:rPr>
          <w:szCs w:val="22"/>
        </w:rPr>
        <w:t>makrocyklickými</w:t>
      </w:r>
      <w:proofErr w:type="spellEnd"/>
      <w:r w:rsidRPr="009B1D9C">
        <w:rPr>
          <w:szCs w:val="22"/>
        </w:rPr>
        <w:t xml:space="preserve"> </w:t>
      </w:r>
      <w:proofErr w:type="spellStart"/>
      <w:r w:rsidRPr="009B1D9C">
        <w:rPr>
          <w:szCs w:val="22"/>
        </w:rPr>
        <w:t>laktónmi</w:t>
      </w:r>
      <w:proofErr w:type="spellEnd"/>
      <w:r w:rsidRPr="009B1D9C">
        <w:rPr>
          <w:szCs w:val="22"/>
        </w:rPr>
        <w:t xml:space="preserve"> je potrebná osobitná opatrnosť, pretože nie sú dostupné ďalšie štúdie. Takéto štúdie neboli vykonané ani u chovných zvierat.</w:t>
      </w:r>
    </w:p>
    <w:p w14:paraId="5A38D31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1067BF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Predávkovanie</w:t>
      </w:r>
      <w:r w:rsidRPr="009B1D9C">
        <w:rPr>
          <w:szCs w:val="22"/>
        </w:rPr>
        <w:t>:</w:t>
      </w:r>
    </w:p>
    <w:p w14:paraId="62232602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V prípade predávkovania bolo pozorované zvýšené slinenie okrem príznakov pozorovaných po podaní odporúčanej dávky (pozri časť „Nežiaduce účinky“). Tento príznak vymizne spontánne v priebehu jedného dňa.</w:t>
      </w:r>
    </w:p>
    <w:p w14:paraId="2A87511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43E98FB" w14:textId="77777777" w:rsidR="00AA0BE6" w:rsidRPr="009B1D9C" w:rsidRDefault="00AA0BE6" w:rsidP="00AA0BE6">
      <w:pPr>
        <w:rPr>
          <w:szCs w:val="22"/>
        </w:rPr>
      </w:pPr>
      <w:r w:rsidRPr="009B1D9C">
        <w:rPr>
          <w:szCs w:val="22"/>
          <w:u w:val="single"/>
        </w:rPr>
        <w:t>Osobitné obmedzenia používania a osobitné podmienky používania</w:t>
      </w:r>
      <w:r w:rsidRPr="009B1D9C">
        <w:rPr>
          <w:szCs w:val="22"/>
        </w:rPr>
        <w:t>:</w:t>
      </w:r>
    </w:p>
    <w:p w14:paraId="107F87F3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Neuplatňujú sa.</w:t>
      </w:r>
    </w:p>
    <w:p w14:paraId="078F3E4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1D55B09B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t>Závažné inkompatibility</w:t>
      </w:r>
      <w:r w:rsidRPr="009B1D9C">
        <w:rPr>
          <w:szCs w:val="22"/>
        </w:rPr>
        <w:t>:</w:t>
      </w:r>
    </w:p>
    <w:p w14:paraId="7B64F4F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Neuplatňujú sa.</w:t>
      </w:r>
    </w:p>
    <w:p w14:paraId="67DC19E3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  <w:u w:val="single"/>
        </w:rPr>
        <w:lastRenderedPageBreak/>
        <w:t>Ďalšie opatrenia</w:t>
      </w:r>
      <w:r w:rsidRPr="009B1D9C">
        <w:rPr>
          <w:szCs w:val="22"/>
        </w:rPr>
        <w:t>:</w:t>
      </w:r>
    </w:p>
    <w:p w14:paraId="3DBE2A24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Echinokokóza</w:t>
      </w:r>
      <w:proofErr w:type="spellEnd"/>
      <w:r w:rsidRPr="009B1D9C">
        <w:rPr>
          <w:szCs w:val="22"/>
        </w:rPr>
        <w:t xml:space="preserve"> predstavuje riziko pre človeka. Vzhľadom na to, že </w:t>
      </w:r>
      <w:proofErr w:type="spellStart"/>
      <w:r w:rsidRPr="009B1D9C">
        <w:rPr>
          <w:szCs w:val="22"/>
        </w:rPr>
        <w:t>echinokokóza</w:t>
      </w:r>
      <w:proofErr w:type="spellEnd"/>
      <w:r w:rsidRPr="009B1D9C">
        <w:rPr>
          <w:szCs w:val="22"/>
        </w:rPr>
        <w:t xml:space="preserve"> je ochorenie podliehajúce hláseniu Svetovej organizácii pre zdravie zvierat (WOAH), konkrétne pokyny pre ošetrovanie a následný postup a pokyny na ochranu osôb je potrebné získať od kompetentného úradu (napr. odborníkov alebo parazitologických ústavov).</w:t>
      </w:r>
    </w:p>
    <w:p w14:paraId="2BC959A0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66802391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7.</w:t>
      </w:r>
      <w:r w:rsidRPr="009B1D9C">
        <w:tab/>
        <w:t>Nežiaduce účinky</w:t>
      </w:r>
    </w:p>
    <w:p w14:paraId="5CE166B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2E49A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Mačky: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0BE6" w:rsidRPr="009B1D9C" w14:paraId="44948EC8" w14:textId="77777777" w:rsidTr="00000021">
        <w:tc>
          <w:tcPr>
            <w:tcW w:w="9061" w:type="dxa"/>
          </w:tcPr>
          <w:p w14:paraId="60CD71D3" w14:textId="77777777" w:rsidR="00AA0BE6" w:rsidRPr="009B1D9C" w:rsidRDefault="00AA0BE6" w:rsidP="00000021">
            <w:pPr>
              <w:spacing w:before="60" w:after="60"/>
              <w:rPr>
                <w:szCs w:val="22"/>
              </w:rPr>
            </w:pPr>
            <w:r w:rsidRPr="009B1D9C">
              <w:rPr>
                <w:szCs w:val="22"/>
              </w:rPr>
              <w:t>Veľmi zriedkavé (u menej ako 1 z 10 000 liečených zvierat, vrátane ojedinelých hlásení):</w:t>
            </w:r>
          </w:p>
        </w:tc>
      </w:tr>
      <w:tr w:rsidR="00AA0BE6" w:rsidRPr="009B1D9C" w14:paraId="4E1CAD3F" w14:textId="77777777" w:rsidTr="00000021">
        <w:tc>
          <w:tcPr>
            <w:tcW w:w="9061" w:type="dxa"/>
          </w:tcPr>
          <w:p w14:paraId="12367469" w14:textId="77777777" w:rsidR="00AA0BE6" w:rsidRPr="009B1D9C" w:rsidRDefault="00AA0BE6" w:rsidP="00000021">
            <w:pPr>
              <w:spacing w:before="60" w:after="60"/>
              <w:rPr>
                <w:szCs w:val="22"/>
              </w:rPr>
            </w:pPr>
            <w:proofErr w:type="spellStart"/>
            <w:r w:rsidRPr="009B1D9C">
              <w:rPr>
                <w:szCs w:val="22"/>
              </w:rPr>
              <w:t>Hypersenzitívne</w:t>
            </w:r>
            <w:proofErr w:type="spellEnd"/>
            <w:r w:rsidRPr="009B1D9C">
              <w:rPr>
                <w:szCs w:val="22"/>
              </w:rPr>
              <w:t xml:space="preserve"> reakcie</w:t>
            </w:r>
            <w:r w:rsidRPr="009B1D9C">
              <w:rPr>
                <w:iCs/>
                <w:szCs w:val="22"/>
                <w:vertAlign w:val="superscript"/>
              </w:rPr>
              <w:t>1</w:t>
            </w:r>
            <w:r w:rsidRPr="009B1D9C">
              <w:rPr>
                <w:iCs/>
                <w:szCs w:val="22"/>
              </w:rPr>
              <w:t>, Systémové príznaky</w:t>
            </w:r>
            <w:r w:rsidRPr="009B1D9C">
              <w:rPr>
                <w:iCs/>
                <w:szCs w:val="22"/>
                <w:vertAlign w:val="superscript"/>
              </w:rPr>
              <w:t>1</w:t>
            </w:r>
            <w:r w:rsidRPr="009B1D9C">
              <w:rPr>
                <w:iCs/>
                <w:szCs w:val="22"/>
              </w:rPr>
              <w:t xml:space="preserve"> (napr. letargia), Neurologické príznaky</w:t>
            </w:r>
            <w:r w:rsidRPr="009B1D9C">
              <w:rPr>
                <w:iCs/>
                <w:szCs w:val="22"/>
                <w:vertAlign w:val="superscript"/>
              </w:rPr>
              <w:t>1</w:t>
            </w:r>
            <w:r w:rsidRPr="009B1D9C">
              <w:rPr>
                <w:iCs/>
                <w:szCs w:val="22"/>
              </w:rPr>
              <w:t xml:space="preserve"> (napr. </w:t>
            </w:r>
            <w:proofErr w:type="spellStart"/>
            <w:r w:rsidRPr="009B1D9C">
              <w:rPr>
                <w:iCs/>
                <w:szCs w:val="22"/>
              </w:rPr>
              <w:t>ataxia</w:t>
            </w:r>
            <w:proofErr w:type="spellEnd"/>
            <w:r w:rsidRPr="009B1D9C">
              <w:rPr>
                <w:iCs/>
                <w:szCs w:val="22"/>
              </w:rPr>
              <w:t xml:space="preserve">, svalový </w:t>
            </w:r>
            <w:proofErr w:type="spellStart"/>
            <w:r w:rsidRPr="009B1D9C">
              <w:rPr>
                <w:iCs/>
                <w:szCs w:val="22"/>
              </w:rPr>
              <w:t>tremor</w:t>
            </w:r>
            <w:proofErr w:type="spellEnd"/>
            <w:r w:rsidRPr="009B1D9C">
              <w:rPr>
                <w:iCs/>
                <w:szCs w:val="22"/>
              </w:rPr>
              <w:t xml:space="preserve">), </w:t>
            </w:r>
            <w:proofErr w:type="spellStart"/>
            <w:r w:rsidRPr="009B1D9C">
              <w:rPr>
                <w:iCs/>
                <w:szCs w:val="22"/>
              </w:rPr>
              <w:t>Gastrointestinálne</w:t>
            </w:r>
            <w:proofErr w:type="spellEnd"/>
            <w:r w:rsidRPr="009B1D9C">
              <w:rPr>
                <w:iCs/>
                <w:szCs w:val="22"/>
              </w:rPr>
              <w:t xml:space="preserve"> príznaky</w:t>
            </w:r>
            <w:r w:rsidRPr="009B1D9C">
              <w:rPr>
                <w:iCs/>
                <w:szCs w:val="22"/>
                <w:vertAlign w:val="superscript"/>
              </w:rPr>
              <w:t>1</w:t>
            </w:r>
            <w:r w:rsidRPr="009B1D9C">
              <w:rPr>
                <w:iCs/>
                <w:szCs w:val="22"/>
              </w:rPr>
              <w:t xml:space="preserve"> (napr. zvracanie a hnačka)</w:t>
            </w:r>
          </w:p>
        </w:tc>
      </w:tr>
    </w:tbl>
    <w:p w14:paraId="3D2F203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iCs/>
          <w:szCs w:val="22"/>
          <w:vertAlign w:val="superscript"/>
        </w:rPr>
        <w:t xml:space="preserve">1 </w:t>
      </w:r>
      <w:r w:rsidRPr="009B1D9C">
        <w:rPr>
          <w:szCs w:val="22"/>
        </w:rPr>
        <w:t>Najmä u mladých mačiek</w:t>
      </w:r>
    </w:p>
    <w:p w14:paraId="53F34E5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107B0D" w14:textId="5BE2ED9A" w:rsidR="00AA0BE6" w:rsidRPr="009B1D9C" w:rsidRDefault="00AA0BE6" w:rsidP="00AA0BE6">
      <w:pPr>
        <w:rPr>
          <w:szCs w:val="22"/>
        </w:rPr>
      </w:pPr>
      <w:r w:rsidRPr="009B1D9C">
        <w:rPr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prostredníctvom kontaktných údajov na konci tejto písomnej informácie alebo prostredníctvom národného systému hlásenia</w:t>
      </w:r>
      <w:r w:rsidR="00504BF7" w:rsidRPr="009B1D9C">
        <w:rPr>
          <w:szCs w:val="22"/>
        </w:rPr>
        <w:t>:</w:t>
      </w:r>
    </w:p>
    <w:p w14:paraId="511D3591" w14:textId="77777777" w:rsidR="00504BF7" w:rsidRPr="009B1D9C" w:rsidRDefault="00504BF7" w:rsidP="00504BF7">
      <w:pPr>
        <w:rPr>
          <w:rFonts w:eastAsiaTheme="minorEastAsia"/>
          <w:noProof/>
          <w:szCs w:val="22"/>
          <w:lang w:eastAsia="sk-SK"/>
        </w:rPr>
      </w:pPr>
      <w:r w:rsidRPr="009B1D9C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689CCEEB" w14:textId="77777777" w:rsidR="00504BF7" w:rsidRPr="009B1D9C" w:rsidRDefault="00504BF7" w:rsidP="00504BF7">
      <w:pPr>
        <w:rPr>
          <w:rFonts w:eastAsiaTheme="minorEastAsia"/>
          <w:noProof/>
          <w:szCs w:val="22"/>
          <w:lang w:eastAsia="sk-SK"/>
        </w:rPr>
      </w:pPr>
      <w:r w:rsidRPr="009B1D9C">
        <w:rPr>
          <w:rFonts w:eastAsiaTheme="minorEastAsia"/>
          <w:noProof/>
          <w:szCs w:val="22"/>
          <w:lang w:eastAsia="sk-SK"/>
        </w:rPr>
        <w:t>Biovetská 34</w:t>
      </w:r>
    </w:p>
    <w:p w14:paraId="62BB0601" w14:textId="77777777" w:rsidR="00504BF7" w:rsidRPr="009B1D9C" w:rsidRDefault="00504BF7" w:rsidP="00504BF7">
      <w:pPr>
        <w:rPr>
          <w:rFonts w:eastAsiaTheme="minorEastAsia"/>
          <w:noProof/>
          <w:szCs w:val="22"/>
          <w:lang w:eastAsia="sk-SK"/>
        </w:rPr>
      </w:pPr>
      <w:r w:rsidRPr="009B1D9C">
        <w:rPr>
          <w:rFonts w:eastAsiaTheme="minorEastAsia"/>
          <w:noProof/>
          <w:szCs w:val="22"/>
          <w:lang w:eastAsia="sk-SK"/>
        </w:rPr>
        <w:t>949 01 Nitra</w:t>
      </w:r>
    </w:p>
    <w:p w14:paraId="3BE23F23" w14:textId="77777777" w:rsidR="00504BF7" w:rsidRPr="009B1D9C" w:rsidRDefault="00504BF7" w:rsidP="00504BF7">
      <w:pPr>
        <w:rPr>
          <w:rFonts w:eastAsiaTheme="minorEastAsia"/>
          <w:noProof/>
          <w:szCs w:val="22"/>
          <w:lang w:eastAsia="sk-SK"/>
        </w:rPr>
      </w:pPr>
      <w:r w:rsidRPr="009B1D9C">
        <w:rPr>
          <w:rFonts w:eastAsiaTheme="minorEastAsia"/>
          <w:noProof/>
          <w:szCs w:val="22"/>
          <w:lang w:eastAsia="sk-SK"/>
        </w:rPr>
        <w:t>Slovenská republika</w:t>
      </w:r>
    </w:p>
    <w:p w14:paraId="719CF555" w14:textId="77777777" w:rsidR="00504BF7" w:rsidRPr="009B1D9C" w:rsidRDefault="00504BF7" w:rsidP="00504BF7">
      <w:pPr>
        <w:rPr>
          <w:rFonts w:eastAsiaTheme="minorEastAsia"/>
          <w:noProof/>
          <w:szCs w:val="22"/>
          <w:lang w:eastAsia="sk-SK"/>
        </w:rPr>
      </w:pPr>
      <w:r w:rsidRPr="009B1D9C">
        <w:rPr>
          <w:rFonts w:eastAsiaTheme="minorEastAsia"/>
          <w:noProof/>
          <w:szCs w:val="22"/>
          <w:lang w:eastAsia="sk-SK"/>
        </w:rPr>
        <w:t>Tel.: +421 37 69 33 541</w:t>
      </w:r>
    </w:p>
    <w:p w14:paraId="2D7CB2FE" w14:textId="77777777" w:rsidR="00504BF7" w:rsidRPr="009B1D9C" w:rsidRDefault="00504BF7" w:rsidP="00504BF7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9B1D9C">
        <w:rPr>
          <w:noProof/>
          <w:szCs w:val="22"/>
          <w:lang w:val="nl-NL"/>
        </w:rPr>
        <w:t xml:space="preserve">e-mail: </w:t>
      </w:r>
      <w:hyperlink r:id="rId11" w:history="1">
        <w:r w:rsidRPr="009B1D9C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23EB9085" w14:textId="77777777" w:rsidR="00504BF7" w:rsidRPr="009B1D9C" w:rsidRDefault="00504BF7" w:rsidP="00504BF7">
      <w:pPr>
        <w:rPr>
          <w:rFonts w:eastAsia="Calibri"/>
          <w:szCs w:val="22"/>
          <w:lang w:val="pt-PT" w:eastAsia="zh-CN"/>
        </w:rPr>
      </w:pPr>
      <w:r w:rsidRPr="009B1D9C">
        <w:rPr>
          <w:szCs w:val="22"/>
        </w:rPr>
        <w:t xml:space="preserve">Webová stránka: </w:t>
      </w:r>
      <w:hyperlink r:id="rId12" w:history="1">
        <w:r w:rsidRPr="009B1D9C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9B1D9C">
        <w:rPr>
          <w:rFonts w:eastAsia="Calibri"/>
          <w:szCs w:val="22"/>
          <w:lang w:val="pt-PT" w:eastAsia="zh-CN"/>
        </w:rPr>
        <w:t xml:space="preserve"> ,  časť Farmakovigilancia</w:t>
      </w:r>
    </w:p>
    <w:p w14:paraId="17E8C53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E25799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8.</w:t>
      </w:r>
      <w:r w:rsidRPr="009B1D9C">
        <w:tab/>
        <w:t>Dávkovanie pre každý druh, cesty a spôsob podania lieku</w:t>
      </w:r>
    </w:p>
    <w:p w14:paraId="21475E2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89FF249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Perorálne podanie.</w:t>
      </w:r>
    </w:p>
    <w:p w14:paraId="1B1E9005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Minimálna odporúčaná dávka: 2 mg </w:t>
      </w:r>
      <w:proofErr w:type="spellStart"/>
      <w:r w:rsidRPr="009B1D9C">
        <w:rPr>
          <w:szCs w:val="22"/>
        </w:rPr>
        <w:t>milbemycínoximu</w:t>
      </w:r>
      <w:proofErr w:type="spellEnd"/>
      <w:r w:rsidRPr="009B1D9C">
        <w:rPr>
          <w:szCs w:val="22"/>
        </w:rPr>
        <w:t xml:space="preserve"> a 5 mg </w:t>
      </w:r>
      <w:proofErr w:type="spellStart"/>
      <w:r w:rsidRPr="009B1D9C">
        <w:rPr>
          <w:szCs w:val="22"/>
        </w:rPr>
        <w:t>prazikvantelu</w:t>
      </w:r>
      <w:proofErr w:type="spellEnd"/>
      <w:r w:rsidRPr="009B1D9C">
        <w:rPr>
          <w:szCs w:val="22"/>
        </w:rPr>
        <w:t xml:space="preserve"> na kg živej hmotnosti perorálne, jednorazovo. V závislosti od živej hmotnosti mačky je praktické nasledovné dávkovanie:</w:t>
      </w:r>
    </w:p>
    <w:p w14:paraId="7E87DDD0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3818" w:type="dxa"/>
        <w:jc w:val="center"/>
        <w:tblLayout w:type="fixed"/>
        <w:tblLook w:val="0400" w:firstRow="0" w:lastRow="0" w:firstColumn="0" w:lastColumn="0" w:noHBand="0" w:noVBand="1"/>
      </w:tblPr>
      <w:tblGrid>
        <w:gridCol w:w="1833"/>
        <w:gridCol w:w="1985"/>
      </w:tblGrid>
      <w:tr w:rsidR="00504BF7" w:rsidRPr="009B1D9C" w14:paraId="69BE8BD8" w14:textId="77777777" w:rsidTr="00847849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57823" w14:textId="77777777" w:rsidR="00504BF7" w:rsidRPr="009B1D9C" w:rsidRDefault="00504BF7" w:rsidP="00847849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szCs w:val="22"/>
                <w:lang w:val="cs"/>
              </w:rPr>
              <w:t xml:space="preserve">Živá </w:t>
            </w:r>
            <w:proofErr w:type="spellStart"/>
            <w:r w:rsidRPr="009B1D9C">
              <w:rPr>
                <w:szCs w:val="22"/>
                <w:lang w:val="cs"/>
              </w:rPr>
              <w:t>hmotnosť</w:t>
            </w:r>
            <w:proofErr w:type="spellEnd"/>
            <w:r w:rsidRPr="009B1D9C">
              <w:rPr>
                <w:szCs w:val="22"/>
                <w:lang w:val="cs"/>
              </w:rPr>
              <w:t xml:space="preserve"> (kg)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EAF0F" w14:textId="77777777" w:rsidR="00504BF7" w:rsidRPr="009B1D9C" w:rsidRDefault="00504BF7" w:rsidP="00847849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szCs w:val="22"/>
                <w:lang w:val="cs"/>
              </w:rPr>
              <w:t>16 mg / 40 mg obalené tablety</w:t>
            </w:r>
          </w:p>
        </w:tc>
      </w:tr>
      <w:tr w:rsidR="00504BF7" w:rsidRPr="009B1D9C" w14:paraId="426AC13F" w14:textId="77777777" w:rsidTr="00847849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7BC8D" w14:textId="77777777" w:rsidR="00504BF7" w:rsidRPr="009B1D9C" w:rsidRDefault="00504BF7" w:rsidP="00847849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rFonts w:eastAsia="Calibri"/>
                <w:color w:val="000000"/>
                <w:szCs w:val="22"/>
              </w:rPr>
              <w:t>2-4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95A52" w14:textId="77777777" w:rsidR="00504BF7" w:rsidRPr="009B1D9C" w:rsidRDefault="00504BF7" w:rsidP="00847849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szCs w:val="22"/>
                <w:lang w:val="cs"/>
              </w:rPr>
              <w:t>1/2 tablety</w:t>
            </w:r>
          </w:p>
        </w:tc>
      </w:tr>
      <w:tr w:rsidR="00504BF7" w:rsidRPr="009B1D9C" w14:paraId="37C6F898" w14:textId="77777777" w:rsidTr="00847849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7657" w14:textId="77777777" w:rsidR="00504BF7" w:rsidRPr="009B1D9C" w:rsidRDefault="00504BF7" w:rsidP="00847849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rFonts w:eastAsia="Calibri"/>
                <w:color w:val="000000"/>
                <w:szCs w:val="22"/>
              </w:rPr>
              <w:t>&gt;4-8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CA306" w14:textId="77777777" w:rsidR="00504BF7" w:rsidRPr="009B1D9C" w:rsidRDefault="00504BF7" w:rsidP="00847849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9B1D9C">
              <w:rPr>
                <w:szCs w:val="22"/>
                <w:lang w:val="cs"/>
              </w:rPr>
              <w:t>1 tableta</w:t>
            </w:r>
          </w:p>
        </w:tc>
      </w:tr>
      <w:tr w:rsidR="00504BF7" w:rsidRPr="009B1D9C" w14:paraId="786D8AF4" w14:textId="77777777" w:rsidTr="00847849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A9C5" w14:textId="77777777" w:rsidR="00504BF7" w:rsidRPr="009B1D9C" w:rsidRDefault="00504BF7" w:rsidP="00847849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 w:rsidRPr="009B1D9C">
              <w:rPr>
                <w:rFonts w:eastAsia="Calibri"/>
                <w:color w:val="000000"/>
                <w:szCs w:val="22"/>
              </w:rPr>
              <w:t>&gt;8-12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CE080" w14:textId="77777777" w:rsidR="00504BF7" w:rsidRPr="009B1D9C" w:rsidRDefault="00504BF7" w:rsidP="00847849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 w:rsidRPr="009B1D9C">
              <w:rPr>
                <w:szCs w:val="22"/>
                <w:lang w:val="cs"/>
              </w:rPr>
              <w:t>1 + ½ tablety</w:t>
            </w:r>
          </w:p>
        </w:tc>
      </w:tr>
    </w:tbl>
    <w:p w14:paraId="1D78A79B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</w:p>
    <w:p w14:paraId="1F8B44BE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Pri prevencii </w:t>
      </w:r>
      <w:proofErr w:type="spellStart"/>
      <w:r w:rsidRPr="009B1D9C">
        <w:rPr>
          <w:szCs w:val="22"/>
        </w:rPr>
        <w:t>dirofilariózy</w:t>
      </w:r>
      <w:proofErr w:type="spellEnd"/>
      <w:r w:rsidRPr="009B1D9C">
        <w:rPr>
          <w:szCs w:val="22"/>
        </w:rPr>
        <w:t xml:space="preserve"> a ak je súčasne požadované ošetrenie proti pásomniciam, môže veterinárny liek nahradiť </w:t>
      </w:r>
      <w:proofErr w:type="spellStart"/>
      <w:r w:rsidRPr="009B1D9C">
        <w:rPr>
          <w:szCs w:val="22"/>
        </w:rPr>
        <w:t>monovalentný</w:t>
      </w:r>
      <w:proofErr w:type="spellEnd"/>
      <w:r w:rsidRPr="009B1D9C">
        <w:rPr>
          <w:szCs w:val="22"/>
        </w:rPr>
        <w:t xml:space="preserve"> liek na prevenciu </w:t>
      </w:r>
      <w:proofErr w:type="spellStart"/>
      <w:r w:rsidRPr="009B1D9C">
        <w:rPr>
          <w:szCs w:val="22"/>
        </w:rPr>
        <w:t>dirofilariózy</w:t>
      </w:r>
      <w:proofErr w:type="spellEnd"/>
      <w:r w:rsidRPr="009B1D9C">
        <w:rPr>
          <w:szCs w:val="22"/>
        </w:rPr>
        <w:t xml:space="preserve">. Veterinárny liek pôsobí preventívne proti </w:t>
      </w:r>
      <w:proofErr w:type="spellStart"/>
      <w:r w:rsidRPr="009B1D9C">
        <w:rPr>
          <w:szCs w:val="22"/>
        </w:rPr>
        <w:t>dirofilarióze</w:t>
      </w:r>
      <w:proofErr w:type="spellEnd"/>
      <w:r w:rsidRPr="009B1D9C">
        <w:rPr>
          <w:szCs w:val="22"/>
        </w:rPr>
        <w:t xml:space="preserve"> po dobu jedného mesiaca. Na bežnú prevenciu </w:t>
      </w:r>
      <w:proofErr w:type="spellStart"/>
      <w:r w:rsidRPr="009B1D9C">
        <w:rPr>
          <w:szCs w:val="22"/>
        </w:rPr>
        <w:t>dirofilariózy</w:t>
      </w:r>
      <w:proofErr w:type="spellEnd"/>
      <w:r w:rsidRPr="009B1D9C">
        <w:rPr>
          <w:szCs w:val="22"/>
        </w:rPr>
        <w:t xml:space="preserve"> sa odporúča dať prednosť </w:t>
      </w:r>
      <w:proofErr w:type="spellStart"/>
      <w:r w:rsidRPr="009B1D9C">
        <w:rPr>
          <w:szCs w:val="22"/>
        </w:rPr>
        <w:t>monovalentnému</w:t>
      </w:r>
      <w:proofErr w:type="spellEnd"/>
      <w:r w:rsidRPr="009B1D9C">
        <w:rPr>
          <w:szCs w:val="22"/>
        </w:rPr>
        <w:t xml:space="preserve"> lieku.</w:t>
      </w:r>
    </w:p>
    <w:p w14:paraId="3CD8E54C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1D9C">
        <w:rPr>
          <w:szCs w:val="22"/>
        </w:rPr>
        <w:t>Poddávkovanie</w:t>
      </w:r>
      <w:proofErr w:type="spellEnd"/>
      <w:r w:rsidRPr="009B1D9C">
        <w:rPr>
          <w:szCs w:val="22"/>
        </w:rPr>
        <w:t xml:space="preserve"> môže viesť k neúčinnému podaniu a mohlo by podporiť rozvoj rezistencie.</w:t>
      </w:r>
    </w:p>
    <w:p w14:paraId="67E157E5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Potreba a frekvencia opakovanej liečby by mala vychádzať z odborného posúdenia a mala by zohľadňovať miestnu epidemiologickú situáciu a životný štýl zvieraťa.</w:t>
      </w:r>
    </w:p>
    <w:p w14:paraId="09B613E8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926583D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9.</w:t>
      </w:r>
      <w:r w:rsidRPr="009B1D9C">
        <w:tab/>
        <w:t>Pokyn o správnom podaní</w:t>
      </w:r>
    </w:p>
    <w:p w14:paraId="3F13F56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261AB14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Veterinárny liek sa podáva s krmivom alebo po kŕmení. Tak je možné zaistiť optimálnu ochranu pred </w:t>
      </w:r>
      <w:proofErr w:type="spellStart"/>
      <w:r w:rsidRPr="009B1D9C">
        <w:rPr>
          <w:szCs w:val="22"/>
        </w:rPr>
        <w:t>dirofilariózou</w:t>
      </w:r>
      <w:proofErr w:type="spellEnd"/>
      <w:r w:rsidRPr="009B1D9C">
        <w:rPr>
          <w:szCs w:val="22"/>
        </w:rPr>
        <w:t>.</w:t>
      </w:r>
    </w:p>
    <w:p w14:paraId="515E880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96499E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10.</w:t>
      </w:r>
      <w:r w:rsidRPr="009B1D9C">
        <w:tab/>
        <w:t>Ochranné lehoty</w:t>
      </w:r>
    </w:p>
    <w:p w14:paraId="4A9305A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A78EF2" w14:textId="27928585" w:rsidR="00AA0BE6" w:rsidRPr="009B1D9C" w:rsidRDefault="00AA0BE6" w:rsidP="00AA0BE6">
      <w:pPr>
        <w:tabs>
          <w:tab w:val="clear" w:pos="567"/>
        </w:tabs>
        <w:spacing w:line="240" w:lineRule="auto"/>
        <w:rPr>
          <w:iCs/>
          <w:szCs w:val="22"/>
        </w:rPr>
      </w:pPr>
      <w:r w:rsidRPr="009B1D9C">
        <w:rPr>
          <w:szCs w:val="22"/>
        </w:rPr>
        <w:t>Netýka sa.</w:t>
      </w:r>
    </w:p>
    <w:p w14:paraId="4323CF07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lastRenderedPageBreak/>
        <w:t>11.</w:t>
      </w:r>
      <w:r w:rsidRPr="009B1D9C">
        <w:tab/>
        <w:t>Osobitné opatrenia na uchovávanie</w:t>
      </w:r>
    </w:p>
    <w:p w14:paraId="4FCA15C9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6B29C7C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Uchovávať mimo dohľadu a dosahu detí.</w:t>
      </w:r>
    </w:p>
    <w:p w14:paraId="5D29FA11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8ED52FC" w14:textId="77777777" w:rsidR="00504BF7" w:rsidRPr="009B1D9C" w:rsidRDefault="00504BF7" w:rsidP="00504BF7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Nepoužité časti tabliet vrátiť do otvoreného otvoru v </w:t>
      </w:r>
      <w:proofErr w:type="spellStart"/>
      <w:r w:rsidRPr="009B1D9C">
        <w:rPr>
          <w:szCs w:val="22"/>
        </w:rPr>
        <w:t>blistri</w:t>
      </w:r>
      <w:proofErr w:type="spellEnd"/>
      <w:r w:rsidRPr="009B1D9C">
        <w:rPr>
          <w:szCs w:val="22"/>
        </w:rPr>
        <w:t>, vložiť späť do škatuľky a použiť pri ďalšom podaní alebo bezpečne zlikvidovať (pozri časť „Špeciálne opatrenia na likvidáciu“).</w:t>
      </w:r>
    </w:p>
    <w:p w14:paraId="63A113FE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588E139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Chrániť pred svetlom.</w:t>
      </w:r>
    </w:p>
    <w:p w14:paraId="5F351B66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3691424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Nepoužívať tento veterinárny liek po dátume exspirácie uvedenom na škatuli a na </w:t>
      </w:r>
      <w:proofErr w:type="spellStart"/>
      <w:r w:rsidRPr="009B1D9C">
        <w:rPr>
          <w:szCs w:val="22"/>
        </w:rPr>
        <w:t>blistri</w:t>
      </w:r>
      <w:proofErr w:type="spellEnd"/>
      <w:r w:rsidRPr="009B1D9C">
        <w:rPr>
          <w:szCs w:val="22"/>
        </w:rPr>
        <w:t xml:space="preserve"> po </w:t>
      </w:r>
      <w:proofErr w:type="spellStart"/>
      <w:r w:rsidRPr="009B1D9C">
        <w:rPr>
          <w:szCs w:val="22"/>
        </w:rPr>
        <w:t>Exp</w:t>
      </w:r>
      <w:proofErr w:type="spellEnd"/>
      <w:r w:rsidRPr="009B1D9C">
        <w:rPr>
          <w:szCs w:val="22"/>
        </w:rPr>
        <w:t>. Dátum exspirácie sa vzťahuje na posledný deň v uvedenom mesiaci.</w:t>
      </w:r>
    </w:p>
    <w:p w14:paraId="413654C3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5E92B5" w14:textId="77777777" w:rsidR="00AA0BE6" w:rsidRPr="009B1D9C" w:rsidRDefault="00AA0BE6" w:rsidP="00AA0B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Čas použiteľnosti rozpolenej tablety po prvom otvorení </w:t>
      </w:r>
      <w:proofErr w:type="spellStart"/>
      <w:r w:rsidRPr="009B1D9C">
        <w:rPr>
          <w:szCs w:val="22"/>
        </w:rPr>
        <w:t>blistra</w:t>
      </w:r>
      <w:proofErr w:type="spellEnd"/>
      <w:r w:rsidRPr="009B1D9C">
        <w:rPr>
          <w:szCs w:val="22"/>
        </w:rPr>
        <w:t>: 6 mesiacov.</w:t>
      </w:r>
    </w:p>
    <w:p w14:paraId="2E95654A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45B8241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12.</w:t>
      </w:r>
      <w:r w:rsidRPr="009B1D9C">
        <w:tab/>
        <w:t>Špeciálne opatrenia na likvidáciu</w:t>
      </w:r>
    </w:p>
    <w:p w14:paraId="35A0BE3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72AD620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Nelikvidujte lieky odpadovou vodou alebo domovým odpadom.</w:t>
      </w:r>
    </w:p>
    <w:p w14:paraId="0097570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8F36EC1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Tento veterinárny liek nesmie kontaminovať vodné toky, pretože  môže byť nebezpečný pre ryby a iné vodné organizmy.</w:t>
      </w:r>
    </w:p>
    <w:p w14:paraId="3DECC492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F3DEDE8" w14:textId="77777777" w:rsidR="00AA0BE6" w:rsidRPr="009B1D9C" w:rsidRDefault="00AA0BE6" w:rsidP="00AA0BE6">
      <w:pPr>
        <w:rPr>
          <w:szCs w:val="22"/>
        </w:rPr>
      </w:pPr>
      <w:r w:rsidRPr="009B1D9C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45DCA11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C1CD7F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O spôsobe likvidácie liekov, ktoré už nepotrebujete, sa poraďte s veterinárnym lekárom alebo lekárnikom.</w:t>
      </w:r>
    </w:p>
    <w:p w14:paraId="3B75EB98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5DBF186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13.</w:t>
      </w:r>
      <w:r w:rsidRPr="009B1D9C">
        <w:tab/>
        <w:t>Klasifikácia veterinárnych liekov</w:t>
      </w:r>
    </w:p>
    <w:p w14:paraId="51CD6A3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0706CD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Výdaj lieku je viazaný na veterinárny predpis.</w:t>
      </w:r>
    </w:p>
    <w:p w14:paraId="08732E5D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5C6530B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14.</w:t>
      </w:r>
      <w:r w:rsidRPr="009B1D9C">
        <w:tab/>
        <w:t>Registračné čísla a veľkosti balenia</w:t>
      </w:r>
    </w:p>
    <w:p w14:paraId="646C9BB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39567FC" w14:textId="09F93794" w:rsidR="00504BF7" w:rsidRPr="009B1D9C" w:rsidRDefault="00110DCB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96/020/DC/24-S</w:t>
      </w:r>
    </w:p>
    <w:p w14:paraId="25C3119B" w14:textId="77777777" w:rsidR="00504BF7" w:rsidRPr="009B1D9C" w:rsidRDefault="00504BF7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59FC48E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Škatuľka obsahujúca 1 </w:t>
      </w:r>
      <w:proofErr w:type="spellStart"/>
      <w:r w:rsidRPr="009B1D9C">
        <w:rPr>
          <w:szCs w:val="22"/>
        </w:rPr>
        <w:t>blister</w:t>
      </w:r>
      <w:proofErr w:type="spellEnd"/>
      <w:r w:rsidRPr="009B1D9C">
        <w:rPr>
          <w:szCs w:val="22"/>
        </w:rPr>
        <w:t xml:space="preserve"> po 2 tablety (2 tablety).</w:t>
      </w:r>
    </w:p>
    <w:p w14:paraId="4D44511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Škatuľka obsahujúca 2 </w:t>
      </w:r>
      <w:proofErr w:type="spellStart"/>
      <w:r w:rsidRPr="009B1D9C">
        <w:rPr>
          <w:szCs w:val="22"/>
        </w:rPr>
        <w:t>blistre</w:t>
      </w:r>
      <w:proofErr w:type="spellEnd"/>
      <w:r w:rsidRPr="009B1D9C">
        <w:rPr>
          <w:szCs w:val="22"/>
        </w:rPr>
        <w:t xml:space="preserve"> po 2 tablety (4 tablety).</w:t>
      </w:r>
    </w:p>
    <w:p w14:paraId="50E74FC5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Škatuľka obsahujúca 5 </w:t>
      </w:r>
      <w:proofErr w:type="spellStart"/>
      <w:r w:rsidRPr="009B1D9C">
        <w:rPr>
          <w:szCs w:val="22"/>
        </w:rPr>
        <w:t>blistrov</w:t>
      </w:r>
      <w:proofErr w:type="spellEnd"/>
      <w:r w:rsidRPr="009B1D9C">
        <w:rPr>
          <w:szCs w:val="22"/>
        </w:rPr>
        <w:t xml:space="preserve"> po 2 tablety (10 tabliet).</w:t>
      </w:r>
    </w:p>
    <w:p w14:paraId="54EC1ACC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Škatuľka obsahujúca 12 </w:t>
      </w:r>
      <w:proofErr w:type="spellStart"/>
      <w:r w:rsidRPr="009B1D9C">
        <w:rPr>
          <w:szCs w:val="22"/>
        </w:rPr>
        <w:t>blistrov</w:t>
      </w:r>
      <w:proofErr w:type="spellEnd"/>
      <w:r w:rsidRPr="009B1D9C">
        <w:rPr>
          <w:szCs w:val="22"/>
        </w:rPr>
        <w:t xml:space="preserve"> po 2 tablety (24 tabliet).</w:t>
      </w:r>
    </w:p>
    <w:p w14:paraId="00CCE2F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Škatuľka obsahujúca 24 </w:t>
      </w:r>
      <w:proofErr w:type="spellStart"/>
      <w:r w:rsidRPr="009B1D9C">
        <w:rPr>
          <w:szCs w:val="22"/>
        </w:rPr>
        <w:t>blistrov</w:t>
      </w:r>
      <w:proofErr w:type="spellEnd"/>
      <w:r w:rsidRPr="009B1D9C">
        <w:rPr>
          <w:szCs w:val="22"/>
        </w:rPr>
        <w:t xml:space="preserve"> po 2 tablety (48 tabliet).</w:t>
      </w:r>
    </w:p>
    <w:p w14:paraId="4F2C1C4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 xml:space="preserve">Škatuľka obsahujúca 50 </w:t>
      </w:r>
      <w:proofErr w:type="spellStart"/>
      <w:r w:rsidRPr="009B1D9C">
        <w:rPr>
          <w:szCs w:val="22"/>
        </w:rPr>
        <w:t>blistrov</w:t>
      </w:r>
      <w:proofErr w:type="spellEnd"/>
      <w:r w:rsidRPr="009B1D9C">
        <w:rPr>
          <w:szCs w:val="22"/>
        </w:rPr>
        <w:t xml:space="preserve"> po 2 tablety (100 tabliet).</w:t>
      </w:r>
    </w:p>
    <w:p w14:paraId="6A45EE57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17D57266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Na trh nemusia byť uvedené všetky veľkosti balenia.</w:t>
      </w:r>
    </w:p>
    <w:p w14:paraId="7706AEF8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56735E59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15.</w:t>
      </w:r>
      <w:r w:rsidRPr="009B1D9C">
        <w:tab/>
        <w:t>Dátum poslednej revízie písomnej informácie pre používateľov</w:t>
      </w:r>
    </w:p>
    <w:p w14:paraId="22F758B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30D3C1B4" w14:textId="703790AA" w:rsidR="00AA0BE6" w:rsidRPr="009B1D9C" w:rsidRDefault="00EE3CD8" w:rsidP="00AA0BE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14:paraId="47871FBB" w14:textId="77777777" w:rsidR="00504BF7" w:rsidRPr="009B1D9C" w:rsidRDefault="00504BF7" w:rsidP="00AA0BE6">
      <w:pPr>
        <w:tabs>
          <w:tab w:val="clear" w:pos="567"/>
        </w:tabs>
        <w:spacing w:line="240" w:lineRule="auto"/>
        <w:rPr>
          <w:szCs w:val="22"/>
        </w:rPr>
      </w:pPr>
    </w:p>
    <w:p w14:paraId="46BAF15A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  <w:r w:rsidRPr="009B1D9C">
        <w:rPr>
          <w:szCs w:val="22"/>
        </w:rPr>
        <w:t>Podrobné informácie o veterinárnom lieku sú dostupné v databáze liekov Únie</w:t>
      </w:r>
    </w:p>
    <w:p w14:paraId="0CC9F72B" w14:textId="77777777" w:rsidR="00AA0BE6" w:rsidRPr="009B1D9C" w:rsidRDefault="00AA0BE6" w:rsidP="00AA0BE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9B1D9C">
        <w:rPr>
          <w:szCs w:val="22"/>
        </w:rPr>
        <w:t>(</w:t>
      </w:r>
      <w:hyperlink r:id="rId13" w:history="1">
        <w:r w:rsidRPr="009B1D9C">
          <w:rPr>
            <w:rStyle w:val="Hypertextovprepojenie"/>
            <w:szCs w:val="22"/>
          </w:rPr>
          <w:t>https://medicines.health.europa.eu/veterinary</w:t>
        </w:r>
      </w:hyperlink>
      <w:r w:rsidRPr="009B1D9C">
        <w:rPr>
          <w:szCs w:val="22"/>
        </w:rPr>
        <w:t>).</w:t>
      </w:r>
    </w:p>
    <w:p w14:paraId="399BB7CB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25E6CA67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16.</w:t>
      </w:r>
      <w:r w:rsidRPr="009B1D9C">
        <w:tab/>
        <w:t>Kontaktné údaje</w:t>
      </w:r>
    </w:p>
    <w:p w14:paraId="21EF9B39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0022B054" w14:textId="6AA5A392" w:rsidR="00AA0BE6" w:rsidRPr="009B1D9C" w:rsidRDefault="00AA0BE6" w:rsidP="00AA0BE6">
      <w:pPr>
        <w:rPr>
          <w:szCs w:val="22"/>
        </w:rPr>
      </w:pPr>
      <w:bookmarkStart w:id="6" w:name="_Hlk73552578"/>
      <w:r w:rsidRPr="009B1D9C">
        <w:rPr>
          <w:iCs/>
          <w:szCs w:val="22"/>
          <w:u w:val="single"/>
        </w:rPr>
        <w:t>Držiteľ rozhodnutia o registrácii a kontaktné údaje na hlásenie podozrenia na nežiaduce účinky</w:t>
      </w:r>
      <w:r w:rsidRPr="009B1D9C">
        <w:rPr>
          <w:szCs w:val="22"/>
        </w:rPr>
        <w:t>:</w:t>
      </w:r>
    </w:p>
    <w:p w14:paraId="4DD33917" w14:textId="77777777" w:rsidR="00AA0BE6" w:rsidRPr="009B1D9C" w:rsidRDefault="00AA0BE6" w:rsidP="00AA0BE6">
      <w:pPr>
        <w:rPr>
          <w:iCs/>
          <w:szCs w:val="22"/>
        </w:rPr>
      </w:pPr>
      <w:r w:rsidRPr="009B1D9C">
        <w:rPr>
          <w:szCs w:val="22"/>
        </w:rPr>
        <w:t>CEVA ANIMAL HEALTH SLOVAKIA, s.r.o., Prievozská 5434/6A, 821 09 Bratislava - mestská časť Ružinov, Slovenská republika</w:t>
      </w:r>
    </w:p>
    <w:bookmarkEnd w:id="6"/>
    <w:p w14:paraId="3B421880" w14:textId="77777777" w:rsidR="00AA0BE6" w:rsidRPr="009B1D9C" w:rsidRDefault="00AA0BE6" w:rsidP="00AA0BE6">
      <w:pPr>
        <w:rPr>
          <w:szCs w:val="22"/>
        </w:rPr>
      </w:pPr>
      <w:r w:rsidRPr="009B1D9C">
        <w:rPr>
          <w:szCs w:val="22"/>
        </w:rPr>
        <w:lastRenderedPageBreak/>
        <w:t>Email: pharmacovigilance@ceva.com</w:t>
      </w:r>
    </w:p>
    <w:p w14:paraId="71B2B300" w14:textId="77777777" w:rsidR="00AA0BE6" w:rsidRPr="009B1D9C" w:rsidRDefault="00AA0BE6" w:rsidP="00AA0BE6">
      <w:pPr>
        <w:rPr>
          <w:szCs w:val="22"/>
        </w:rPr>
      </w:pPr>
      <w:r w:rsidRPr="009B1D9C">
        <w:rPr>
          <w:szCs w:val="22"/>
        </w:rPr>
        <w:t>Tel: 00800 35 22 11 51 </w:t>
      </w:r>
    </w:p>
    <w:p w14:paraId="6F89F24B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1A212BA6" w14:textId="77777777" w:rsidR="00AA0BE6" w:rsidRPr="009B1D9C" w:rsidRDefault="00AA0BE6" w:rsidP="00AA0BE6">
      <w:pPr>
        <w:rPr>
          <w:bCs/>
          <w:szCs w:val="22"/>
        </w:rPr>
      </w:pPr>
      <w:r w:rsidRPr="009B1D9C">
        <w:rPr>
          <w:bCs/>
          <w:szCs w:val="22"/>
          <w:u w:val="single"/>
        </w:rPr>
        <w:t>Výrobca zodpovedný za uvoľnenie šarže</w:t>
      </w:r>
      <w:r w:rsidRPr="009B1D9C">
        <w:rPr>
          <w:szCs w:val="22"/>
        </w:rPr>
        <w:t>:</w:t>
      </w:r>
    </w:p>
    <w:p w14:paraId="05943149" w14:textId="221576E9" w:rsidR="00AA0BE6" w:rsidRPr="009B1D9C" w:rsidRDefault="00AA0BE6" w:rsidP="00AA0BE6">
      <w:pPr>
        <w:rPr>
          <w:bCs/>
          <w:szCs w:val="22"/>
          <w:lang w:val="fr-FR"/>
        </w:rPr>
      </w:pPr>
      <w:r w:rsidRPr="009B1D9C">
        <w:rPr>
          <w:bCs/>
          <w:szCs w:val="22"/>
          <w:lang w:val="fr-FR"/>
        </w:rPr>
        <w:t>Ceva Santé Animale, Boulevard de la Communication, Zone Autoroutière, 53950 Louverné, Fran</w:t>
      </w:r>
      <w:r w:rsidR="00504BF7" w:rsidRPr="009B1D9C">
        <w:rPr>
          <w:bCs/>
          <w:szCs w:val="22"/>
          <w:lang w:val="fr-FR"/>
        </w:rPr>
        <w:t>cúzsko</w:t>
      </w:r>
    </w:p>
    <w:p w14:paraId="213376EB" w14:textId="77777777" w:rsidR="00AA0BE6" w:rsidRPr="009B1D9C" w:rsidRDefault="00AA0BE6" w:rsidP="00AA0BE6">
      <w:pPr>
        <w:rPr>
          <w:bCs/>
          <w:szCs w:val="22"/>
        </w:rPr>
      </w:pPr>
    </w:p>
    <w:p w14:paraId="4E65CE17" w14:textId="77777777" w:rsidR="00AA0BE6" w:rsidRPr="009B1D9C" w:rsidRDefault="00AA0BE6" w:rsidP="00AA0BE6">
      <w:pPr>
        <w:pStyle w:val="Style1"/>
      </w:pPr>
      <w:r w:rsidRPr="009B1D9C">
        <w:rPr>
          <w:highlight w:val="lightGray"/>
        </w:rPr>
        <w:t>17.</w:t>
      </w:r>
      <w:r w:rsidRPr="009B1D9C">
        <w:tab/>
        <w:t>Ďalšie informácie</w:t>
      </w:r>
    </w:p>
    <w:p w14:paraId="32A03574" w14:textId="77777777" w:rsidR="00AA0BE6" w:rsidRPr="009B1D9C" w:rsidRDefault="00AA0BE6" w:rsidP="00AA0BE6">
      <w:pPr>
        <w:tabs>
          <w:tab w:val="clear" w:pos="567"/>
        </w:tabs>
        <w:spacing w:line="240" w:lineRule="auto"/>
        <w:rPr>
          <w:szCs w:val="22"/>
        </w:rPr>
      </w:pPr>
    </w:p>
    <w:p w14:paraId="75F21357" w14:textId="77777777" w:rsidR="00AA0BE6" w:rsidRPr="009B1D9C" w:rsidRDefault="00AA0B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9B1D9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9B1D9C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9B1D9C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9B1D9C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9B1D9C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9B1D9C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9B1D9C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9B1D9C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9B1D9C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9B1D9C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9B1D9C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9B1D9C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9B1D9C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9B1D9C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9B1D9C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Pr="009B1D9C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Pr="009B1D9C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479B119D" w14:textId="22FF81E3" w:rsidR="00B60C92" w:rsidRPr="009B1D9C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9B1D9C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sectPr w:rsidR="00B60C92" w:rsidRPr="009B1D9C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C6E0A" w14:textId="77777777" w:rsidR="0083091F" w:rsidRDefault="0083091F">
      <w:pPr>
        <w:spacing w:line="240" w:lineRule="auto"/>
      </w:pPr>
      <w:r>
        <w:separator/>
      </w:r>
    </w:p>
  </w:endnote>
  <w:endnote w:type="continuationSeparator" w:id="0">
    <w:p w14:paraId="072774DC" w14:textId="77777777" w:rsidR="0083091F" w:rsidRDefault="00830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1F6714" w:rsidRPr="001E1F22" w:rsidRDefault="00514F6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E964D0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1F6714" w:rsidRPr="001E1F22" w:rsidRDefault="00514F6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3830C" w14:textId="77777777" w:rsidR="0083091F" w:rsidRDefault="0083091F">
      <w:pPr>
        <w:spacing w:line="240" w:lineRule="auto"/>
      </w:pPr>
      <w:r>
        <w:separator/>
      </w:r>
    </w:p>
  </w:footnote>
  <w:footnote w:type="continuationSeparator" w:id="0">
    <w:p w14:paraId="1EA002A3" w14:textId="77777777" w:rsidR="0083091F" w:rsidRDefault="00830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4F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873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A4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08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E8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40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40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26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64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D4206D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98A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C1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42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8E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83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4E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E4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EC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92C6F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37C01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70EA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BC76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8488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0806D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89849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6D24F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32F1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2B0EA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B0625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A4DC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E0F6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70DDD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2E06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F26A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5E93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5632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9B4C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83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EB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8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3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A9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A8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48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CD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2B64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2AB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E8B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8E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A7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03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AE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67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BAF28C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425F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E64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7006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0032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3A71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F69D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6689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9051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5CED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3781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89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E5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A0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D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E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0A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FAD0B57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1C3AE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C4CB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EF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D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D6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01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AE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C97C46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F45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B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22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F08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8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EF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C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B3EC02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89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8F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2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0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9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2A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3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0E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B27E19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269C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7C32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F26E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763E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C8401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7AC6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FA218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A289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9A3EB6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1E4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4C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F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CB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85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C8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8EC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4BBAB2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EECECF2" w:tentative="1">
      <w:start w:val="1"/>
      <w:numFmt w:val="lowerLetter"/>
      <w:lvlText w:val="%2."/>
      <w:lvlJc w:val="left"/>
      <w:pPr>
        <w:ind w:left="1440" w:hanging="360"/>
      </w:pPr>
    </w:lvl>
    <w:lvl w:ilvl="2" w:tplc="C86A406C" w:tentative="1">
      <w:start w:val="1"/>
      <w:numFmt w:val="lowerRoman"/>
      <w:lvlText w:val="%3."/>
      <w:lvlJc w:val="right"/>
      <w:pPr>
        <w:ind w:left="2160" w:hanging="180"/>
      </w:pPr>
    </w:lvl>
    <w:lvl w:ilvl="3" w:tplc="ED36C3BC" w:tentative="1">
      <w:start w:val="1"/>
      <w:numFmt w:val="decimal"/>
      <w:lvlText w:val="%4."/>
      <w:lvlJc w:val="left"/>
      <w:pPr>
        <w:ind w:left="2880" w:hanging="360"/>
      </w:pPr>
    </w:lvl>
    <w:lvl w:ilvl="4" w:tplc="AB94FD2C" w:tentative="1">
      <w:start w:val="1"/>
      <w:numFmt w:val="lowerLetter"/>
      <w:lvlText w:val="%5."/>
      <w:lvlJc w:val="left"/>
      <w:pPr>
        <w:ind w:left="3600" w:hanging="360"/>
      </w:pPr>
    </w:lvl>
    <w:lvl w:ilvl="5" w:tplc="1260479C" w:tentative="1">
      <w:start w:val="1"/>
      <w:numFmt w:val="lowerRoman"/>
      <w:lvlText w:val="%6."/>
      <w:lvlJc w:val="right"/>
      <w:pPr>
        <w:ind w:left="4320" w:hanging="180"/>
      </w:pPr>
    </w:lvl>
    <w:lvl w:ilvl="6" w:tplc="B112B336" w:tentative="1">
      <w:start w:val="1"/>
      <w:numFmt w:val="decimal"/>
      <w:lvlText w:val="%7."/>
      <w:lvlJc w:val="left"/>
      <w:pPr>
        <w:ind w:left="5040" w:hanging="360"/>
      </w:pPr>
    </w:lvl>
    <w:lvl w:ilvl="7" w:tplc="CC6E5418" w:tentative="1">
      <w:start w:val="1"/>
      <w:numFmt w:val="lowerLetter"/>
      <w:lvlText w:val="%8."/>
      <w:lvlJc w:val="left"/>
      <w:pPr>
        <w:ind w:left="5760" w:hanging="360"/>
      </w:pPr>
    </w:lvl>
    <w:lvl w:ilvl="8" w:tplc="7CBE0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F4307D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166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C5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9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A5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005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2F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2D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CAB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EFCE6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8A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8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63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20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EA3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E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44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27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7930C35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67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A9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C5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A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0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CD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EA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7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165AD810">
      <w:start w:val="1"/>
      <w:numFmt w:val="decimal"/>
      <w:lvlText w:val="%1."/>
      <w:lvlJc w:val="left"/>
      <w:pPr>
        <w:ind w:left="720" w:hanging="360"/>
      </w:pPr>
    </w:lvl>
    <w:lvl w:ilvl="1" w:tplc="5782A1D8" w:tentative="1">
      <w:start w:val="1"/>
      <w:numFmt w:val="lowerLetter"/>
      <w:lvlText w:val="%2."/>
      <w:lvlJc w:val="left"/>
      <w:pPr>
        <w:ind w:left="1440" w:hanging="360"/>
      </w:pPr>
    </w:lvl>
    <w:lvl w:ilvl="2" w:tplc="7B46AE7E" w:tentative="1">
      <w:start w:val="1"/>
      <w:numFmt w:val="lowerRoman"/>
      <w:lvlText w:val="%3."/>
      <w:lvlJc w:val="right"/>
      <w:pPr>
        <w:ind w:left="2160" w:hanging="180"/>
      </w:pPr>
    </w:lvl>
    <w:lvl w:ilvl="3" w:tplc="B28E60E0" w:tentative="1">
      <w:start w:val="1"/>
      <w:numFmt w:val="decimal"/>
      <w:lvlText w:val="%4."/>
      <w:lvlJc w:val="left"/>
      <w:pPr>
        <w:ind w:left="2880" w:hanging="360"/>
      </w:pPr>
    </w:lvl>
    <w:lvl w:ilvl="4" w:tplc="0B306CFC" w:tentative="1">
      <w:start w:val="1"/>
      <w:numFmt w:val="lowerLetter"/>
      <w:lvlText w:val="%5."/>
      <w:lvlJc w:val="left"/>
      <w:pPr>
        <w:ind w:left="3600" w:hanging="360"/>
      </w:pPr>
    </w:lvl>
    <w:lvl w:ilvl="5" w:tplc="92D21DB6" w:tentative="1">
      <w:start w:val="1"/>
      <w:numFmt w:val="lowerRoman"/>
      <w:lvlText w:val="%6."/>
      <w:lvlJc w:val="right"/>
      <w:pPr>
        <w:ind w:left="4320" w:hanging="180"/>
      </w:pPr>
    </w:lvl>
    <w:lvl w:ilvl="6" w:tplc="2AB0183A" w:tentative="1">
      <w:start w:val="1"/>
      <w:numFmt w:val="decimal"/>
      <w:lvlText w:val="%7."/>
      <w:lvlJc w:val="left"/>
      <w:pPr>
        <w:ind w:left="5040" w:hanging="360"/>
      </w:pPr>
    </w:lvl>
    <w:lvl w:ilvl="7" w:tplc="BF6AE3F0" w:tentative="1">
      <w:start w:val="1"/>
      <w:numFmt w:val="lowerLetter"/>
      <w:lvlText w:val="%8."/>
      <w:lvlJc w:val="left"/>
      <w:pPr>
        <w:ind w:left="5760" w:hanging="360"/>
      </w:pPr>
    </w:lvl>
    <w:lvl w:ilvl="8" w:tplc="EDCC2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655267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CB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45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80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EC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05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8A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6B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F80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18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4B33"/>
    <w:rsid w:val="000D538E"/>
    <w:rsid w:val="000D67D0"/>
    <w:rsid w:val="000E195C"/>
    <w:rsid w:val="000E3602"/>
    <w:rsid w:val="000E441D"/>
    <w:rsid w:val="000E705A"/>
    <w:rsid w:val="000F38DA"/>
    <w:rsid w:val="000F5822"/>
    <w:rsid w:val="000F796B"/>
    <w:rsid w:val="0010031E"/>
    <w:rsid w:val="001012EB"/>
    <w:rsid w:val="00105AAB"/>
    <w:rsid w:val="001078D1"/>
    <w:rsid w:val="00110DCB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24E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4A59"/>
    <w:rsid w:val="001E5621"/>
    <w:rsid w:val="001F3239"/>
    <w:rsid w:val="001F36E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1A77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7D79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57BB8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3F39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124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4BF7"/>
    <w:rsid w:val="00506AAE"/>
    <w:rsid w:val="00512264"/>
    <w:rsid w:val="00514F6C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344A"/>
    <w:rsid w:val="00555422"/>
    <w:rsid w:val="00555810"/>
    <w:rsid w:val="005617AF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F2F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3E28"/>
    <w:rsid w:val="00705CD4"/>
    <w:rsid w:val="00705EAF"/>
    <w:rsid w:val="0070773E"/>
    <w:rsid w:val="00707768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91F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220A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3785"/>
    <w:rsid w:val="009A5BB7"/>
    <w:rsid w:val="009A6509"/>
    <w:rsid w:val="009A6E2F"/>
    <w:rsid w:val="009B1D9C"/>
    <w:rsid w:val="009B2969"/>
    <w:rsid w:val="009B2C7E"/>
    <w:rsid w:val="009B6831"/>
    <w:rsid w:val="009B6DBD"/>
    <w:rsid w:val="009C108A"/>
    <w:rsid w:val="009C2E47"/>
    <w:rsid w:val="009C59CF"/>
    <w:rsid w:val="009C6BFB"/>
    <w:rsid w:val="009D0C05"/>
    <w:rsid w:val="009E2C00"/>
    <w:rsid w:val="009E433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3F01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1196"/>
    <w:rsid w:val="00A82AA0"/>
    <w:rsid w:val="00A82F8A"/>
    <w:rsid w:val="00A84622"/>
    <w:rsid w:val="00A84BF0"/>
    <w:rsid w:val="00A9226B"/>
    <w:rsid w:val="00A9575C"/>
    <w:rsid w:val="00A95B56"/>
    <w:rsid w:val="00A969AF"/>
    <w:rsid w:val="00AA0BE6"/>
    <w:rsid w:val="00AB1A2E"/>
    <w:rsid w:val="00AB20E5"/>
    <w:rsid w:val="00AB328A"/>
    <w:rsid w:val="00AB4918"/>
    <w:rsid w:val="00AB4BC8"/>
    <w:rsid w:val="00AB6BA7"/>
    <w:rsid w:val="00AB7BE8"/>
    <w:rsid w:val="00AD0710"/>
    <w:rsid w:val="00AD4DB9"/>
    <w:rsid w:val="00AD63C0"/>
    <w:rsid w:val="00AE33B3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27292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3332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420E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2C9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0F14"/>
    <w:rsid w:val="00D32624"/>
    <w:rsid w:val="00D3691A"/>
    <w:rsid w:val="00D377E2"/>
    <w:rsid w:val="00D403E9"/>
    <w:rsid w:val="00D42B54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AB8"/>
    <w:rsid w:val="00DC5F8A"/>
    <w:rsid w:val="00DC64FD"/>
    <w:rsid w:val="00DD1C39"/>
    <w:rsid w:val="00DD53C3"/>
    <w:rsid w:val="00DD695D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4B0C"/>
    <w:rsid w:val="00E3725B"/>
    <w:rsid w:val="00E40473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547"/>
    <w:rsid w:val="00E86CEE"/>
    <w:rsid w:val="00E935AF"/>
    <w:rsid w:val="00E964D0"/>
    <w:rsid w:val="00E96F94"/>
    <w:rsid w:val="00EA01C8"/>
    <w:rsid w:val="00EB0E20"/>
    <w:rsid w:val="00EB139F"/>
    <w:rsid w:val="00EB1A80"/>
    <w:rsid w:val="00EB457B"/>
    <w:rsid w:val="00EC47C4"/>
    <w:rsid w:val="00EC4F3A"/>
    <w:rsid w:val="00EC5E74"/>
    <w:rsid w:val="00ED594D"/>
    <w:rsid w:val="00ED714E"/>
    <w:rsid w:val="00EE36E1"/>
    <w:rsid w:val="00EE3CD8"/>
    <w:rsid w:val="00EE4CC6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56E2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84F44"/>
    <w:rsid w:val="00F90084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5C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3106</Words>
  <Characters>20419</Characters>
  <Application>Microsoft Office Word</Application>
  <DocSecurity>0</DocSecurity>
  <Lines>170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16</cp:revision>
  <cp:lastPrinted>2024-04-10T07:22:00Z</cp:lastPrinted>
  <dcterms:created xsi:type="dcterms:W3CDTF">2023-07-26T15:34:00Z</dcterms:created>
  <dcterms:modified xsi:type="dcterms:W3CDTF">2024-06-03T05:25:00Z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