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FB2D7" w14:textId="77777777" w:rsidR="0079747C" w:rsidRPr="00700E54" w:rsidRDefault="0079747C" w:rsidP="0079747C">
      <w:pPr>
        <w:pStyle w:val="Style1"/>
      </w:pPr>
      <w:bookmarkStart w:id="0" w:name="_GoBack"/>
      <w:bookmarkEnd w:id="0"/>
      <w:r w:rsidRPr="00700E54">
        <w:t>SÚHRN CHARAKTERISTICKÝCH VLASTNOSTÍ LIEKU</w:t>
      </w:r>
    </w:p>
    <w:p w14:paraId="0FECA35F" w14:textId="77777777" w:rsidR="0079747C" w:rsidRPr="00700E54" w:rsidRDefault="0079747C" w:rsidP="00B13B6D">
      <w:pPr>
        <w:pStyle w:val="Style1"/>
      </w:pPr>
    </w:p>
    <w:p w14:paraId="73C45BF7" w14:textId="7A873408" w:rsidR="00C114FF" w:rsidRPr="00700E54" w:rsidRDefault="00ED6925" w:rsidP="00B13B6D">
      <w:pPr>
        <w:pStyle w:val="Style1"/>
      </w:pPr>
      <w:r w:rsidRPr="00700E54">
        <w:t>1.</w:t>
      </w:r>
      <w:r w:rsidRPr="00700E54">
        <w:tab/>
        <w:t>NÁZOV VETERINÁRNEHO LIEKU</w:t>
      </w:r>
    </w:p>
    <w:p w14:paraId="4F090B24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09642C3E" w:rsidR="00DF7AC7" w:rsidRPr="00700E54" w:rsidRDefault="006951D1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Milbeguard Duo </w:t>
      </w:r>
      <w:r w:rsidR="006E4E27" w:rsidRPr="00700E54">
        <w:rPr>
          <w:szCs w:val="22"/>
        </w:rPr>
        <w:t>1</w:t>
      </w:r>
      <w:r w:rsidRPr="00700E54">
        <w:rPr>
          <w:szCs w:val="22"/>
        </w:rPr>
        <w:t>2</w:t>
      </w:r>
      <w:r w:rsidR="0079747C" w:rsidRPr="00700E54">
        <w:rPr>
          <w:szCs w:val="22"/>
        </w:rPr>
        <w:t>,</w:t>
      </w:r>
      <w:r w:rsidRPr="00700E54">
        <w:rPr>
          <w:szCs w:val="22"/>
        </w:rPr>
        <w:t>5 mg/</w:t>
      </w:r>
      <w:r w:rsidR="006E4E27" w:rsidRPr="00700E54">
        <w:rPr>
          <w:szCs w:val="22"/>
        </w:rPr>
        <w:t>1</w:t>
      </w:r>
      <w:r w:rsidRPr="00700E54">
        <w:rPr>
          <w:szCs w:val="22"/>
        </w:rPr>
        <w:t>25 mg žuvacie tablety pre</w:t>
      </w:r>
      <w:r w:rsidR="006E4E27" w:rsidRPr="00700E54">
        <w:rPr>
          <w:szCs w:val="22"/>
        </w:rPr>
        <w:t xml:space="preserve"> </w:t>
      </w:r>
      <w:r w:rsidRPr="00700E54">
        <w:rPr>
          <w:szCs w:val="22"/>
        </w:rPr>
        <w:t>psy</w:t>
      </w:r>
    </w:p>
    <w:p w14:paraId="5E682712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700E54" w:rsidRDefault="00ED6925" w:rsidP="00B13B6D">
      <w:pPr>
        <w:pStyle w:val="Style1"/>
      </w:pPr>
      <w:r w:rsidRPr="00700E54">
        <w:t>2.</w:t>
      </w:r>
      <w:r w:rsidRPr="00700E54">
        <w:tab/>
        <w:t>KVALITATÍVNE A KVANTITATÍVNE ZLOŽENIE</w:t>
      </w:r>
    </w:p>
    <w:p w14:paraId="5D31A95D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FE930" w14:textId="0CD12424" w:rsidR="006951D1" w:rsidRPr="00700E54" w:rsidRDefault="006951D1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Každá tableta obsahuje:</w:t>
      </w:r>
    </w:p>
    <w:p w14:paraId="553B446D" w14:textId="77777777" w:rsidR="00C114FF" w:rsidRPr="00700E54" w:rsidRDefault="00ED692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700E54">
        <w:rPr>
          <w:b/>
          <w:szCs w:val="22"/>
        </w:rPr>
        <w:t>Účinná(-é) látka(-y):</w:t>
      </w:r>
    </w:p>
    <w:p w14:paraId="50F593F7" w14:textId="7A4F35CB" w:rsidR="006951D1" w:rsidRPr="00700E54" w:rsidRDefault="006951D1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Milbemyc</w:t>
      </w:r>
      <w:r w:rsidR="0079747C" w:rsidRPr="00700E54">
        <w:rPr>
          <w:iCs/>
          <w:szCs w:val="22"/>
        </w:rPr>
        <w:t>í</w:t>
      </w:r>
      <w:r w:rsidRPr="00700E54">
        <w:rPr>
          <w:iCs/>
          <w:szCs w:val="22"/>
        </w:rPr>
        <w:t>noxim</w:t>
      </w:r>
      <w:r w:rsidR="0079747C" w:rsidRPr="00700E54">
        <w:rPr>
          <w:iCs/>
          <w:szCs w:val="22"/>
        </w:rPr>
        <w:t xml:space="preserve">   </w:t>
      </w:r>
      <w:r w:rsidRPr="00700E54">
        <w:rPr>
          <w:iCs/>
          <w:szCs w:val="22"/>
        </w:rPr>
        <w:t xml:space="preserve"> </w:t>
      </w:r>
      <w:r w:rsidR="006E4E27" w:rsidRPr="00700E54">
        <w:rPr>
          <w:iCs/>
          <w:szCs w:val="22"/>
        </w:rPr>
        <w:tab/>
      </w:r>
      <w:r w:rsidR="006E4E27" w:rsidRPr="00700E54">
        <w:rPr>
          <w:iCs/>
          <w:szCs w:val="22"/>
        </w:rPr>
        <w:tab/>
        <w:t>1</w:t>
      </w:r>
      <w:r w:rsidRPr="00700E54">
        <w:rPr>
          <w:iCs/>
          <w:szCs w:val="22"/>
        </w:rPr>
        <w:t>2</w:t>
      </w:r>
      <w:r w:rsidR="0079747C" w:rsidRPr="00700E54">
        <w:rPr>
          <w:iCs/>
          <w:szCs w:val="22"/>
        </w:rPr>
        <w:t>,</w:t>
      </w:r>
      <w:r w:rsidRPr="00700E54">
        <w:rPr>
          <w:iCs/>
          <w:szCs w:val="22"/>
        </w:rPr>
        <w:t xml:space="preserve">5 mg </w:t>
      </w:r>
    </w:p>
    <w:p w14:paraId="5DBCFC29" w14:textId="337691E9" w:rsidR="00C114FF" w:rsidRPr="00700E54" w:rsidRDefault="006951D1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Prazi</w:t>
      </w:r>
      <w:r w:rsidR="0079747C" w:rsidRPr="00700E54">
        <w:rPr>
          <w:iCs/>
          <w:szCs w:val="22"/>
        </w:rPr>
        <w:t>kv</w:t>
      </w:r>
      <w:r w:rsidRPr="00700E54">
        <w:rPr>
          <w:iCs/>
          <w:szCs w:val="22"/>
        </w:rPr>
        <w:t>antel</w:t>
      </w:r>
      <w:r w:rsidR="0079747C" w:rsidRPr="00700E54">
        <w:rPr>
          <w:iCs/>
          <w:szCs w:val="22"/>
        </w:rPr>
        <w:t xml:space="preserve"> </w:t>
      </w:r>
      <w:r w:rsidRPr="00700E54">
        <w:rPr>
          <w:iCs/>
          <w:szCs w:val="22"/>
        </w:rPr>
        <w:t xml:space="preserve"> </w:t>
      </w:r>
      <w:r w:rsidR="006E4E27" w:rsidRPr="00700E54">
        <w:rPr>
          <w:iCs/>
          <w:szCs w:val="22"/>
        </w:rPr>
        <w:tab/>
      </w:r>
      <w:r w:rsidR="006E4E27" w:rsidRPr="00700E54">
        <w:rPr>
          <w:iCs/>
          <w:szCs w:val="22"/>
        </w:rPr>
        <w:tab/>
      </w:r>
      <w:r w:rsidR="006E4E27" w:rsidRPr="00700E54">
        <w:rPr>
          <w:iCs/>
          <w:szCs w:val="22"/>
        </w:rPr>
        <w:tab/>
      </w:r>
      <w:r w:rsidR="0079747C" w:rsidRPr="00700E54">
        <w:rPr>
          <w:iCs/>
          <w:szCs w:val="22"/>
        </w:rPr>
        <w:t xml:space="preserve"> </w:t>
      </w:r>
      <w:r w:rsidR="006E4E27" w:rsidRPr="00700E54">
        <w:rPr>
          <w:iCs/>
          <w:szCs w:val="22"/>
        </w:rPr>
        <w:t>1</w:t>
      </w:r>
      <w:r w:rsidRPr="00700E54">
        <w:rPr>
          <w:iCs/>
          <w:szCs w:val="22"/>
        </w:rPr>
        <w:t>25 mg</w:t>
      </w:r>
    </w:p>
    <w:p w14:paraId="6A614FBA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6CA21B03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b/>
          <w:szCs w:val="22"/>
        </w:rPr>
        <w:t>Pomocné látky:</w:t>
      </w:r>
    </w:p>
    <w:p w14:paraId="5861ACE7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6951D1" w:rsidRPr="00700E54" w14:paraId="3ED34E38" w14:textId="77777777" w:rsidTr="006951D1">
        <w:tc>
          <w:tcPr>
            <w:tcW w:w="4528" w:type="dxa"/>
            <w:shd w:val="clear" w:color="auto" w:fill="auto"/>
            <w:vAlign w:val="center"/>
          </w:tcPr>
          <w:p w14:paraId="363302D2" w14:textId="14D10AD4" w:rsidR="006951D1" w:rsidRPr="00700E54" w:rsidRDefault="006951D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00E54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6951D1" w:rsidRPr="00700E54" w14:paraId="3DB09FCD" w14:textId="77777777" w:rsidTr="006951D1">
        <w:tc>
          <w:tcPr>
            <w:tcW w:w="4528" w:type="dxa"/>
            <w:shd w:val="clear" w:color="auto" w:fill="auto"/>
            <w:vAlign w:val="center"/>
          </w:tcPr>
          <w:p w14:paraId="4B6C8725" w14:textId="25F35A9C" w:rsidR="006951D1" w:rsidRPr="00700E54" w:rsidRDefault="005F158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Povidon</w:t>
            </w:r>
          </w:p>
        </w:tc>
      </w:tr>
      <w:tr w:rsidR="006951D1" w:rsidRPr="00700E54" w14:paraId="5F242ECB" w14:textId="77777777" w:rsidTr="006951D1">
        <w:tc>
          <w:tcPr>
            <w:tcW w:w="4528" w:type="dxa"/>
            <w:shd w:val="clear" w:color="auto" w:fill="auto"/>
            <w:vAlign w:val="center"/>
          </w:tcPr>
          <w:p w14:paraId="3BEF553D" w14:textId="061FECA0" w:rsidR="006951D1" w:rsidRPr="00700E54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Sodná soľ kroskarmelózy</w:t>
            </w:r>
          </w:p>
        </w:tc>
      </w:tr>
      <w:tr w:rsidR="006951D1" w:rsidRPr="00700E54" w14:paraId="208E6D2A" w14:textId="77777777" w:rsidTr="006951D1">
        <w:tc>
          <w:tcPr>
            <w:tcW w:w="4528" w:type="dxa"/>
            <w:shd w:val="clear" w:color="auto" w:fill="auto"/>
            <w:vAlign w:val="center"/>
          </w:tcPr>
          <w:p w14:paraId="0A2415F7" w14:textId="3BEC051D" w:rsidR="006951D1" w:rsidRPr="00700E54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Monohydrát laktózy</w:t>
            </w:r>
          </w:p>
        </w:tc>
      </w:tr>
      <w:tr w:rsidR="006951D1" w:rsidRPr="00700E54" w14:paraId="4FFE05F0" w14:textId="77777777" w:rsidTr="006951D1">
        <w:tc>
          <w:tcPr>
            <w:tcW w:w="4528" w:type="dxa"/>
            <w:shd w:val="clear" w:color="auto" w:fill="auto"/>
            <w:vAlign w:val="center"/>
          </w:tcPr>
          <w:p w14:paraId="12FE9CE8" w14:textId="0B0E20F7" w:rsidR="006951D1" w:rsidRPr="00700E54" w:rsidRDefault="005F1582" w:rsidP="005F1582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r w:rsidRPr="00700E54">
              <w:rPr>
                <w:iCs/>
                <w:szCs w:val="22"/>
              </w:rPr>
              <w:t>Kuracia príchuť</w:t>
            </w:r>
            <w:r w:rsidRPr="00700E54">
              <w:rPr>
                <w:i/>
                <w:szCs w:val="22"/>
              </w:rPr>
              <w:t>*</w:t>
            </w:r>
          </w:p>
        </w:tc>
      </w:tr>
      <w:tr w:rsidR="006951D1" w:rsidRPr="00700E54" w14:paraId="4BD48698" w14:textId="77777777" w:rsidTr="006951D1">
        <w:tc>
          <w:tcPr>
            <w:tcW w:w="4528" w:type="dxa"/>
            <w:shd w:val="clear" w:color="auto" w:fill="auto"/>
            <w:vAlign w:val="center"/>
          </w:tcPr>
          <w:p w14:paraId="5F36B043" w14:textId="544C77AF" w:rsidR="006951D1" w:rsidRPr="00700E54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 xml:space="preserve">Kvasinky </w:t>
            </w:r>
          </w:p>
        </w:tc>
      </w:tr>
      <w:tr w:rsidR="005F1582" w:rsidRPr="00700E54" w14:paraId="17A181C9" w14:textId="77777777" w:rsidTr="006951D1">
        <w:tc>
          <w:tcPr>
            <w:tcW w:w="4528" w:type="dxa"/>
            <w:shd w:val="clear" w:color="auto" w:fill="auto"/>
            <w:vAlign w:val="center"/>
          </w:tcPr>
          <w:p w14:paraId="34ED88AF" w14:textId="4480AD16" w:rsidR="005F1582" w:rsidRPr="00700E54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Mikrokryštalická celulóza</w:t>
            </w:r>
          </w:p>
        </w:tc>
      </w:tr>
      <w:tr w:rsidR="005F1582" w:rsidRPr="00700E54" w14:paraId="2A7D4530" w14:textId="77777777" w:rsidTr="006951D1">
        <w:tc>
          <w:tcPr>
            <w:tcW w:w="4528" w:type="dxa"/>
            <w:shd w:val="clear" w:color="auto" w:fill="auto"/>
            <w:vAlign w:val="center"/>
          </w:tcPr>
          <w:p w14:paraId="2979389A" w14:textId="6429BEF3" w:rsidR="005F1582" w:rsidRPr="00700E54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Koloidný bezvodý oxid kremičitý</w:t>
            </w:r>
          </w:p>
        </w:tc>
      </w:tr>
      <w:tr w:rsidR="005F1582" w:rsidRPr="00700E54" w14:paraId="5F6D1EE7" w14:textId="77777777" w:rsidTr="006951D1">
        <w:tc>
          <w:tcPr>
            <w:tcW w:w="4528" w:type="dxa"/>
            <w:shd w:val="clear" w:color="auto" w:fill="auto"/>
            <w:vAlign w:val="center"/>
          </w:tcPr>
          <w:p w14:paraId="3A796D91" w14:textId="1D9E7EFE" w:rsidR="005F1582" w:rsidRPr="00700E54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Stearan horečnatý</w:t>
            </w:r>
          </w:p>
        </w:tc>
      </w:tr>
    </w:tbl>
    <w:p w14:paraId="2EDF3F86" w14:textId="2A8E1CEF" w:rsidR="00C114FF" w:rsidRPr="00700E54" w:rsidRDefault="003E308E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700E54">
        <w:rPr>
          <w:i/>
          <w:szCs w:val="22"/>
        </w:rPr>
        <w:t>*</w:t>
      </w:r>
      <w:r w:rsidR="005F1582" w:rsidRPr="00700E54">
        <w:rPr>
          <w:i/>
          <w:szCs w:val="22"/>
        </w:rPr>
        <w:t>Umelá</w:t>
      </w:r>
    </w:p>
    <w:p w14:paraId="311B730C" w14:textId="77777777" w:rsidR="003E308E" w:rsidRPr="00700E54" w:rsidRDefault="003E308E" w:rsidP="00A9226B">
      <w:pPr>
        <w:tabs>
          <w:tab w:val="clear" w:pos="567"/>
        </w:tabs>
        <w:spacing w:line="240" w:lineRule="auto"/>
        <w:rPr>
          <w:i/>
          <w:szCs w:val="22"/>
        </w:rPr>
      </w:pPr>
    </w:p>
    <w:p w14:paraId="3765DE67" w14:textId="50A4D1CE" w:rsidR="003E308E" w:rsidRPr="00700E54" w:rsidRDefault="003B0BB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Okrúhle</w:t>
      </w:r>
      <w:r w:rsidR="003E308E" w:rsidRPr="00700E54">
        <w:rPr>
          <w:iCs/>
          <w:szCs w:val="22"/>
        </w:rPr>
        <w:t xml:space="preserve"> tablety béžovej až svetlo hnedej farby s deliacou ryhou na jednej strane.</w:t>
      </w:r>
    </w:p>
    <w:p w14:paraId="20DFA544" w14:textId="170EAE70" w:rsidR="00CC0521" w:rsidRPr="00700E54" w:rsidRDefault="00CC0521" w:rsidP="00B13B6D">
      <w:pPr>
        <w:pStyle w:val="Style1"/>
        <w:rPr>
          <w:b w:val="0"/>
          <w:iCs/>
        </w:rPr>
      </w:pPr>
      <w:r w:rsidRPr="00700E54">
        <w:rPr>
          <w:b w:val="0"/>
          <w:iCs/>
        </w:rPr>
        <w:t>Tablety možno rozdeliť na dve rovnaké časti.</w:t>
      </w:r>
    </w:p>
    <w:p w14:paraId="79E194CC" w14:textId="77777777" w:rsidR="00CC0521" w:rsidRPr="00700E54" w:rsidRDefault="00CC0521" w:rsidP="00B13B6D">
      <w:pPr>
        <w:pStyle w:val="Style1"/>
        <w:rPr>
          <w:b w:val="0"/>
          <w:iCs/>
        </w:rPr>
      </w:pPr>
    </w:p>
    <w:p w14:paraId="4594C1B5" w14:textId="77224C9A" w:rsidR="00C114FF" w:rsidRPr="00700E54" w:rsidRDefault="00ED6925" w:rsidP="00B13B6D">
      <w:pPr>
        <w:pStyle w:val="Style1"/>
      </w:pPr>
      <w:r w:rsidRPr="00700E54">
        <w:t>3.</w:t>
      </w:r>
      <w:r w:rsidRPr="00700E54">
        <w:tab/>
        <w:t>KLINICKÉ ÚDAJE</w:t>
      </w:r>
    </w:p>
    <w:p w14:paraId="76D82846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700E54" w:rsidRDefault="00ED6925" w:rsidP="00B13B6D">
      <w:pPr>
        <w:pStyle w:val="Style1"/>
      </w:pPr>
      <w:r w:rsidRPr="00700E54">
        <w:t>3.1</w:t>
      </w:r>
      <w:r w:rsidRPr="00700E54">
        <w:tab/>
        <w:t>Cieľové druhy</w:t>
      </w:r>
    </w:p>
    <w:p w14:paraId="2A7E2091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06056" w14:textId="1AD13309" w:rsidR="00CC0521" w:rsidRPr="00700E54" w:rsidRDefault="00CC0521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Psy </w:t>
      </w:r>
      <w:r w:rsidR="0079747C" w:rsidRPr="00700E54">
        <w:rPr>
          <w:szCs w:val="22"/>
        </w:rPr>
        <w:t>s</w:t>
      </w:r>
      <w:r w:rsidRPr="00700E54">
        <w:rPr>
          <w:szCs w:val="22"/>
        </w:rPr>
        <w:t> hmotnos</w:t>
      </w:r>
      <w:r w:rsidR="0079747C" w:rsidRPr="00700E54">
        <w:rPr>
          <w:szCs w:val="22"/>
        </w:rPr>
        <w:t>ťou</w:t>
      </w:r>
      <w:r w:rsidRPr="00700E54">
        <w:rPr>
          <w:szCs w:val="22"/>
        </w:rPr>
        <w:t xml:space="preserve"> najmenej </w:t>
      </w:r>
      <w:r w:rsidR="003B0BB5" w:rsidRPr="00700E54">
        <w:rPr>
          <w:szCs w:val="22"/>
        </w:rPr>
        <w:t>2</w:t>
      </w:r>
      <w:r w:rsidR="0079747C" w:rsidRPr="00700E54">
        <w:rPr>
          <w:szCs w:val="22"/>
        </w:rPr>
        <w:t>,</w:t>
      </w:r>
      <w:r w:rsidR="003B0BB5" w:rsidRPr="00700E54">
        <w:rPr>
          <w:szCs w:val="22"/>
        </w:rPr>
        <w:t>5</w:t>
      </w:r>
      <w:r w:rsidRPr="00700E54">
        <w:rPr>
          <w:szCs w:val="22"/>
        </w:rPr>
        <w:t xml:space="preserve"> kg.</w:t>
      </w:r>
    </w:p>
    <w:p w14:paraId="26814433" w14:textId="77777777" w:rsidR="00CC0521" w:rsidRPr="00700E54" w:rsidRDefault="00CC05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700E54" w:rsidRDefault="00ED6925" w:rsidP="00B13B6D">
      <w:pPr>
        <w:pStyle w:val="Style1"/>
      </w:pPr>
      <w:r w:rsidRPr="00700E54">
        <w:t>3.2</w:t>
      </w:r>
      <w:r w:rsidRPr="00700E54">
        <w:tab/>
        <w:t>Indikácie na použitie pre každý cieľový druh</w:t>
      </w:r>
    </w:p>
    <w:p w14:paraId="6FA947A7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263089" w14:textId="68C5D4C6" w:rsidR="00CC0521" w:rsidRPr="00700E54" w:rsidRDefault="00CC0521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U psov: liečba zmiešaných infekcií spôsobených dospelými pásomnicami (cestódy) a hlístami (nematódy) nasledujúcich druhov:</w:t>
      </w:r>
    </w:p>
    <w:p w14:paraId="4731F0BA" w14:textId="77777777" w:rsidR="00CC0521" w:rsidRPr="00700E54" w:rsidRDefault="00CC05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CB364" w14:textId="2D62A9B5" w:rsidR="00CC0521" w:rsidRPr="00700E54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- Pásomnice</w:t>
      </w:r>
      <w:r w:rsidR="005F1582" w:rsidRPr="00700E54">
        <w:rPr>
          <w:szCs w:val="22"/>
        </w:rPr>
        <w:t xml:space="preserve"> (Cestódy)</w:t>
      </w:r>
      <w:r w:rsidRPr="00700E54">
        <w:rPr>
          <w:szCs w:val="22"/>
        </w:rPr>
        <w:t xml:space="preserve">: </w:t>
      </w:r>
    </w:p>
    <w:p w14:paraId="4B3B08C6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Dipylidium caninum </w:t>
      </w:r>
    </w:p>
    <w:p w14:paraId="32CC811A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Taenia </w:t>
      </w:r>
      <w:r w:rsidRPr="00700E54">
        <w:rPr>
          <w:szCs w:val="22"/>
        </w:rPr>
        <w:t>spp</w:t>
      </w:r>
      <w:r w:rsidRPr="00700E54">
        <w:rPr>
          <w:i/>
          <w:iCs/>
          <w:szCs w:val="22"/>
        </w:rPr>
        <w:t xml:space="preserve">. </w:t>
      </w:r>
    </w:p>
    <w:p w14:paraId="6A818EDF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Echinococcus </w:t>
      </w:r>
      <w:r w:rsidRPr="00700E54">
        <w:rPr>
          <w:szCs w:val="22"/>
        </w:rPr>
        <w:t>spp</w:t>
      </w:r>
      <w:r w:rsidRPr="00700E54">
        <w:rPr>
          <w:i/>
          <w:iCs/>
          <w:szCs w:val="22"/>
        </w:rPr>
        <w:t xml:space="preserve">. </w:t>
      </w:r>
    </w:p>
    <w:p w14:paraId="0752E558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Mesocestoides </w:t>
      </w:r>
      <w:r w:rsidRPr="00700E54">
        <w:rPr>
          <w:szCs w:val="22"/>
        </w:rPr>
        <w:t>spp</w:t>
      </w:r>
      <w:r w:rsidRPr="00700E54">
        <w:rPr>
          <w:i/>
          <w:iCs/>
          <w:szCs w:val="22"/>
        </w:rPr>
        <w:t xml:space="preserve">. </w:t>
      </w:r>
    </w:p>
    <w:p w14:paraId="12351CC4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1A9D3CBC" w14:textId="66C7CED5" w:rsidR="00CC0521" w:rsidRPr="00700E54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- Hlísty (Nemat</w:t>
      </w:r>
      <w:r w:rsidR="005F1582" w:rsidRPr="00700E54">
        <w:rPr>
          <w:szCs w:val="22"/>
        </w:rPr>
        <w:t>ó</w:t>
      </w:r>
      <w:r w:rsidRPr="00700E54">
        <w:rPr>
          <w:szCs w:val="22"/>
        </w:rPr>
        <w:t>d</w:t>
      </w:r>
      <w:r w:rsidR="005F1582" w:rsidRPr="00700E54">
        <w:rPr>
          <w:szCs w:val="22"/>
        </w:rPr>
        <w:t>y</w:t>
      </w:r>
      <w:r w:rsidRPr="00700E54">
        <w:rPr>
          <w:szCs w:val="22"/>
        </w:rPr>
        <w:t xml:space="preserve">): </w:t>
      </w:r>
    </w:p>
    <w:p w14:paraId="1D2FAE3F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Ancylostoma caninum </w:t>
      </w:r>
    </w:p>
    <w:p w14:paraId="493C7855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Toxocara canis </w:t>
      </w:r>
    </w:p>
    <w:p w14:paraId="2FE13FBA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Toxascaris leonina </w:t>
      </w:r>
    </w:p>
    <w:p w14:paraId="6F569D28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Trichuris vulpis </w:t>
      </w:r>
    </w:p>
    <w:p w14:paraId="68D7F885" w14:textId="0D13C564" w:rsidR="00CC0521" w:rsidRPr="00700E54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i/>
          <w:iCs/>
          <w:szCs w:val="22"/>
        </w:rPr>
        <w:t>Crenosoma vulpis</w:t>
      </w:r>
      <w:r w:rsidRPr="00700E54">
        <w:rPr>
          <w:szCs w:val="22"/>
        </w:rPr>
        <w:t xml:space="preserve"> (</w:t>
      </w:r>
      <w:r w:rsidR="005F1582" w:rsidRPr="00700E54">
        <w:rPr>
          <w:szCs w:val="22"/>
        </w:rPr>
        <w:t>z</w:t>
      </w:r>
      <w:r w:rsidRPr="00700E54">
        <w:rPr>
          <w:szCs w:val="22"/>
        </w:rPr>
        <w:t xml:space="preserve">níženie miery infekcie) </w:t>
      </w:r>
    </w:p>
    <w:p w14:paraId="40660339" w14:textId="4F98808C" w:rsidR="00CC0521" w:rsidRPr="00700E54" w:rsidRDefault="00CC0521" w:rsidP="00CC05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00E54">
        <w:rPr>
          <w:i/>
          <w:iCs/>
          <w:szCs w:val="22"/>
        </w:rPr>
        <w:lastRenderedPageBreak/>
        <w:t xml:space="preserve">Angiostrongylus vasorum </w:t>
      </w:r>
      <w:r w:rsidRPr="00700E54">
        <w:rPr>
          <w:szCs w:val="22"/>
        </w:rPr>
        <w:t>(zníženie miery infekcie nedospelými (L5) a dospelými štádiami parazitov; pozri plán špecifickej liečby a prevencie ochorení v čast</w:t>
      </w:r>
      <w:r w:rsidR="00A22DE7" w:rsidRPr="00700E54">
        <w:rPr>
          <w:szCs w:val="22"/>
        </w:rPr>
        <w:t>i</w:t>
      </w:r>
      <w:r w:rsidRPr="00700E54">
        <w:rPr>
          <w:szCs w:val="22"/>
        </w:rPr>
        <w:t xml:space="preserve"> 3.9 „Cesty podania a dávkovanie“).</w:t>
      </w:r>
    </w:p>
    <w:p w14:paraId="249673AE" w14:textId="77777777" w:rsidR="00CC0521" w:rsidRPr="00700E54" w:rsidRDefault="00CC0521" w:rsidP="00CC0521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3AE0A91C" w14:textId="7012D9EA" w:rsidR="00CC0521" w:rsidRPr="00700E54" w:rsidRDefault="00CC0521" w:rsidP="00CC05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00E54">
        <w:rPr>
          <w:i/>
          <w:iCs/>
          <w:szCs w:val="22"/>
        </w:rPr>
        <w:t xml:space="preserve">Thelazia callipaeda </w:t>
      </w:r>
      <w:r w:rsidRPr="00700E54">
        <w:rPr>
          <w:szCs w:val="22"/>
        </w:rPr>
        <w:t xml:space="preserve">(pozri plán špecifickej liečby v časti 3.9 „Cesty podania a dávkovanie“). </w:t>
      </w:r>
    </w:p>
    <w:p w14:paraId="57C47B46" w14:textId="77777777" w:rsidR="00CC0521" w:rsidRPr="00700E54" w:rsidRDefault="00CC0521" w:rsidP="00CC0521">
      <w:pPr>
        <w:tabs>
          <w:tab w:val="clear" w:pos="567"/>
        </w:tabs>
        <w:spacing w:line="240" w:lineRule="auto"/>
        <w:rPr>
          <w:szCs w:val="22"/>
        </w:rPr>
      </w:pPr>
    </w:p>
    <w:p w14:paraId="5B38B67E" w14:textId="0A2CE77C" w:rsidR="00CC0521" w:rsidRPr="00700E54" w:rsidRDefault="00A21C09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Veterinárny liek sa môže použiť aj na prevenciu dirofilariózy (</w:t>
      </w:r>
      <w:r w:rsidRPr="00700E54">
        <w:rPr>
          <w:i/>
          <w:iCs/>
          <w:szCs w:val="22"/>
        </w:rPr>
        <w:t>Dirofilaria immitis</w:t>
      </w:r>
      <w:r w:rsidRPr="00700E54">
        <w:rPr>
          <w:szCs w:val="22"/>
        </w:rPr>
        <w:t>) ak je indikovaná s</w:t>
      </w:r>
      <w:r w:rsidR="00175E84" w:rsidRPr="00700E54">
        <w:rPr>
          <w:szCs w:val="22"/>
        </w:rPr>
        <w:t xml:space="preserve">úbežná </w:t>
      </w:r>
      <w:r w:rsidRPr="00700E54">
        <w:rPr>
          <w:szCs w:val="22"/>
        </w:rPr>
        <w:t>liečba proti pásomniciam</w:t>
      </w:r>
    </w:p>
    <w:p w14:paraId="2DA6929E" w14:textId="77777777" w:rsidR="00E86CEE" w:rsidRPr="00700E54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700E54" w:rsidRDefault="00ED6925" w:rsidP="00B13B6D">
      <w:pPr>
        <w:pStyle w:val="Style1"/>
      </w:pPr>
      <w:r w:rsidRPr="00700E54">
        <w:t>3.3</w:t>
      </w:r>
      <w:r w:rsidRPr="00700E54">
        <w:tab/>
        <w:t>Kontraindikácie</w:t>
      </w:r>
    </w:p>
    <w:p w14:paraId="1F06B03A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05482C" w14:textId="1688CECE" w:rsidR="00497B6B" w:rsidRPr="00700E54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Nepoužívať u </w:t>
      </w:r>
      <w:r w:rsidR="003B0BB5" w:rsidRPr="00700E54">
        <w:rPr>
          <w:szCs w:val="22"/>
        </w:rPr>
        <w:t>psov</w:t>
      </w:r>
      <w:r w:rsidRPr="00700E54">
        <w:rPr>
          <w:szCs w:val="22"/>
        </w:rPr>
        <w:t xml:space="preserve"> s hmotnosťou nižšou ako </w:t>
      </w:r>
      <w:r w:rsidR="003B0BB5" w:rsidRPr="00700E54">
        <w:rPr>
          <w:szCs w:val="22"/>
        </w:rPr>
        <w:t>2</w:t>
      </w:r>
      <w:r w:rsidR="0079747C" w:rsidRPr="00700E54">
        <w:rPr>
          <w:szCs w:val="22"/>
        </w:rPr>
        <w:t>,</w:t>
      </w:r>
      <w:r w:rsidRPr="00700E54">
        <w:rPr>
          <w:szCs w:val="22"/>
        </w:rPr>
        <w:t xml:space="preserve">5 kg. </w:t>
      </w:r>
    </w:p>
    <w:p w14:paraId="10919FD3" w14:textId="77777777" w:rsidR="00497B6B" w:rsidRPr="00700E54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Nepoužívať v prípadoch precitlivenosti na účinné látky alebo na niektorú z pomocných látok. </w:t>
      </w:r>
    </w:p>
    <w:p w14:paraId="42BF881D" w14:textId="0DFCCC6B" w:rsidR="00497B6B" w:rsidRPr="00700E54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Pozri tiež časť 3.5 „Osobitné opatrenia na používanie“.</w:t>
      </w:r>
    </w:p>
    <w:p w14:paraId="1BA27A52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700E54" w:rsidRDefault="00ED6925" w:rsidP="00B13B6D">
      <w:pPr>
        <w:pStyle w:val="Style1"/>
      </w:pPr>
      <w:r w:rsidRPr="00700E54">
        <w:t>3.4</w:t>
      </w:r>
      <w:r w:rsidRPr="00700E54">
        <w:tab/>
        <w:t>Osobitné upozornenia</w:t>
      </w:r>
    </w:p>
    <w:p w14:paraId="55A1B245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C5CCB8" w14:textId="5BA96BD7" w:rsidR="00497B6B" w:rsidRPr="00700E54" w:rsidRDefault="00497B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Odporúča sa súbežné ošetrenie všetkých zvierat žijúcich v rovnakej domácnosti. V prípade potvrdenej infekcie cestódami </w:t>
      </w:r>
      <w:r w:rsidRPr="00700E54">
        <w:rPr>
          <w:i/>
          <w:iCs/>
          <w:szCs w:val="22"/>
        </w:rPr>
        <w:t>D. caninum</w:t>
      </w:r>
      <w:r w:rsidRPr="00700E54">
        <w:rPr>
          <w:szCs w:val="22"/>
        </w:rPr>
        <w:t xml:space="preserve"> je potrebné </w:t>
      </w:r>
      <w:r w:rsidR="0079747C" w:rsidRPr="00700E54">
        <w:rPr>
          <w:szCs w:val="22"/>
        </w:rPr>
        <w:t xml:space="preserve">konzultovať s veterinárnym lekárom </w:t>
      </w:r>
      <w:r w:rsidRPr="00700E54">
        <w:rPr>
          <w:szCs w:val="22"/>
        </w:rPr>
        <w:t xml:space="preserve">súbežnú liečbu proti medzihostiteľom ako sú blchy a vši, aby sa zabránilo opakovanej infekcii. </w:t>
      </w:r>
    </w:p>
    <w:p w14:paraId="44062DDF" w14:textId="77777777" w:rsidR="00497B6B" w:rsidRPr="00700E54" w:rsidRDefault="00497B6B">
      <w:pPr>
        <w:tabs>
          <w:tab w:val="clear" w:pos="567"/>
        </w:tabs>
        <w:spacing w:line="240" w:lineRule="auto"/>
        <w:rPr>
          <w:szCs w:val="22"/>
        </w:rPr>
      </w:pPr>
    </w:p>
    <w:p w14:paraId="3F997DF9" w14:textId="58A9ED47" w:rsidR="00497B6B" w:rsidRPr="00700E54" w:rsidRDefault="007974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Nadmerné </w:t>
      </w:r>
      <w:r w:rsidR="00497B6B" w:rsidRPr="00700E54">
        <w:rPr>
          <w:szCs w:val="22"/>
        </w:rPr>
        <w:t xml:space="preserve">použitie antiparazitík alebo použitie odlišné od pokynov uvedených v SPC môže zvýšiť selekčný tlak na rezistenciu a viesť k zníženiu účinnosti. Rozhodnutie </w:t>
      </w:r>
      <w:r w:rsidRPr="00700E54">
        <w:rPr>
          <w:szCs w:val="22"/>
        </w:rPr>
        <w:t xml:space="preserve">o použití lieku </w:t>
      </w:r>
      <w:r w:rsidR="00497B6B" w:rsidRPr="00700E54">
        <w:rPr>
          <w:szCs w:val="22"/>
        </w:rPr>
        <w:t xml:space="preserve">by malo byť založené na potvrdení </w:t>
      </w:r>
      <w:r w:rsidRPr="00700E54">
        <w:rPr>
          <w:szCs w:val="22"/>
        </w:rPr>
        <w:t xml:space="preserve">druhu </w:t>
      </w:r>
      <w:r w:rsidR="00497B6B" w:rsidRPr="00700E54">
        <w:rPr>
          <w:szCs w:val="22"/>
        </w:rPr>
        <w:t>parazit</w:t>
      </w:r>
      <w:r w:rsidRPr="00700E54">
        <w:rPr>
          <w:szCs w:val="22"/>
        </w:rPr>
        <w:t>a</w:t>
      </w:r>
      <w:r w:rsidR="00497B6B" w:rsidRPr="00700E54">
        <w:rPr>
          <w:szCs w:val="22"/>
        </w:rPr>
        <w:t xml:space="preserve"> a</w:t>
      </w:r>
      <w:r w:rsidRPr="00700E54">
        <w:rPr>
          <w:szCs w:val="22"/>
        </w:rPr>
        <w:t xml:space="preserve"> parazitárnej </w:t>
      </w:r>
      <w:r w:rsidR="00497B6B" w:rsidRPr="00700E54">
        <w:rPr>
          <w:szCs w:val="22"/>
        </w:rPr>
        <w:t>záťaže alebo rizika infekcie na základe jeho epidemiologických vlastností pre každé jednotlivé zviera.</w:t>
      </w:r>
    </w:p>
    <w:p w14:paraId="0A5FF0DF" w14:textId="77777777" w:rsidR="00497B6B" w:rsidRPr="00700E54" w:rsidRDefault="00497B6B">
      <w:pPr>
        <w:tabs>
          <w:tab w:val="clear" w:pos="567"/>
        </w:tabs>
        <w:spacing w:line="240" w:lineRule="auto"/>
        <w:rPr>
          <w:szCs w:val="22"/>
        </w:rPr>
      </w:pPr>
    </w:p>
    <w:p w14:paraId="6B6AAA4A" w14:textId="77777777" w:rsidR="00497B6B" w:rsidRPr="00700E54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Rezistencia parazitov voči akejkoľvek skupine antihelmintík sa môže vyvinúť po častom a opakovanom použití antihelmintika príslušnej skupiny.</w:t>
      </w:r>
    </w:p>
    <w:p w14:paraId="7613D077" w14:textId="16628574" w:rsidR="00497B6B" w:rsidRPr="00700E54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V tretích krajinách (USA) už bola hlásená rezistencia </w:t>
      </w:r>
      <w:r w:rsidRPr="00700E54">
        <w:rPr>
          <w:i/>
          <w:iCs/>
          <w:szCs w:val="22"/>
        </w:rPr>
        <w:t>Dipylidium caninum</w:t>
      </w:r>
      <w:r w:rsidRPr="00700E54">
        <w:rPr>
          <w:szCs w:val="22"/>
        </w:rPr>
        <w:t xml:space="preserve"> k prazikvantelu a prípady viacnásobnej rezistencie </w:t>
      </w:r>
      <w:r w:rsidRPr="00700E54">
        <w:rPr>
          <w:i/>
          <w:iCs/>
          <w:szCs w:val="22"/>
        </w:rPr>
        <w:t>Ancylostoma caninum</w:t>
      </w:r>
      <w:r w:rsidRPr="00700E54">
        <w:rPr>
          <w:szCs w:val="22"/>
        </w:rPr>
        <w:t xml:space="preserve"> </w:t>
      </w:r>
      <w:r w:rsidR="00C40196" w:rsidRPr="00700E54">
        <w:rPr>
          <w:szCs w:val="22"/>
        </w:rPr>
        <w:t>k </w:t>
      </w:r>
      <w:bookmarkStart w:id="1" w:name="_Hlk141348951"/>
      <w:r w:rsidR="00C40196" w:rsidRPr="00700E54">
        <w:rPr>
          <w:szCs w:val="22"/>
        </w:rPr>
        <w:t>milbemycínoximu</w:t>
      </w:r>
      <w:bookmarkEnd w:id="1"/>
      <w:r w:rsidR="00C40196" w:rsidRPr="00700E54">
        <w:rPr>
          <w:szCs w:val="22"/>
        </w:rPr>
        <w:t xml:space="preserve"> </w:t>
      </w:r>
      <w:r w:rsidRPr="00700E54">
        <w:rPr>
          <w:szCs w:val="22"/>
        </w:rPr>
        <w:t xml:space="preserve">a rezistencia </w:t>
      </w:r>
      <w:r w:rsidRPr="00700E54">
        <w:rPr>
          <w:i/>
          <w:iCs/>
          <w:szCs w:val="22"/>
        </w:rPr>
        <w:t>Dirofilaria immitis</w:t>
      </w:r>
      <w:r w:rsidRPr="00700E54">
        <w:rPr>
          <w:szCs w:val="22"/>
        </w:rPr>
        <w:t xml:space="preserve"> k makrocyklickým laktónom.</w:t>
      </w:r>
    </w:p>
    <w:p w14:paraId="71316189" w14:textId="182808D8" w:rsidR="00497B6B" w:rsidRPr="00700E54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Odporúča sa ďalej vyšetriť prípady podozrenia na rezistenciu s využitím zodpovedajúcej diagnostickej metódy. Potvrdená rezistencia by mala byť hlásená </w:t>
      </w:r>
      <w:r w:rsidR="00D106C3" w:rsidRPr="00700E54">
        <w:rPr>
          <w:szCs w:val="22"/>
        </w:rPr>
        <w:t xml:space="preserve">držiteľovi rozhodnutia o registrácii </w:t>
      </w:r>
      <w:r w:rsidRPr="00700E54">
        <w:rPr>
          <w:szCs w:val="22"/>
        </w:rPr>
        <w:t>alebo príslušným orgánom.</w:t>
      </w:r>
    </w:p>
    <w:p w14:paraId="0E77ABCD" w14:textId="3DBAA106" w:rsidR="00497B6B" w:rsidRPr="00700E54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Ak hrozí riziko koinfekcie s hlístami alebo pásomnicami, mal by byť použitý </w:t>
      </w:r>
      <w:r w:rsidR="00DD7B47" w:rsidRPr="00700E54">
        <w:rPr>
          <w:szCs w:val="22"/>
        </w:rPr>
        <w:t xml:space="preserve">liek </w:t>
      </w:r>
      <w:r w:rsidRPr="00700E54">
        <w:rPr>
          <w:szCs w:val="22"/>
        </w:rPr>
        <w:t>s úzkym spektrom.</w:t>
      </w:r>
    </w:p>
    <w:p w14:paraId="047BA62A" w14:textId="200681A9" w:rsidR="00497B6B" w:rsidRPr="00700E54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Použitie lieku by malo byť založené na základe znalosti miestnej epidemiologickej informácie o citlivosti cieľových parazitov, ak sú k dispozícii.</w:t>
      </w:r>
    </w:p>
    <w:p w14:paraId="4FBEC239" w14:textId="77777777" w:rsidR="00497B6B" w:rsidRPr="00700E54" w:rsidRDefault="00497B6B" w:rsidP="00497B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700E54" w:rsidRDefault="00ED6925" w:rsidP="00B13B6D">
      <w:pPr>
        <w:pStyle w:val="Style1"/>
      </w:pPr>
      <w:r w:rsidRPr="00700E54">
        <w:t>3.5</w:t>
      </w:r>
      <w:r w:rsidRPr="00700E54">
        <w:tab/>
        <w:t>Osobitné opatrenia na používanie</w:t>
      </w:r>
    </w:p>
    <w:p w14:paraId="3ABBE024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700E54" w:rsidRDefault="00ED692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0E54">
        <w:rPr>
          <w:szCs w:val="22"/>
          <w:u w:val="single"/>
        </w:rPr>
        <w:t>Osobitné opatrenia na bezpečné používanie u cieľových druhov</w:t>
      </w:r>
    </w:p>
    <w:p w14:paraId="18AB10F2" w14:textId="3B029313" w:rsidR="00C114FF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V oblastiach s rizikom výskytu dirofilariózy alebo pokiaľ je známe, že pes cestuje do alebo z regiónov s rizikom výskytu dirofilariózy, sa odporúča pred podaním lieku konzultácia s veterinárnym lekárom, aby sa vylúčila prítomnosť súčasnej invázie </w:t>
      </w:r>
      <w:r w:rsidRPr="00700E54">
        <w:rPr>
          <w:i/>
          <w:iCs/>
          <w:szCs w:val="22"/>
        </w:rPr>
        <w:t>Dirofilaria immitis</w:t>
      </w:r>
      <w:r w:rsidRPr="00700E54">
        <w:rPr>
          <w:szCs w:val="22"/>
        </w:rPr>
        <w:t>. V prípade pozitívnej diagnózy sa pred podaním tohto lieku indikuje terapia proti dospelým jedincom.</w:t>
      </w:r>
    </w:p>
    <w:p w14:paraId="294068F4" w14:textId="77777777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41B80" w14:textId="511B2CFD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Liečba psov s vysokým počtom cirkulujúcich mikrofilárií môže niekedy viesť k vzniku hypersenzitívnych reakcií, ako sú bledé sliznice, zvracanie, chvenie, sťažené dýchanie alebo nadmerné slinenie. Tieto reakcie sú spojené s uvoľnením proteínov z uhynutých alebo hynúcich mikrofilárií a nepredstavujú priamy toxický účinok lieku. Použitie u psov napadnutých mikrofiláriami sa preto neodporúča.</w:t>
      </w:r>
    </w:p>
    <w:p w14:paraId="19FE9C2A" w14:textId="77777777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D49CD" w14:textId="2354AB1A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Neboli vykonané žiadne štúdie s veľmi oslabenými psami alebo s jedincami s vážnymi poruchami obličiek alebo funkciou pečene Pre tieto zvieratá sa liek neodporúča alebo iba po zvážení </w:t>
      </w:r>
      <w:r w:rsidR="0079747C" w:rsidRPr="00700E54">
        <w:rPr>
          <w:szCs w:val="22"/>
        </w:rPr>
        <w:t xml:space="preserve">pomeru </w:t>
      </w:r>
      <w:r w:rsidRPr="00700E54">
        <w:rPr>
          <w:szCs w:val="22"/>
        </w:rPr>
        <w:t>rizika alebo prínosu</w:t>
      </w:r>
      <w:r w:rsidR="0079747C" w:rsidRPr="00700E54">
        <w:rPr>
          <w:szCs w:val="22"/>
        </w:rPr>
        <w:t xml:space="preserve"> zodpovedným </w:t>
      </w:r>
      <w:r w:rsidRPr="00700E54">
        <w:rPr>
          <w:szCs w:val="22"/>
        </w:rPr>
        <w:t>veterinárnym lekárom.</w:t>
      </w:r>
    </w:p>
    <w:p w14:paraId="333CA65A" w14:textId="77777777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C78F37" w14:textId="246A6086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Štúdie s milbemycínoximom dokázali, že hranica bezpečnosti jeho podávania je u niektorých psov plemena kólia alebo príbuzných plemien s mutáciou MDR1(-/-) nižšia ako pri iných plemenách. U </w:t>
      </w:r>
      <w:r w:rsidRPr="00700E54">
        <w:rPr>
          <w:szCs w:val="22"/>
        </w:rPr>
        <w:lastRenderedPageBreak/>
        <w:t>týchto psov sa musí prísne dodržať odporúčané dávkovanie. Znášanlivosť lieku v prípade mladých šteniat týchto plemien nebola skúmaná. Klinické príznaky v prípade kólií sú podobné príznakom u ostatných psov pri predávkovaní (pozri časť 3.10 „Príznaky predávkovania“).</w:t>
      </w:r>
    </w:p>
    <w:p w14:paraId="16723CCA" w14:textId="77777777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CD0994" w14:textId="3DE7D5DD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U psov do veku 4 týždňov je invázia pásomnicami neobvyklá. Liečba psov mladších ako 4 týždne pomocou kombinovaného lieku preto nemusí byť potrebná.</w:t>
      </w:r>
    </w:p>
    <w:p w14:paraId="6366D8B3" w14:textId="683C4DFF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Tablety sú ochutené. V záujme zabránenia nezamýšľaného požitia tablety </w:t>
      </w:r>
      <w:r w:rsidR="00DD7B47" w:rsidRPr="00700E54">
        <w:rPr>
          <w:szCs w:val="22"/>
        </w:rPr>
        <w:t xml:space="preserve">uchovávajte </w:t>
      </w:r>
      <w:r w:rsidRPr="00700E54">
        <w:rPr>
          <w:szCs w:val="22"/>
        </w:rPr>
        <w:t>mimo dosahu zvierat.</w:t>
      </w:r>
    </w:p>
    <w:p w14:paraId="7A8E814C" w14:textId="77777777" w:rsidR="0049495D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700E54" w:rsidRDefault="00ED692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0E54">
        <w:rPr>
          <w:szCs w:val="22"/>
          <w:u w:val="single"/>
        </w:rPr>
        <w:t>Osobitné opatrenia, ktoré má urobiť osoba podávajúca liek zvieratám</w:t>
      </w:r>
    </w:p>
    <w:p w14:paraId="06C64B6B" w14:textId="57930D13" w:rsidR="0049495D" w:rsidRPr="00700E54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Tento veterinárny liek môže byť pri požití škodlivý, najmä pre deti. V záujme zabránenia náhodného požitia </w:t>
      </w:r>
      <w:r w:rsidR="00DD7B47" w:rsidRPr="00700E54">
        <w:rPr>
          <w:szCs w:val="22"/>
        </w:rPr>
        <w:t xml:space="preserve">liek uchovávajte </w:t>
      </w:r>
      <w:r w:rsidRPr="00700E54">
        <w:rPr>
          <w:szCs w:val="22"/>
        </w:rPr>
        <w:t xml:space="preserve">mimo dohľadu a dosahu detí. Nepoužité časti tabliet vráťte do otvoreného otvoru v blistri, vložte späť do </w:t>
      </w:r>
      <w:r w:rsidR="00DD7B47" w:rsidRPr="00700E54">
        <w:rPr>
          <w:szCs w:val="22"/>
        </w:rPr>
        <w:t>škatuľky</w:t>
      </w:r>
      <w:r w:rsidRPr="00700E54">
        <w:rPr>
          <w:szCs w:val="22"/>
        </w:rPr>
        <w:t xml:space="preserve"> a</w:t>
      </w:r>
      <w:r w:rsidR="0079747C" w:rsidRPr="00700E54">
        <w:rPr>
          <w:szCs w:val="22"/>
        </w:rPr>
        <w:t xml:space="preserve"> použite </w:t>
      </w:r>
      <w:r w:rsidRPr="00700E54">
        <w:rPr>
          <w:szCs w:val="22"/>
        </w:rPr>
        <w:t>pri ďalšom podaní alebo bezpečne zlikvidujte (pozri časť 5.5).</w:t>
      </w:r>
    </w:p>
    <w:p w14:paraId="00480431" w14:textId="651F7CF6" w:rsidR="0049495D" w:rsidRPr="00700E54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V prípade náhodného požitia, predovšetkým u detí, vyhľadajte ihneď lekársku pomoc a ukážte písomnú informáciu alebo etiketu lekárovi.</w:t>
      </w:r>
    </w:p>
    <w:p w14:paraId="65D587BE" w14:textId="5756C492" w:rsidR="0049495D" w:rsidRPr="00700E54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Liek môže vyvolať slabú senzibilizáciu pri styku s pokožkou. S liekom nemanipulujte v prípade známej precitlivenosti na </w:t>
      </w:r>
      <w:r w:rsidR="00DD7B47" w:rsidRPr="00700E54">
        <w:rPr>
          <w:szCs w:val="22"/>
        </w:rPr>
        <w:t xml:space="preserve">účinné </w:t>
      </w:r>
      <w:r w:rsidRPr="00700E54">
        <w:rPr>
          <w:szCs w:val="22"/>
        </w:rPr>
        <w:t>látky alebo na niektorú z pomocných látok.</w:t>
      </w:r>
    </w:p>
    <w:p w14:paraId="012F775C" w14:textId="1DE7C649" w:rsidR="003B0BB5" w:rsidRPr="00700E54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Pokiaľ príznaky ako kožná vyrážka pretrvávajú, vyhľadajte ihneď lekársku pomoc a ukážte písomnú informáciu </w:t>
      </w:r>
      <w:r w:rsidR="00DD7B47" w:rsidRPr="00700E54">
        <w:rPr>
          <w:szCs w:val="22"/>
        </w:rPr>
        <w:t xml:space="preserve">pre používateľov </w:t>
      </w:r>
      <w:r w:rsidRPr="00700E54">
        <w:rPr>
          <w:szCs w:val="22"/>
        </w:rPr>
        <w:t>alebo</w:t>
      </w:r>
      <w:r w:rsidR="00FE30EC" w:rsidRPr="00700E54">
        <w:rPr>
          <w:szCs w:val="22"/>
        </w:rPr>
        <w:t xml:space="preserve"> obal </w:t>
      </w:r>
      <w:r w:rsidRPr="00700E54">
        <w:rPr>
          <w:szCs w:val="22"/>
        </w:rPr>
        <w:t xml:space="preserve">lekárovi. </w:t>
      </w:r>
    </w:p>
    <w:p w14:paraId="5AE58B08" w14:textId="7757DFBE" w:rsidR="00C114FF" w:rsidRPr="00700E54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 použití si umyte ruky.</w:t>
      </w:r>
    </w:p>
    <w:p w14:paraId="54BA3A63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700E54" w:rsidRDefault="00ED692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0E54">
        <w:rPr>
          <w:szCs w:val="22"/>
          <w:u w:val="single"/>
        </w:rPr>
        <w:t>Osobitné opatrenia na ochranu životného prostredia:</w:t>
      </w:r>
    </w:p>
    <w:p w14:paraId="40CE7E7E" w14:textId="0B2467A5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Neuplatňujú sa.</w:t>
      </w:r>
    </w:p>
    <w:p w14:paraId="4CD77300" w14:textId="77777777" w:rsidR="00295140" w:rsidRPr="00700E54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3E4BCB00" w:rsidR="00295140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Ďalšie opatrenia</w:t>
      </w:r>
      <w:r w:rsidRPr="00700E54">
        <w:rPr>
          <w:szCs w:val="22"/>
        </w:rPr>
        <w:t>:</w:t>
      </w:r>
    </w:p>
    <w:p w14:paraId="0B3A9178" w14:textId="3C8ACF0E" w:rsidR="00295140" w:rsidRPr="00700E54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Echinokokóza predstavuje riziko pre človeka. Vzhľadom na to, že echinokokóza je ochorenie podliehajúce hláseniu Svetovej organizácii pre zdravie zvierat (</w:t>
      </w:r>
      <w:r w:rsidR="00C40196" w:rsidRPr="00700E54">
        <w:rPr>
          <w:szCs w:val="22"/>
        </w:rPr>
        <w:t>WOAH</w:t>
      </w:r>
      <w:r w:rsidRPr="00700E54">
        <w:rPr>
          <w:szCs w:val="22"/>
        </w:rPr>
        <w:t>), konkrétne pokyny pre ošetrovanie a následný postup a pokyny na ochranu osôb je potrebné získať od kompetentného úradu (napr. odborníkov alebo parazitologických ústavov).</w:t>
      </w:r>
    </w:p>
    <w:p w14:paraId="2BAB738E" w14:textId="77777777" w:rsidR="0049495D" w:rsidRPr="00700E54" w:rsidRDefault="0049495D" w:rsidP="00B13B6D">
      <w:pPr>
        <w:pStyle w:val="Style1"/>
      </w:pPr>
    </w:p>
    <w:p w14:paraId="60EB5420" w14:textId="7CB7A114" w:rsidR="00C114FF" w:rsidRPr="00700E54" w:rsidRDefault="00ED6925" w:rsidP="00B13B6D">
      <w:pPr>
        <w:pStyle w:val="Style1"/>
      </w:pPr>
      <w:r w:rsidRPr="00700E54">
        <w:t>3.6</w:t>
      </w:r>
      <w:r w:rsidRPr="00700E54">
        <w:tab/>
        <w:t xml:space="preserve">Nežiaduce </w:t>
      </w:r>
      <w:r w:rsidR="00E21B4D" w:rsidRPr="00700E54">
        <w:t>účinky</w:t>
      </w:r>
    </w:p>
    <w:p w14:paraId="3F074C4C" w14:textId="77777777" w:rsidR="00295140" w:rsidRPr="00700E54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011A0A04" w:rsidR="00AD0710" w:rsidRPr="00700E54" w:rsidRDefault="0049495D" w:rsidP="00AD0710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Psy:</w:t>
      </w:r>
    </w:p>
    <w:p w14:paraId="1EF66C48" w14:textId="77777777" w:rsidR="00295140" w:rsidRPr="00700E54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86547" w:rsidRPr="00700E54" w14:paraId="11755D43" w14:textId="77777777" w:rsidTr="00617B81">
        <w:tc>
          <w:tcPr>
            <w:tcW w:w="1957" w:type="pct"/>
          </w:tcPr>
          <w:p w14:paraId="2A606D29" w14:textId="77777777" w:rsidR="00295140" w:rsidRPr="00700E54" w:rsidRDefault="00ED6925" w:rsidP="00617B81">
            <w:pPr>
              <w:spacing w:before="60" w:after="60"/>
              <w:rPr>
                <w:szCs w:val="22"/>
              </w:rPr>
            </w:pPr>
            <w:r w:rsidRPr="00700E54">
              <w:rPr>
                <w:szCs w:val="22"/>
              </w:rPr>
              <w:t>Veľmi zriedkavé</w:t>
            </w:r>
          </w:p>
          <w:p w14:paraId="50488E4B" w14:textId="77777777" w:rsidR="00295140" w:rsidRPr="00700E54" w:rsidRDefault="00ED6925" w:rsidP="00617B81">
            <w:pPr>
              <w:spacing w:before="60" w:after="60"/>
              <w:rPr>
                <w:szCs w:val="22"/>
              </w:rPr>
            </w:pPr>
            <w:r w:rsidRPr="00700E54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F6DA1CB" w14:textId="77777777" w:rsidR="00295140" w:rsidRPr="00700E54" w:rsidRDefault="00B819C6" w:rsidP="0073656A">
            <w:pPr>
              <w:spacing w:before="60" w:after="60"/>
              <w:rPr>
                <w:szCs w:val="22"/>
              </w:rPr>
            </w:pPr>
            <w:r w:rsidRPr="00700E54">
              <w:rPr>
                <w:szCs w:val="22"/>
              </w:rPr>
              <w:t>Hypersenzitivita</w:t>
            </w:r>
          </w:p>
          <w:p w14:paraId="436E69BB" w14:textId="2F00B683" w:rsidR="00B819C6" w:rsidRPr="00700E54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Systémové príznaky (napr. letargia, anorexia)</w:t>
            </w:r>
          </w:p>
          <w:p w14:paraId="698BE068" w14:textId="3BC0BC97" w:rsidR="00B819C6" w:rsidRPr="00700E54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Neurologické príznaky (napr. svalový tremor, ataxia, kŕče)</w:t>
            </w:r>
          </w:p>
          <w:p w14:paraId="35CA7AE1" w14:textId="565C343E" w:rsidR="00B819C6" w:rsidRPr="00700E54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iCs/>
                <w:szCs w:val="22"/>
              </w:rPr>
              <w:t>Gastrointestinálne príznaky (napr. zvracanie, slinenie, hnačka)</w:t>
            </w:r>
          </w:p>
          <w:p w14:paraId="0A87A944" w14:textId="77F7B0E7" w:rsidR="00B819C6" w:rsidRPr="00700E54" w:rsidRDefault="00B819C6" w:rsidP="0073656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E8798B9" w14:textId="77777777" w:rsidR="00295140" w:rsidRPr="00700E54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5A99054E" w:rsidR="00247A48" w:rsidRPr="00700E54" w:rsidRDefault="00ED6925" w:rsidP="00247A48">
      <w:pPr>
        <w:rPr>
          <w:szCs w:val="22"/>
        </w:rPr>
      </w:pPr>
      <w:bookmarkStart w:id="2" w:name="_Hlk66891708"/>
      <w:r w:rsidRPr="00700E54">
        <w:rPr>
          <w:szCs w:val="22"/>
        </w:rPr>
        <w:t xml:space="preserve">Hlásenie nežiaducich </w:t>
      </w:r>
      <w:r w:rsidR="0073656A" w:rsidRPr="00700E54">
        <w:rPr>
          <w:szCs w:val="22"/>
        </w:rPr>
        <w:t>účinkov</w:t>
      </w:r>
      <w:r w:rsidRPr="00700E54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</w:t>
      </w:r>
      <w:r w:rsidR="00362A12" w:rsidRPr="00700E54">
        <w:rPr>
          <w:szCs w:val="22"/>
        </w:rPr>
        <w:t> </w:t>
      </w:r>
      <w:r w:rsidRPr="00700E54">
        <w:rPr>
          <w:szCs w:val="22"/>
        </w:rPr>
        <w:t>písomnej informáci</w:t>
      </w:r>
      <w:r w:rsidR="0079747C" w:rsidRPr="00700E54">
        <w:rPr>
          <w:szCs w:val="22"/>
        </w:rPr>
        <w:t>i</w:t>
      </w:r>
      <w:r w:rsidRPr="00700E54">
        <w:rPr>
          <w:szCs w:val="22"/>
        </w:rPr>
        <w:t xml:space="preserve"> pre používateľov.</w:t>
      </w:r>
    </w:p>
    <w:bookmarkEnd w:id="2"/>
    <w:p w14:paraId="3B718FD7" w14:textId="77777777" w:rsidR="00247A48" w:rsidRPr="00700E54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700E54" w:rsidRDefault="00ED6925" w:rsidP="00B13B6D">
      <w:pPr>
        <w:pStyle w:val="Style1"/>
      </w:pPr>
      <w:r w:rsidRPr="00700E54">
        <w:t>3.7</w:t>
      </w:r>
      <w:r w:rsidRPr="00700E54">
        <w:tab/>
        <w:t>Použitie počas gravidity, laktácie, znášky</w:t>
      </w:r>
    </w:p>
    <w:p w14:paraId="276A6F8C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4777E9D" w:rsidR="00C114FF" w:rsidRPr="00700E54" w:rsidRDefault="00ED6925" w:rsidP="00E74050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Gravidita</w:t>
      </w:r>
      <w:r w:rsidR="00E47BA6" w:rsidRPr="00700E54">
        <w:rPr>
          <w:szCs w:val="22"/>
        </w:rPr>
        <w:t xml:space="preserve"> </w:t>
      </w:r>
      <w:r w:rsidRPr="00700E54">
        <w:rPr>
          <w:szCs w:val="22"/>
          <w:u w:val="single"/>
        </w:rPr>
        <w:t>a laktácia</w:t>
      </w:r>
      <w:r w:rsidRPr="00700E54">
        <w:rPr>
          <w:szCs w:val="22"/>
        </w:rPr>
        <w:t>:</w:t>
      </w:r>
    </w:p>
    <w:p w14:paraId="533A1207" w14:textId="07CA8D73" w:rsidR="00092A37" w:rsidRPr="00700E54" w:rsidRDefault="00E47BA6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Bezpečnosť veterinárneho lieku bola potvrdená počas gravidity a laktácie.</w:t>
      </w:r>
    </w:p>
    <w:p w14:paraId="128B91C5" w14:textId="316FC77E" w:rsidR="00E47BA6" w:rsidRPr="00700E54" w:rsidRDefault="00E47BA6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Môže sa použiť počas gravidity a laktácie.</w:t>
      </w:r>
    </w:p>
    <w:p w14:paraId="57A27F35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0D7F0F98" w:rsidR="00C114FF" w:rsidRPr="00700E54" w:rsidRDefault="00ED6925" w:rsidP="00A4313D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Plodnosť</w:t>
      </w:r>
    </w:p>
    <w:p w14:paraId="1AB4E68A" w14:textId="0F118EC8" w:rsidR="00C114FF" w:rsidRPr="00700E54" w:rsidRDefault="00E47BA6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lastRenderedPageBreak/>
        <w:t>Môže sa použiť u chovných psov.</w:t>
      </w:r>
    </w:p>
    <w:p w14:paraId="5313964D" w14:textId="77777777" w:rsidR="00E47BA6" w:rsidRPr="00700E54" w:rsidRDefault="00E47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700E54" w:rsidRDefault="00ED6925" w:rsidP="00B13B6D">
      <w:pPr>
        <w:pStyle w:val="Style1"/>
      </w:pPr>
      <w:r w:rsidRPr="00700E54">
        <w:t>3.8</w:t>
      </w:r>
      <w:r w:rsidRPr="00700E54">
        <w:tab/>
      </w:r>
      <w:r w:rsidR="004456DA" w:rsidRPr="00700E54">
        <w:t>Interakcie s inými liekmi a ďalšie formy interakcií</w:t>
      </w:r>
    </w:p>
    <w:p w14:paraId="0EEAB286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8046B" w14:textId="77777777" w:rsidR="0079747C" w:rsidRPr="00700E54" w:rsidRDefault="0079747C" w:rsidP="0079747C">
      <w:pPr>
        <w:tabs>
          <w:tab w:val="clear" w:pos="567"/>
        </w:tabs>
        <w:spacing w:line="240" w:lineRule="auto"/>
        <w:rPr>
          <w:szCs w:val="22"/>
        </w:rPr>
      </w:pPr>
      <w:bookmarkStart w:id="3" w:name="_Hlk141353914"/>
      <w:r w:rsidRPr="00700E54">
        <w:rPr>
          <w:szCs w:val="22"/>
        </w:rPr>
        <w:t>Súčasné podávanie tabliet obsahujúcich milbemycínoxim a prazikvantel so selamektínom je dobre tolerované. Pri podávaní odporúčanej dávky makrocyklického laktónu selamektínu počas liečby odporúčanou dávkou kombinácie milbemycínoximu a prazikvantelu neboli pozorované žiadne interakcie. Pri súčasnom podaní tabliet obsahujúcich milbemycínoxim a prazikvantel s inými makrocyklickými laktónmi je potrebná osobitná opatrnosť, pretože nie sú dostupné ďalšie štúdie. Takéto štúdie neboli vykonané ani u chovných zvierat.</w:t>
      </w:r>
      <w:bookmarkEnd w:id="3"/>
    </w:p>
    <w:p w14:paraId="1AA9FD25" w14:textId="77777777" w:rsidR="00C90EDA" w:rsidRPr="00700E54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700E54" w:rsidRDefault="00ED6925" w:rsidP="00B13B6D">
      <w:pPr>
        <w:pStyle w:val="Style1"/>
      </w:pPr>
      <w:r w:rsidRPr="00700E54">
        <w:t>3.9</w:t>
      </w:r>
      <w:r w:rsidRPr="00700E54">
        <w:tab/>
      </w:r>
      <w:r w:rsidR="00B07269" w:rsidRPr="00700E54">
        <w:t>Cesty</w:t>
      </w:r>
      <w:r w:rsidRPr="00700E54">
        <w:t xml:space="preserve"> podania a dávkovanie</w:t>
      </w:r>
    </w:p>
    <w:p w14:paraId="5BA94CFC" w14:textId="77777777" w:rsidR="00145D34" w:rsidRPr="00700E5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04F6FE" w14:textId="2D3221B7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Perorálne podanie.</w:t>
      </w:r>
    </w:p>
    <w:p w14:paraId="3F6722C2" w14:textId="121ECB19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Minimálna odporúčaná dávka: 0,5 mg milbemycínoximu a 5 mg prazi</w:t>
      </w:r>
      <w:r w:rsidR="0079747C" w:rsidRPr="00700E54">
        <w:rPr>
          <w:szCs w:val="22"/>
        </w:rPr>
        <w:t>kv</w:t>
      </w:r>
      <w:r w:rsidRPr="00700E54">
        <w:rPr>
          <w:szCs w:val="22"/>
        </w:rPr>
        <w:t xml:space="preserve">antelu na jeden kilogram </w:t>
      </w:r>
      <w:r w:rsidR="0079747C" w:rsidRPr="00700E54">
        <w:rPr>
          <w:szCs w:val="22"/>
        </w:rPr>
        <w:t>perorálne, jednorazovo</w:t>
      </w:r>
      <w:r w:rsidRPr="00700E54">
        <w:rPr>
          <w:szCs w:val="22"/>
        </w:rPr>
        <w:t xml:space="preserve">. </w:t>
      </w:r>
    </w:p>
    <w:p w14:paraId="102AFA39" w14:textId="68F42774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Na zaistenie podania správnej dávky by mala byť živá hmotnosť stanovená čo najpresnejšie. V závislosti od živej hmotnosti psa je praktické dávkovanie nasledujúce:</w:t>
      </w:r>
    </w:p>
    <w:p w14:paraId="274FF034" w14:textId="77777777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279"/>
      </w:tblGrid>
      <w:tr w:rsidR="0092626A" w:rsidRPr="00700E54" w14:paraId="6D1A2897" w14:textId="77777777" w:rsidTr="007D717C">
        <w:tc>
          <w:tcPr>
            <w:tcW w:w="1969" w:type="dxa"/>
            <w:shd w:val="clear" w:color="auto" w:fill="auto"/>
          </w:tcPr>
          <w:p w14:paraId="775D55CA" w14:textId="732AA4A8" w:rsidR="0092626A" w:rsidRPr="00700E54" w:rsidRDefault="0092626A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Živá hmotnosť (kg)</w:t>
            </w:r>
          </w:p>
        </w:tc>
        <w:tc>
          <w:tcPr>
            <w:tcW w:w="2279" w:type="dxa"/>
            <w:shd w:val="clear" w:color="auto" w:fill="auto"/>
          </w:tcPr>
          <w:p w14:paraId="52B10BAF" w14:textId="3F4A7D75" w:rsidR="0092626A" w:rsidRPr="00700E54" w:rsidRDefault="003B0BB5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12</w:t>
            </w:r>
            <w:r w:rsidR="00E1181B" w:rsidRPr="00700E54">
              <w:rPr>
                <w:szCs w:val="22"/>
              </w:rPr>
              <w:t>,</w:t>
            </w:r>
            <w:r w:rsidR="0092626A" w:rsidRPr="00700E54">
              <w:rPr>
                <w:szCs w:val="22"/>
              </w:rPr>
              <w:t xml:space="preserve">5 mg / </w:t>
            </w:r>
            <w:r w:rsidRPr="00700E54">
              <w:rPr>
                <w:szCs w:val="22"/>
              </w:rPr>
              <w:t>1</w:t>
            </w:r>
            <w:r w:rsidR="0092626A" w:rsidRPr="00700E54">
              <w:rPr>
                <w:szCs w:val="22"/>
              </w:rPr>
              <w:t>25 mg žuvacie tablety</w:t>
            </w:r>
          </w:p>
        </w:tc>
      </w:tr>
      <w:tr w:rsidR="003B0BB5" w:rsidRPr="00700E54" w14:paraId="4BB2E36E" w14:textId="77777777" w:rsidTr="007D717C">
        <w:tc>
          <w:tcPr>
            <w:tcW w:w="1969" w:type="dxa"/>
            <w:shd w:val="clear" w:color="auto" w:fill="auto"/>
          </w:tcPr>
          <w:p w14:paraId="1F9417E7" w14:textId="488D990B" w:rsidR="003B0BB5" w:rsidRPr="00700E54" w:rsidRDefault="003B0BB5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  <w:lang w:val="en-US"/>
              </w:rPr>
              <w:t>2</w:t>
            </w:r>
            <w:r w:rsidR="00E1181B" w:rsidRPr="00700E54">
              <w:rPr>
                <w:szCs w:val="22"/>
                <w:lang w:val="en-US"/>
              </w:rPr>
              <w:t>,</w:t>
            </w:r>
            <w:r w:rsidRPr="00700E54">
              <w:rPr>
                <w:szCs w:val="22"/>
                <w:lang w:val="en-US"/>
              </w:rPr>
              <w:t>5 - 5</w:t>
            </w:r>
          </w:p>
        </w:tc>
        <w:tc>
          <w:tcPr>
            <w:tcW w:w="2279" w:type="dxa"/>
            <w:shd w:val="clear" w:color="auto" w:fill="auto"/>
          </w:tcPr>
          <w:p w14:paraId="0F65B3E4" w14:textId="77777777" w:rsidR="003B0BB5" w:rsidRPr="00700E54" w:rsidRDefault="003B0BB5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1/2 tablety</w:t>
            </w:r>
          </w:p>
        </w:tc>
      </w:tr>
      <w:tr w:rsidR="003B0BB5" w:rsidRPr="00700E54" w14:paraId="68A6D10D" w14:textId="77777777" w:rsidTr="007D717C">
        <w:tc>
          <w:tcPr>
            <w:tcW w:w="1969" w:type="dxa"/>
            <w:shd w:val="clear" w:color="auto" w:fill="auto"/>
          </w:tcPr>
          <w:p w14:paraId="28CBD63E" w14:textId="21A63091" w:rsidR="003B0BB5" w:rsidRPr="00700E54" w:rsidRDefault="003B0BB5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  <w:lang w:val="en-US"/>
              </w:rPr>
              <w:t xml:space="preserve">&gt;5-25 </w:t>
            </w:r>
          </w:p>
        </w:tc>
        <w:tc>
          <w:tcPr>
            <w:tcW w:w="2279" w:type="dxa"/>
            <w:shd w:val="clear" w:color="auto" w:fill="auto"/>
          </w:tcPr>
          <w:p w14:paraId="2EE6D5DA" w14:textId="77777777" w:rsidR="003B0BB5" w:rsidRPr="00700E54" w:rsidRDefault="003B0BB5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1 tableta</w:t>
            </w:r>
          </w:p>
        </w:tc>
      </w:tr>
      <w:tr w:rsidR="003B0BB5" w:rsidRPr="00700E54" w14:paraId="2F1A0901" w14:textId="77777777" w:rsidTr="007D717C">
        <w:tc>
          <w:tcPr>
            <w:tcW w:w="1969" w:type="dxa"/>
            <w:shd w:val="clear" w:color="auto" w:fill="auto"/>
          </w:tcPr>
          <w:p w14:paraId="62AEDD27" w14:textId="0055AA06" w:rsidR="003B0BB5" w:rsidRPr="00700E54" w:rsidRDefault="003B0BB5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  <w:lang w:val="en-US"/>
              </w:rPr>
              <w:t xml:space="preserve">&gt;25-50 </w:t>
            </w:r>
          </w:p>
        </w:tc>
        <w:tc>
          <w:tcPr>
            <w:tcW w:w="2279" w:type="dxa"/>
            <w:shd w:val="clear" w:color="auto" w:fill="auto"/>
          </w:tcPr>
          <w:p w14:paraId="6966FD8D" w14:textId="77777777" w:rsidR="003B0BB5" w:rsidRPr="00700E54" w:rsidRDefault="003B0BB5" w:rsidP="007D717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2 tablety</w:t>
            </w:r>
          </w:p>
        </w:tc>
      </w:tr>
    </w:tbl>
    <w:p w14:paraId="3560FC38" w14:textId="2BDDC6EE" w:rsidR="0092626A" w:rsidRPr="00700E54" w:rsidRDefault="007D717C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br w:type="textWrapping" w:clear="all"/>
      </w:r>
    </w:p>
    <w:p w14:paraId="20C6B806" w14:textId="78E98490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Veterinárny liek sa podáva s krmivom alebo po kŕmení</w:t>
      </w:r>
      <w:r w:rsidR="003B0BB5" w:rsidRPr="00700E54">
        <w:rPr>
          <w:szCs w:val="22"/>
        </w:rPr>
        <w:t>.</w:t>
      </w:r>
    </w:p>
    <w:p w14:paraId="2FFB3110" w14:textId="55EF9202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Pri prevencii dirofilariózy a ak je súčasne požadované ošetrenie proti pásomniciam, môže liek nahradiť monovalentný liek na prevenciu dirofilariózy.</w:t>
      </w:r>
    </w:p>
    <w:p w14:paraId="271B02BE" w14:textId="033853CA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Pri liečbe infekcie </w:t>
      </w:r>
      <w:r w:rsidRPr="00700E54">
        <w:rPr>
          <w:i/>
          <w:iCs/>
          <w:szCs w:val="22"/>
        </w:rPr>
        <w:t>Angiostrongylus vasorum</w:t>
      </w:r>
      <w:r w:rsidRPr="00700E54">
        <w:rPr>
          <w:szCs w:val="22"/>
        </w:rPr>
        <w:t xml:space="preserve"> by mal byť milbemycínoxim podaný štyrikrát s týždennými intervalmi. Odporúča sa v prípadoch, kde je indikovaná súčasná liečba proti pásomniciam, podať jedenkrát liek a ďalej pokračovať v liečbe monovalentným liekom obsahujúcim jedine milbemycínoxim počas zostávajúcich troch aplikáciách, ktoré podávame jedenkrát týždenne.</w:t>
      </w:r>
    </w:p>
    <w:p w14:paraId="1D4861AE" w14:textId="77777777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Podávanie lieku každý štvrtý týždeň v endemických oblastiach bude pôsobiť preventívne na zníženie miery infekcie a záťaže nedospelými štádiami parazitov (L5) a dospelými štádiami parazitov, tam kde je indikovaná súčasná liečba proti pásomniciam.</w:t>
      </w:r>
    </w:p>
    <w:p w14:paraId="3B5F2ABD" w14:textId="7CD81272" w:rsidR="0092626A" w:rsidRPr="00700E54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Pri liečbe spôsobenej </w:t>
      </w:r>
      <w:r w:rsidRPr="00700E54">
        <w:rPr>
          <w:i/>
          <w:iCs/>
          <w:szCs w:val="22"/>
        </w:rPr>
        <w:t>Thelazia callipaeda</w:t>
      </w:r>
      <w:r w:rsidRPr="00700E54">
        <w:rPr>
          <w:szCs w:val="22"/>
        </w:rPr>
        <w:t>, by mal byť podaný milbemicínoxim dvakrát v odstupe siedmych dní. Tam kde je indikovaná súbežná liečba proti pásomniciam, tento liek môže nahradiť monovalentný liek obsahujúci iba milbemycínoxim.</w:t>
      </w:r>
    </w:p>
    <w:p w14:paraId="69F11B39" w14:textId="77777777" w:rsidR="0092626A" w:rsidRPr="00700E54" w:rsidRDefault="0092626A" w:rsidP="0092626A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Poddávkovanie môže viesť k neúčinnému použitiu a môže podporiť rozvoj rezistencie.</w:t>
      </w:r>
    </w:p>
    <w:p w14:paraId="48C793A8" w14:textId="018B414B" w:rsidR="0092626A" w:rsidRPr="00700E54" w:rsidRDefault="0092626A" w:rsidP="0092626A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Potreba a frekvencia opakovanej liečby by mala vychádzať z odborného posúdenia a mala by zohľadňovať miestnu epidemiologickú situáciu a životný štýl zvieraťa.</w:t>
      </w:r>
    </w:p>
    <w:p w14:paraId="08854EB6" w14:textId="77777777" w:rsidR="00247A48" w:rsidRPr="00700E54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700E54" w:rsidRDefault="00ED6925" w:rsidP="00B13B6D">
      <w:pPr>
        <w:pStyle w:val="Style1"/>
      </w:pPr>
      <w:r w:rsidRPr="00700E54">
        <w:t>3.10</w:t>
      </w:r>
      <w:r w:rsidRPr="00700E54">
        <w:tab/>
        <w:t>Príznaky predávkovania (a ak je to potrebné, núdzové postupy, antidotá)</w:t>
      </w:r>
    </w:p>
    <w:p w14:paraId="32ABE53D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58447" w14:textId="1B46BEB3" w:rsidR="007F4A0F" w:rsidRPr="00700E54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Pozorované nežiaduce </w:t>
      </w:r>
      <w:r w:rsidR="00E1181B" w:rsidRPr="00700E54">
        <w:rPr>
          <w:szCs w:val="22"/>
        </w:rPr>
        <w:t>účinky</w:t>
      </w:r>
      <w:r w:rsidRPr="00700E54">
        <w:rPr>
          <w:szCs w:val="22"/>
        </w:rPr>
        <w:t xml:space="preserve"> sú rovnaké ako reakcie pozorované pri odporúčanom dávkovaní (pozri časť 3.6 „Nežiaduce účinky“).</w:t>
      </w:r>
    </w:p>
    <w:p w14:paraId="5DEC3CC9" w14:textId="77777777" w:rsidR="007F4A0F" w:rsidRPr="00700E54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700E54" w:rsidRDefault="00ED6925" w:rsidP="00B13B6D">
      <w:pPr>
        <w:pStyle w:val="Style1"/>
      </w:pPr>
      <w:r w:rsidRPr="00700E54">
        <w:t>3.11</w:t>
      </w:r>
      <w:r w:rsidRPr="00700E54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420AE191" w14:textId="77777777" w:rsidR="009A6509" w:rsidRPr="00700E54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A4EE4D2" w:rsidR="009A6509" w:rsidRPr="00700E54" w:rsidRDefault="00ED6925" w:rsidP="009A650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Neuplatňujú sa.</w:t>
      </w:r>
    </w:p>
    <w:p w14:paraId="0B324978" w14:textId="77777777" w:rsidR="009A6509" w:rsidRPr="00700E54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700E54" w:rsidRDefault="00ED6925" w:rsidP="00B13B6D">
      <w:pPr>
        <w:pStyle w:val="Style1"/>
      </w:pPr>
      <w:r w:rsidRPr="00700E54">
        <w:t>3.12</w:t>
      </w:r>
      <w:r w:rsidRPr="00700E54">
        <w:tab/>
        <w:t>Ochranné lehoty</w:t>
      </w:r>
    </w:p>
    <w:p w14:paraId="67276A56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3FA27CE9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Netýka sa.</w:t>
      </w:r>
    </w:p>
    <w:p w14:paraId="2684D76A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5C5D712" w:rsidR="00C114FF" w:rsidRPr="00700E54" w:rsidRDefault="00ED6925" w:rsidP="00B13B6D">
      <w:pPr>
        <w:pStyle w:val="Style1"/>
      </w:pPr>
      <w:r w:rsidRPr="00700E54">
        <w:lastRenderedPageBreak/>
        <w:t>4.</w:t>
      </w:r>
      <w:r w:rsidRPr="00700E54">
        <w:tab/>
        <w:t>FARMAKOLOGICKÉ ÚDAJE</w:t>
      </w:r>
    </w:p>
    <w:p w14:paraId="756610FE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700E54" w:rsidRDefault="00ED6925" w:rsidP="00B13B6D">
      <w:pPr>
        <w:pStyle w:val="Style1"/>
      </w:pPr>
      <w:r w:rsidRPr="00700E54">
        <w:t>4.1</w:t>
      </w:r>
      <w:r w:rsidRPr="00700E54">
        <w:tab/>
        <w:t>ATCvet kód:</w:t>
      </w:r>
    </w:p>
    <w:p w14:paraId="003E3813" w14:textId="77777777" w:rsidR="007F4A0F" w:rsidRPr="00700E54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93E9E" w14:textId="503AF10C" w:rsidR="00C114FF" w:rsidRPr="00700E54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QP54AB51</w:t>
      </w:r>
    </w:p>
    <w:p w14:paraId="246549D0" w14:textId="77777777" w:rsidR="007F4A0F" w:rsidRPr="00700E54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5294367D" w:rsidR="00C114FF" w:rsidRPr="00700E54" w:rsidRDefault="00ED6925" w:rsidP="00B13B6D">
      <w:pPr>
        <w:pStyle w:val="Style1"/>
      </w:pPr>
      <w:r w:rsidRPr="00700E54">
        <w:t>4.2</w:t>
      </w:r>
      <w:r w:rsidRPr="00700E54">
        <w:tab/>
        <w:t>Farmakodynami</w:t>
      </w:r>
      <w:r w:rsidR="007909DD" w:rsidRPr="00700E54">
        <w:t>ka</w:t>
      </w:r>
    </w:p>
    <w:p w14:paraId="181958BD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36625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Milbemycínoxim patrí do skupiny makrocyklických laktónov, izolovaných z fermentácie </w:t>
      </w:r>
      <w:r w:rsidRPr="00700E54">
        <w:rPr>
          <w:i/>
          <w:iCs/>
          <w:szCs w:val="22"/>
        </w:rPr>
        <w:t>Streptomyces hygroscopicus</w:t>
      </w:r>
      <w:r w:rsidRPr="00700E54">
        <w:rPr>
          <w:szCs w:val="22"/>
        </w:rPr>
        <w:t xml:space="preserve"> var. </w:t>
      </w:r>
      <w:r w:rsidRPr="00700E54">
        <w:rPr>
          <w:i/>
          <w:iCs/>
          <w:szCs w:val="22"/>
        </w:rPr>
        <w:t>aureolacrimosus</w:t>
      </w:r>
      <w:r w:rsidRPr="00700E54">
        <w:rPr>
          <w:szCs w:val="22"/>
        </w:rPr>
        <w:t xml:space="preserve">. Je účinný proti larválnym štádiám a dospelým hlístam a tiež proti larvám </w:t>
      </w:r>
      <w:r w:rsidRPr="00700E54">
        <w:rPr>
          <w:i/>
          <w:iCs/>
          <w:szCs w:val="22"/>
        </w:rPr>
        <w:t>Dirofilaria immitis</w:t>
      </w:r>
      <w:r w:rsidRPr="00700E54">
        <w:rPr>
          <w:szCs w:val="22"/>
        </w:rPr>
        <w:t xml:space="preserve">. </w:t>
      </w:r>
    </w:p>
    <w:p w14:paraId="4B52663E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Účinok milbemycínu je spojený s jeho pôsobením na neurotransmisiu u bezstavovcov: Milbemycínoxim, podobne ako avermektíny a iné milbemycíny zvyšuje permeabilitu membrán hlístov a hmyzu pre chloridové ióny cez glutamátom riadené chloridové kanály (príbuzných GABAA a glycínovým receptorom u stavovcov). To vedie k hyperpolarizácii neuromuskulárnej membrány, slabej paralýze a smrti parazita. </w:t>
      </w:r>
    </w:p>
    <w:p w14:paraId="33293955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</w:p>
    <w:p w14:paraId="4F893F6E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Prazikvantel je acylovaný derivát pyrazino-isoquinolínu. Prazikvantel je účinný proti pásomniciam. Modifikuje priepustnosť membrán parazitov pre vápnik (vtok Ca2+), navodzuje nerovnováhu membránových štruktúr, čo vedie k depolarizácii membrán a k takmer okamžitej kontrakcii svalov (kŕče), k rýchlej vakuolizácii syncytiálneho tegumentu a ďalej k dezintegrácii povrchu parazita (pľuzgieriky), čo končí ľahkým vypudením parazita z tráviaceho traktu alebo jeho úhynom.</w:t>
      </w:r>
    </w:p>
    <w:p w14:paraId="4173F127" w14:textId="77777777" w:rsidR="00E5057A" w:rsidRPr="00700E54" w:rsidRDefault="00E5057A" w:rsidP="00B13B6D">
      <w:pPr>
        <w:pStyle w:val="Style1"/>
      </w:pPr>
    </w:p>
    <w:p w14:paraId="1F6DF632" w14:textId="043D5F0C" w:rsidR="00C114FF" w:rsidRPr="00700E54" w:rsidRDefault="00ED6925" w:rsidP="00B13B6D">
      <w:pPr>
        <w:pStyle w:val="Style1"/>
      </w:pPr>
      <w:r w:rsidRPr="00700E54">
        <w:t>4.3</w:t>
      </w:r>
      <w:r w:rsidRPr="00700E54">
        <w:tab/>
        <w:t>Farmakokineti</w:t>
      </w:r>
      <w:r w:rsidR="007909DD" w:rsidRPr="00700E54">
        <w:t>ka</w:t>
      </w:r>
    </w:p>
    <w:p w14:paraId="1F1E54CB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82F67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 perorálnom podaní prazikvantelu je u psov rýchlo dosiahnutá maximálna koncentrácia lieku v plazme, ktorá je 1 918 µg/l. Tmax je približne 30 min a pohybuje sa v rozmedzí 15 min. a 10 hodín. Koncentrácie v plazme rýchlo klesajú (t</w:t>
      </w:r>
      <w:r w:rsidRPr="00700E54">
        <w:rPr>
          <w:szCs w:val="22"/>
          <w:vertAlign w:val="subscript"/>
        </w:rPr>
        <w:t>1/2</w:t>
      </w:r>
      <w:r w:rsidRPr="00700E54">
        <w:rPr>
          <w:szCs w:val="22"/>
        </w:rPr>
        <w:t xml:space="preserve"> je približne 1,72 hodiny). Dochádza k výraznému efektu prvotného priechodu pečeňou s veľmi rýchlou a takmer úplnou biotransformáciou v pečeni, predovšetkým na monohydroxylované (ale tiež niektoré di- a tri-hydroxylované) deriváty, ktoré sú pred exkréciou väčšinou konjugované glukuronidom a/alebo sulfátom. Väzba na plazmu je približne 80 %. Exkrécia je rýchla a úplná (približne 90 % za 2 dni); hlavnou cestou vylučovania sú obličky.</w:t>
      </w:r>
    </w:p>
    <w:p w14:paraId="209F51B2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</w:p>
    <w:p w14:paraId="1B0DD3E3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 perorálnom podaní milbemycínoximu je u psov dosiahnutá maximálna koncentrácia v plazme, ktorá je 773 µg/l, za približne 1,25 hodiny. Tmax sa pohybuje v rozmedzí 45 min. a 10 hodín, koncentrácie v plazme klesajú s biologickým polčasom nemetabolizovaného milbemycínoximu 1–5 dní. Biologická dostupnosť je približne 80 %. Navyše popri relatívne vysokých koncentráciách v pečeni je určitá koncentrácia v tuku, ktorá odráža jeho lipofilitu.</w:t>
      </w:r>
    </w:p>
    <w:p w14:paraId="69A7B128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700E54" w:rsidRDefault="00ED6925" w:rsidP="00B13B6D">
      <w:pPr>
        <w:pStyle w:val="Style1"/>
      </w:pPr>
      <w:r w:rsidRPr="00700E54">
        <w:t>5.</w:t>
      </w:r>
      <w:r w:rsidRPr="00700E54">
        <w:tab/>
        <w:t>FARMACEUTICKÉ INFORMÁCIE</w:t>
      </w:r>
    </w:p>
    <w:p w14:paraId="11A4B94B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700E54" w:rsidRDefault="00ED6925" w:rsidP="00B13B6D">
      <w:pPr>
        <w:pStyle w:val="Style1"/>
      </w:pPr>
      <w:r w:rsidRPr="00700E54">
        <w:t>5.1</w:t>
      </w:r>
      <w:r w:rsidRPr="00700E54">
        <w:tab/>
        <w:t>Závažné inkompatibility</w:t>
      </w:r>
    </w:p>
    <w:p w14:paraId="0158F9DF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065F8666" w:rsidR="00C114FF" w:rsidRPr="00700E54" w:rsidRDefault="00ED6925" w:rsidP="00953E4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Neuplatňujú sa.</w:t>
      </w:r>
    </w:p>
    <w:p w14:paraId="47B88C1A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700E54" w:rsidRDefault="00ED6925" w:rsidP="00B13B6D">
      <w:pPr>
        <w:pStyle w:val="Style1"/>
      </w:pPr>
      <w:r w:rsidRPr="00700E54">
        <w:t>5.2</w:t>
      </w:r>
      <w:r w:rsidRPr="00700E54">
        <w:tab/>
        <w:t>Čas použiteľnosti</w:t>
      </w:r>
    </w:p>
    <w:p w14:paraId="70EB6420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61B40810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Čas použiteľnosti veterinárneho lieku zabaleného v neporušenom obale:</w:t>
      </w:r>
      <w:r w:rsidR="007F4A0F" w:rsidRPr="00700E54">
        <w:rPr>
          <w:szCs w:val="22"/>
        </w:rPr>
        <w:t xml:space="preserve"> 3 roky</w:t>
      </w:r>
    </w:p>
    <w:p w14:paraId="2336F0A8" w14:textId="78334391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Čas použiteľnosti po prvom otvorení vnútorného obalu:</w:t>
      </w:r>
      <w:r w:rsidR="007F4A0F" w:rsidRPr="00700E54">
        <w:rPr>
          <w:szCs w:val="22"/>
        </w:rPr>
        <w:t xml:space="preserve"> 6 mesiacov</w:t>
      </w:r>
    </w:p>
    <w:p w14:paraId="360934BB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700E54" w:rsidRDefault="00ED6925" w:rsidP="00B13B6D">
      <w:pPr>
        <w:pStyle w:val="Style1"/>
      </w:pPr>
      <w:r w:rsidRPr="00700E54">
        <w:t>5.3</w:t>
      </w:r>
      <w:r w:rsidRPr="00700E54">
        <w:tab/>
        <w:t>Osobitné upozornenia na uchovávanie</w:t>
      </w:r>
    </w:p>
    <w:p w14:paraId="0B1DBE3F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4C4367" w14:textId="276719F2" w:rsidR="00C114FF" w:rsidRPr="00700E54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Nepoužité časti tabliet vrá</w:t>
      </w:r>
      <w:r w:rsidR="00E1181B" w:rsidRPr="00700E54">
        <w:rPr>
          <w:szCs w:val="22"/>
        </w:rPr>
        <w:t xml:space="preserve">tiť </w:t>
      </w:r>
      <w:r w:rsidRPr="00700E54">
        <w:rPr>
          <w:szCs w:val="22"/>
        </w:rPr>
        <w:t>do otvoreného otvoru v blistr</w:t>
      </w:r>
      <w:r w:rsidR="004E5916" w:rsidRPr="00700E54">
        <w:rPr>
          <w:szCs w:val="22"/>
        </w:rPr>
        <w:t>i</w:t>
      </w:r>
      <w:r w:rsidRPr="00700E54">
        <w:rPr>
          <w:szCs w:val="22"/>
        </w:rPr>
        <w:t>, vlož</w:t>
      </w:r>
      <w:r w:rsidR="00E1181B" w:rsidRPr="00700E54">
        <w:rPr>
          <w:szCs w:val="22"/>
        </w:rPr>
        <w:t xml:space="preserve">iť </w:t>
      </w:r>
      <w:r w:rsidRPr="00700E54">
        <w:rPr>
          <w:szCs w:val="22"/>
        </w:rPr>
        <w:t xml:space="preserve">späť do </w:t>
      </w:r>
      <w:r w:rsidR="00E1181B" w:rsidRPr="00700E54">
        <w:rPr>
          <w:szCs w:val="22"/>
        </w:rPr>
        <w:t xml:space="preserve">škatuľky </w:t>
      </w:r>
      <w:r w:rsidRPr="00700E54">
        <w:rPr>
          <w:szCs w:val="22"/>
        </w:rPr>
        <w:t>a</w:t>
      </w:r>
      <w:r w:rsidR="00E1181B" w:rsidRPr="00700E54">
        <w:rPr>
          <w:szCs w:val="22"/>
        </w:rPr>
        <w:t xml:space="preserve"> použiť </w:t>
      </w:r>
      <w:r w:rsidRPr="00700E54">
        <w:rPr>
          <w:szCs w:val="22"/>
        </w:rPr>
        <w:t>pri ďalšom podaní alebo bezpečne zlikvid</w:t>
      </w:r>
      <w:r w:rsidR="00E1181B" w:rsidRPr="00700E54">
        <w:rPr>
          <w:szCs w:val="22"/>
        </w:rPr>
        <w:t>ovať</w:t>
      </w:r>
      <w:r w:rsidRPr="00700E54">
        <w:rPr>
          <w:szCs w:val="22"/>
        </w:rPr>
        <w:t xml:space="preserve"> (pozri časť 5.5).</w:t>
      </w:r>
    </w:p>
    <w:p w14:paraId="06269502" w14:textId="3F3058C9" w:rsidR="005F1582" w:rsidRDefault="005F1582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Chrániť pred svetlom.</w:t>
      </w:r>
    </w:p>
    <w:p w14:paraId="762568A2" w14:textId="77777777" w:rsidR="00700E54" w:rsidRDefault="00700E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BF655" w14:textId="77777777" w:rsidR="00700E54" w:rsidRPr="00700E54" w:rsidRDefault="00700E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700E54" w:rsidRDefault="00ED6925" w:rsidP="00B13B6D">
      <w:pPr>
        <w:pStyle w:val="Style1"/>
      </w:pPr>
      <w:r w:rsidRPr="00700E54">
        <w:lastRenderedPageBreak/>
        <w:t>5.4</w:t>
      </w:r>
      <w:r w:rsidRPr="00700E54">
        <w:tab/>
        <w:t>Charakter a zloženie vnútorného obalu</w:t>
      </w:r>
    </w:p>
    <w:p w14:paraId="55C9FBBE" w14:textId="77777777" w:rsidR="00C62F59" w:rsidRPr="00700E54" w:rsidRDefault="00C62F5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B1E960" w14:textId="641D45D7" w:rsidR="00C62F59" w:rsidRPr="00700E54" w:rsidRDefault="00C55A47" w:rsidP="00C62F5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Polyamid-</w:t>
      </w:r>
      <w:r w:rsidR="00E1181B" w:rsidRPr="00700E54">
        <w:rPr>
          <w:szCs w:val="22"/>
        </w:rPr>
        <w:t>h</w:t>
      </w:r>
      <w:r w:rsidRPr="00700E54">
        <w:rPr>
          <w:szCs w:val="22"/>
        </w:rPr>
        <w:t>liník-</w:t>
      </w:r>
      <w:r w:rsidR="00E1181B" w:rsidRPr="00700E54">
        <w:rPr>
          <w:szCs w:val="22"/>
        </w:rPr>
        <w:t>p</w:t>
      </w:r>
      <w:r w:rsidRPr="00700E54">
        <w:rPr>
          <w:szCs w:val="22"/>
        </w:rPr>
        <w:t>olyvinylchlorid/hliník</w:t>
      </w:r>
      <w:r w:rsidR="00E1181B" w:rsidRPr="00700E54">
        <w:rPr>
          <w:szCs w:val="22"/>
        </w:rPr>
        <w:t xml:space="preserve"> </w:t>
      </w:r>
      <w:r w:rsidRPr="00700E54">
        <w:rPr>
          <w:szCs w:val="22"/>
        </w:rPr>
        <w:t>teplom zatavené</w:t>
      </w:r>
      <w:r w:rsidR="00C62F59" w:rsidRPr="00700E54">
        <w:rPr>
          <w:szCs w:val="22"/>
        </w:rPr>
        <w:t xml:space="preserve"> blist</w:t>
      </w:r>
      <w:r w:rsidRPr="00700E54">
        <w:rPr>
          <w:szCs w:val="22"/>
        </w:rPr>
        <w:t>re</w:t>
      </w:r>
      <w:r w:rsidR="00C62F59" w:rsidRPr="00700E54">
        <w:rPr>
          <w:szCs w:val="22"/>
        </w:rPr>
        <w:t>.</w:t>
      </w:r>
    </w:p>
    <w:p w14:paraId="7252AD90" w14:textId="77777777" w:rsidR="00C62F59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</w:p>
    <w:p w14:paraId="68D95529" w14:textId="77777777" w:rsidR="00C62F59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1 blister po 2 tablety (2 tablety).</w:t>
      </w:r>
    </w:p>
    <w:p w14:paraId="74A4FCCE" w14:textId="77777777" w:rsidR="00C62F59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2 blistre po 2 tablety (4 tablety).</w:t>
      </w:r>
    </w:p>
    <w:p w14:paraId="78834ECA" w14:textId="77777777" w:rsidR="00C62F59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5 blistrov po 2 tablety (10 tabliet).</w:t>
      </w:r>
    </w:p>
    <w:p w14:paraId="60728135" w14:textId="77777777" w:rsidR="00C62F59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12 blistrov po 2 tablety (24 tabliet).</w:t>
      </w:r>
    </w:p>
    <w:p w14:paraId="23D3C8C4" w14:textId="77777777" w:rsidR="00C62F59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24 blistrov po 2 tablety (48 tabliet).</w:t>
      </w:r>
    </w:p>
    <w:p w14:paraId="7E1CE86C" w14:textId="0EC9BA02" w:rsidR="007F4A0F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50 blistrov po 2 tablety (100 tabliet).</w:t>
      </w:r>
    </w:p>
    <w:p w14:paraId="1235415F" w14:textId="77777777" w:rsidR="00C62F59" w:rsidRPr="00700E54" w:rsidRDefault="00C62F59" w:rsidP="00C62F59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68040ABD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Na trh nemusia byť uvedené všetky veľkosti balenia.</w:t>
      </w:r>
    </w:p>
    <w:p w14:paraId="46AFC6A4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700E54" w:rsidRDefault="00ED6925" w:rsidP="00B13B6D">
      <w:pPr>
        <w:pStyle w:val="Style1"/>
      </w:pPr>
      <w:r w:rsidRPr="00700E54">
        <w:t>5.5</w:t>
      </w:r>
      <w:r w:rsidRPr="00700E54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1A0B363D" w:rsidR="00FD1E45" w:rsidRPr="00700E54" w:rsidRDefault="00ED6925" w:rsidP="00FD1E45">
      <w:pPr>
        <w:rPr>
          <w:szCs w:val="22"/>
        </w:rPr>
      </w:pPr>
      <w:r w:rsidRPr="00700E54">
        <w:rPr>
          <w:szCs w:val="22"/>
        </w:rPr>
        <w:t>Lieky sa nesmú likvidovať prostredníctvom odpadovej vody ani odpadu v domácnostiach.</w:t>
      </w:r>
    </w:p>
    <w:p w14:paraId="48B62CBE" w14:textId="357367E6" w:rsidR="00C114FF" w:rsidRPr="00700E54" w:rsidRDefault="00ED6925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700E54">
        <w:rPr>
          <w:szCs w:val="22"/>
        </w:rPr>
        <w:t>Veterinárny liek nesmie kontaminovať vodné toky, pretože môže byť nebezpečný pre ryby a iné vodné organizmy.</w:t>
      </w:r>
    </w:p>
    <w:p w14:paraId="079606CB" w14:textId="24247E0A" w:rsidR="0078538F" w:rsidRPr="00700E54" w:rsidRDefault="00ED6925" w:rsidP="00FD1E45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Pri likvidácii nepoužitého veterinárneho lieku alebo </w:t>
      </w:r>
      <w:r w:rsidR="00BB3428" w:rsidRPr="00700E54">
        <w:rPr>
          <w:szCs w:val="22"/>
        </w:rPr>
        <w:t>jeho</w:t>
      </w:r>
      <w:r w:rsidRPr="00700E54">
        <w:rPr>
          <w:szCs w:val="22"/>
        </w:rPr>
        <w:t xml:space="preserve"> odpadového materiálu sa riaďte </w:t>
      </w:r>
      <w:r w:rsidR="0029154A" w:rsidRPr="00700E54">
        <w:rPr>
          <w:szCs w:val="22"/>
        </w:rPr>
        <w:t>systémom spätného odberu</w:t>
      </w:r>
      <w:r w:rsidRPr="00700E54">
        <w:rPr>
          <w:szCs w:val="22"/>
        </w:rPr>
        <w:t xml:space="preserve"> v súlade s miestnymi požiadavkami a národnými zbernými systémami platnými pre daný veterinárny liek.</w:t>
      </w:r>
    </w:p>
    <w:p w14:paraId="6C7D400D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700E54" w:rsidRDefault="00ED6925" w:rsidP="00B13B6D">
      <w:pPr>
        <w:pStyle w:val="Style1"/>
      </w:pPr>
      <w:r w:rsidRPr="00700E54">
        <w:t>6.</w:t>
      </w:r>
      <w:r w:rsidRPr="00700E54">
        <w:tab/>
        <w:t xml:space="preserve">NÁZOV DRŽITEĽA ROZHODNUTIA O REGISTRÁCII </w:t>
      </w:r>
    </w:p>
    <w:p w14:paraId="0DD9A328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3C97970D" w:rsidR="00B41F47" w:rsidRPr="00700E54" w:rsidRDefault="00C40196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CEVA ANIMAL HEALTH SLOVAKIA s.r.o.</w:t>
      </w:r>
    </w:p>
    <w:p w14:paraId="133DD572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700E54" w:rsidRDefault="00ED6925" w:rsidP="00B13B6D">
      <w:pPr>
        <w:pStyle w:val="Style1"/>
      </w:pPr>
      <w:r w:rsidRPr="00700E54">
        <w:t>7.</w:t>
      </w:r>
      <w:r w:rsidRPr="00700E54">
        <w:tab/>
        <w:t>REGISTRAČNÉ ČÍSLO(A)</w:t>
      </w:r>
    </w:p>
    <w:p w14:paraId="68546B47" w14:textId="77777777" w:rsidR="00D67567" w:rsidRPr="00700E54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D366D" w14:textId="7E4D887B" w:rsidR="00E1181B" w:rsidRPr="00700E54" w:rsidRDefault="004949B7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96/017/DC/24-S</w:t>
      </w:r>
    </w:p>
    <w:p w14:paraId="09A483C0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700E54" w:rsidRDefault="00ED6925" w:rsidP="00B13B6D">
      <w:pPr>
        <w:pStyle w:val="Style1"/>
      </w:pPr>
      <w:r w:rsidRPr="00700E54">
        <w:t>8.</w:t>
      </w:r>
      <w:r w:rsidRPr="00700E54">
        <w:tab/>
        <w:t>DÁTUM PRVEJ REGISTRÁCIE</w:t>
      </w:r>
    </w:p>
    <w:p w14:paraId="62B6CCFE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6E81DC6C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Dátum prvej registrácie:</w:t>
      </w:r>
      <w:r w:rsidR="00254BF4">
        <w:rPr>
          <w:szCs w:val="22"/>
        </w:rPr>
        <w:t xml:space="preserve"> 29.05.2024</w:t>
      </w:r>
    </w:p>
    <w:p w14:paraId="372D1C25" w14:textId="77777777" w:rsidR="00D65777" w:rsidRPr="00700E5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700E54" w:rsidRDefault="00ED6925" w:rsidP="00B13B6D">
      <w:pPr>
        <w:pStyle w:val="Style1"/>
      </w:pPr>
      <w:r w:rsidRPr="00700E54">
        <w:t>9.</w:t>
      </w:r>
      <w:r w:rsidRPr="00700E54">
        <w:tab/>
        <w:t>DÁTUM  POSLEDNEJ REVÍZIE SÚHRNU CHARAKTERISTICKÝCH VLASTNOSTÍ LIEKU</w:t>
      </w:r>
    </w:p>
    <w:p w14:paraId="2DF85E8E" w14:textId="77777777" w:rsidR="00C114FF" w:rsidRPr="00700E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4CE58B00" w:rsidR="0078538F" w:rsidRPr="00700E54" w:rsidRDefault="006C59D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7749A4D0" w14:textId="77777777" w:rsidR="00B113B9" w:rsidRPr="00700E54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700E54" w:rsidRDefault="00ED6925" w:rsidP="00B13B6D">
      <w:pPr>
        <w:pStyle w:val="Style1"/>
      </w:pPr>
      <w:r w:rsidRPr="00700E54">
        <w:t>10.</w:t>
      </w:r>
      <w:r w:rsidRPr="00700E54">
        <w:tab/>
        <w:t>KLASIFIKÁCIA VETERINÁRNEHO LIEKU</w:t>
      </w:r>
    </w:p>
    <w:p w14:paraId="6A07E4C3" w14:textId="77777777" w:rsidR="0078538F" w:rsidRPr="00700E5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52150F87" w:rsidR="0078538F" w:rsidRPr="00700E54" w:rsidRDefault="00ED6925" w:rsidP="0078538F">
      <w:pPr>
        <w:numPr>
          <w:ilvl w:val="12"/>
          <w:numId w:val="0"/>
        </w:numPr>
        <w:rPr>
          <w:szCs w:val="22"/>
        </w:rPr>
      </w:pPr>
      <w:r w:rsidRPr="00700E54">
        <w:rPr>
          <w:szCs w:val="22"/>
        </w:rPr>
        <w:t>Výdaj lieku je viazaný na veterinárny predpis.</w:t>
      </w:r>
    </w:p>
    <w:p w14:paraId="6AC04AFD" w14:textId="77777777" w:rsidR="0078538F" w:rsidRPr="00700E54" w:rsidRDefault="0078538F" w:rsidP="0078538F">
      <w:pPr>
        <w:ind w:right="-318"/>
        <w:rPr>
          <w:szCs w:val="22"/>
        </w:rPr>
      </w:pPr>
    </w:p>
    <w:p w14:paraId="6E09B149" w14:textId="1693BCFB" w:rsidR="0078538F" w:rsidRPr="00700E54" w:rsidRDefault="00ED6925" w:rsidP="0078538F">
      <w:pPr>
        <w:ind w:right="-318"/>
        <w:rPr>
          <w:szCs w:val="22"/>
        </w:rPr>
      </w:pPr>
      <w:bookmarkStart w:id="4" w:name="_Hlk73467306"/>
      <w:r w:rsidRPr="00700E54">
        <w:rPr>
          <w:szCs w:val="22"/>
        </w:rPr>
        <w:t>Podrobné informácie o veterinárnom lieku sú dostupné v databáze liekov Únie</w:t>
      </w:r>
    </w:p>
    <w:bookmarkEnd w:id="4"/>
    <w:p w14:paraId="04E33482" w14:textId="4AFF42EB" w:rsidR="00C114FF" w:rsidRPr="00700E54" w:rsidRDefault="00ED6925" w:rsidP="00A9226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(</w:t>
      </w:r>
      <w:hyperlink r:id="rId8" w:history="1">
        <w:r w:rsidR="00B60C92" w:rsidRPr="00700E54">
          <w:rPr>
            <w:rStyle w:val="Hypertextovprepojenie"/>
            <w:szCs w:val="22"/>
          </w:rPr>
          <w:t>https://medicines.health.europa.eu/veterinary</w:t>
        </w:r>
      </w:hyperlink>
      <w:r w:rsidRPr="00700E54">
        <w:rPr>
          <w:szCs w:val="22"/>
        </w:rPr>
        <w:t>).</w:t>
      </w:r>
    </w:p>
    <w:p w14:paraId="1B6223CA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858F72" w14:textId="77777777" w:rsidR="00FE3433" w:rsidRPr="00700E54" w:rsidRDefault="00FE3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D052B" w14:textId="77777777" w:rsidR="00FE3433" w:rsidRPr="00700E54" w:rsidRDefault="00FE3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1C2D06" w14:textId="77777777" w:rsidR="00FE3433" w:rsidRPr="00700E54" w:rsidRDefault="00FE3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7EFF6" w14:textId="77777777" w:rsidR="00FE3433" w:rsidRPr="00700E54" w:rsidRDefault="00FE3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C7332" w:rsidRPr="00700E54" w14:paraId="011153A3" w14:textId="77777777" w:rsidTr="00E1181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A2D09E7" w14:textId="77777777" w:rsidR="00CC7332" w:rsidRPr="00700E54" w:rsidRDefault="00CC7332" w:rsidP="00E1181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00E54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CE1BC76" w14:textId="77777777" w:rsidR="00CC7332" w:rsidRPr="00700E54" w:rsidRDefault="00CC7332" w:rsidP="00E1181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B07B0AA" w14:textId="77777777" w:rsidR="00CC7332" w:rsidRPr="00700E54" w:rsidRDefault="00CC7332" w:rsidP="00E1181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00E54">
              <w:rPr>
                <w:szCs w:val="22"/>
              </w:rPr>
              <w:t>Škatuľka</w:t>
            </w:r>
          </w:p>
        </w:tc>
      </w:tr>
    </w:tbl>
    <w:p w14:paraId="10C23A9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64E199C" w14:textId="77777777" w:rsidR="00CC7332" w:rsidRPr="00700E54" w:rsidRDefault="00CC7332" w:rsidP="00CC7332">
      <w:pPr>
        <w:pStyle w:val="Style2"/>
      </w:pPr>
      <w:r w:rsidRPr="00700E54">
        <w:t>1.</w:t>
      </w:r>
      <w:r w:rsidRPr="00700E54">
        <w:tab/>
        <w:t>NÁZOV VETERINÁRNEHO LIEKU</w:t>
      </w:r>
    </w:p>
    <w:p w14:paraId="7D392C7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56C52B9" w14:textId="28B7F035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Milbeguard Duo 12</w:t>
      </w:r>
      <w:r w:rsidR="00E1181B" w:rsidRPr="00700E54">
        <w:rPr>
          <w:szCs w:val="22"/>
        </w:rPr>
        <w:t>,</w:t>
      </w:r>
      <w:r w:rsidRPr="00700E54">
        <w:rPr>
          <w:szCs w:val="22"/>
        </w:rPr>
        <w:t>5 mg / 125 mg žuvacie tablety</w:t>
      </w:r>
    </w:p>
    <w:p w14:paraId="75853A6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31F6BB3" w14:textId="77777777" w:rsidR="00CC7332" w:rsidRPr="00700E54" w:rsidRDefault="00CC7332" w:rsidP="00CC7332">
      <w:pPr>
        <w:pStyle w:val="Style2"/>
      </w:pPr>
      <w:r w:rsidRPr="00700E54">
        <w:t>2.</w:t>
      </w:r>
      <w:r w:rsidRPr="00700E54">
        <w:tab/>
        <w:t>OBSAH ÚČINNÝCH LÁTOK</w:t>
      </w:r>
    </w:p>
    <w:p w14:paraId="37736E7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262C804" w14:textId="2830CDC3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Milbemyc</w:t>
      </w:r>
      <w:r w:rsidR="00E1181B" w:rsidRPr="00700E54">
        <w:rPr>
          <w:iCs/>
          <w:szCs w:val="22"/>
        </w:rPr>
        <w:t>í</w:t>
      </w:r>
      <w:r w:rsidRPr="00700E54">
        <w:rPr>
          <w:iCs/>
          <w:szCs w:val="22"/>
        </w:rPr>
        <w:t>noxim 12</w:t>
      </w:r>
      <w:r w:rsidR="00E1181B" w:rsidRPr="00700E54">
        <w:rPr>
          <w:iCs/>
          <w:szCs w:val="22"/>
        </w:rPr>
        <w:t>,</w:t>
      </w:r>
      <w:r w:rsidRPr="00700E54">
        <w:rPr>
          <w:iCs/>
          <w:szCs w:val="22"/>
        </w:rPr>
        <w:t>5 mg/tableta</w:t>
      </w:r>
    </w:p>
    <w:p w14:paraId="53D39773" w14:textId="7CC42DBA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Prazi</w:t>
      </w:r>
      <w:r w:rsidR="00E1181B" w:rsidRPr="00700E54">
        <w:rPr>
          <w:iCs/>
          <w:szCs w:val="22"/>
        </w:rPr>
        <w:t>kv</w:t>
      </w:r>
      <w:r w:rsidRPr="00700E54">
        <w:rPr>
          <w:iCs/>
          <w:szCs w:val="22"/>
        </w:rPr>
        <w:t>antel</w:t>
      </w:r>
      <w:r w:rsidR="00E1181B" w:rsidRPr="00700E54">
        <w:rPr>
          <w:iCs/>
          <w:szCs w:val="22"/>
        </w:rPr>
        <w:t xml:space="preserve"> </w:t>
      </w:r>
      <w:r w:rsidRPr="00700E54">
        <w:rPr>
          <w:iCs/>
          <w:szCs w:val="22"/>
        </w:rPr>
        <w:t>125 mg/</w:t>
      </w:r>
      <w:r w:rsidR="00E1181B" w:rsidRPr="00700E54">
        <w:rPr>
          <w:iCs/>
          <w:szCs w:val="22"/>
        </w:rPr>
        <w:t>t</w:t>
      </w:r>
      <w:r w:rsidRPr="00700E54">
        <w:rPr>
          <w:iCs/>
          <w:szCs w:val="22"/>
        </w:rPr>
        <w:t>ableta</w:t>
      </w:r>
    </w:p>
    <w:p w14:paraId="7766084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0591D35" w14:textId="77777777" w:rsidR="00CC7332" w:rsidRPr="00700E54" w:rsidRDefault="00CC7332" w:rsidP="00CC7332">
      <w:pPr>
        <w:pStyle w:val="Style2"/>
      </w:pPr>
      <w:r w:rsidRPr="00700E54">
        <w:t>3.</w:t>
      </w:r>
      <w:r w:rsidRPr="00700E54">
        <w:tab/>
        <w:t>VEĽKOSŤ BALENIA</w:t>
      </w:r>
    </w:p>
    <w:p w14:paraId="15C24CC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A073B1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700E54">
        <w:rPr>
          <w:szCs w:val="22"/>
          <w:lang w:val="en-US"/>
        </w:rPr>
        <w:t>2 tablety</w:t>
      </w:r>
    </w:p>
    <w:p w14:paraId="6271C26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700E54">
        <w:rPr>
          <w:szCs w:val="22"/>
          <w:highlight w:val="lightGray"/>
          <w:lang w:val="en-US"/>
        </w:rPr>
        <w:t>4 tablety</w:t>
      </w:r>
    </w:p>
    <w:p w14:paraId="413CEC3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700E54">
        <w:rPr>
          <w:szCs w:val="22"/>
          <w:highlight w:val="lightGray"/>
          <w:lang w:val="en-US"/>
        </w:rPr>
        <w:t>10 tabliet</w:t>
      </w:r>
    </w:p>
    <w:p w14:paraId="593E2C2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700E54">
        <w:rPr>
          <w:szCs w:val="22"/>
          <w:highlight w:val="lightGray"/>
          <w:lang w:val="en-US"/>
        </w:rPr>
        <w:t>24 tabliet</w:t>
      </w:r>
    </w:p>
    <w:p w14:paraId="412FD264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700E54">
        <w:rPr>
          <w:szCs w:val="22"/>
          <w:highlight w:val="lightGray"/>
          <w:lang w:val="en-US"/>
        </w:rPr>
        <w:t>48 tabliet</w:t>
      </w:r>
    </w:p>
    <w:p w14:paraId="62A72F7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700E54">
        <w:rPr>
          <w:szCs w:val="22"/>
          <w:highlight w:val="lightGray"/>
          <w:lang w:val="en-US"/>
        </w:rPr>
        <w:t>100 tabliet</w:t>
      </w:r>
    </w:p>
    <w:p w14:paraId="64FDEF54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CD35DCD" w14:textId="77777777" w:rsidR="00CC7332" w:rsidRPr="00700E54" w:rsidRDefault="00CC7332" w:rsidP="00CC7332">
      <w:pPr>
        <w:pStyle w:val="Style2"/>
      </w:pPr>
      <w:r w:rsidRPr="00700E54">
        <w:t>4.</w:t>
      </w:r>
      <w:r w:rsidRPr="00700E54">
        <w:tab/>
        <w:t>CIEĽOVÉ DRUHY</w:t>
      </w:r>
    </w:p>
    <w:p w14:paraId="53C27E14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76BA1CD" w14:textId="09CB45E4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Psy </w:t>
      </w:r>
      <w:r w:rsidR="00E1181B" w:rsidRPr="00700E54">
        <w:rPr>
          <w:szCs w:val="22"/>
        </w:rPr>
        <w:t>s</w:t>
      </w:r>
      <w:r w:rsidRPr="00700E54">
        <w:rPr>
          <w:szCs w:val="22"/>
        </w:rPr>
        <w:t> hmotnos</w:t>
      </w:r>
      <w:r w:rsidR="00E1181B" w:rsidRPr="00700E54">
        <w:rPr>
          <w:szCs w:val="22"/>
        </w:rPr>
        <w:t>ťou</w:t>
      </w:r>
      <w:r w:rsidRPr="00700E54">
        <w:rPr>
          <w:szCs w:val="22"/>
        </w:rPr>
        <w:t xml:space="preserve"> najmenej 2,5 kg.</w:t>
      </w:r>
    </w:p>
    <w:p w14:paraId="3BD74C2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D90B66D" w14:textId="77777777" w:rsidR="00CC7332" w:rsidRPr="00700E54" w:rsidRDefault="00CC7332" w:rsidP="00CC7332">
      <w:pPr>
        <w:pStyle w:val="Style2"/>
      </w:pPr>
      <w:r w:rsidRPr="00700E54">
        <w:t>5.</w:t>
      </w:r>
      <w:r w:rsidRPr="00700E54">
        <w:tab/>
        <w:t>INDIKÁCIE</w:t>
      </w:r>
    </w:p>
    <w:p w14:paraId="43B35A0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2917DA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28D8772" w14:textId="77777777" w:rsidR="00CC7332" w:rsidRPr="00700E54" w:rsidRDefault="00CC7332" w:rsidP="00CC7332">
      <w:pPr>
        <w:pStyle w:val="Style2"/>
      </w:pPr>
      <w:r w:rsidRPr="00700E54">
        <w:t>6.</w:t>
      </w:r>
      <w:r w:rsidRPr="00700E54">
        <w:tab/>
        <w:t>CESTY PODANIA</w:t>
      </w:r>
    </w:p>
    <w:p w14:paraId="7A91E0D9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C74CE0C" w14:textId="5644E3C4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Perorálne podanie.</w:t>
      </w:r>
    </w:p>
    <w:p w14:paraId="3811920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51AFC91" w14:textId="77777777" w:rsidR="00CC7332" w:rsidRPr="00700E54" w:rsidRDefault="00CC7332" w:rsidP="00CC7332">
      <w:pPr>
        <w:pStyle w:val="Style2"/>
      </w:pPr>
      <w:r w:rsidRPr="00700E54">
        <w:t>7.</w:t>
      </w:r>
      <w:r w:rsidRPr="00700E54">
        <w:tab/>
        <w:t>OCHRANNÉ LEHOTY</w:t>
      </w:r>
    </w:p>
    <w:p w14:paraId="4758161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04809B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6A971FE" w14:textId="77777777" w:rsidR="00CC7332" w:rsidRPr="00700E54" w:rsidRDefault="00CC7332" w:rsidP="00CC7332">
      <w:pPr>
        <w:pStyle w:val="Style2"/>
      </w:pPr>
      <w:r w:rsidRPr="00700E54">
        <w:t>8.</w:t>
      </w:r>
      <w:r w:rsidRPr="00700E54">
        <w:tab/>
        <w:t>DÁTUM EXSPIRÁCIE</w:t>
      </w:r>
    </w:p>
    <w:p w14:paraId="6D87062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004AB3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Exp. {mesiac/rok}</w:t>
      </w:r>
    </w:p>
    <w:p w14:paraId="7E291FB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AB38FD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Čas použiteľnosti rozpolenej tablety po prvom otvorení blistra: 6 mesiacov.</w:t>
      </w:r>
    </w:p>
    <w:p w14:paraId="7D5E290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0582A97" w14:textId="77777777" w:rsidR="00CC7332" w:rsidRPr="00700E54" w:rsidRDefault="00CC7332" w:rsidP="00CC7332">
      <w:pPr>
        <w:pStyle w:val="Style2"/>
      </w:pPr>
      <w:r w:rsidRPr="00700E54">
        <w:t>9.</w:t>
      </w:r>
      <w:r w:rsidRPr="00700E54">
        <w:tab/>
        <w:t>OSOBITNÉ PODMIENKY NA UCHOVÁVANIE</w:t>
      </w:r>
    </w:p>
    <w:p w14:paraId="716695E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9DC98E6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Nepoužité časti tabliet vrátiť do otvoreného otvoru v blistri, vložiť späť do škatuľky a použiť pri ďalšom podaní alebo bezpečne zlikvidovať.</w:t>
      </w:r>
    </w:p>
    <w:p w14:paraId="2EE2808E" w14:textId="77777777" w:rsidR="00E1181B" w:rsidRPr="00700E54" w:rsidRDefault="00E1181B" w:rsidP="00E1181B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Chrániť pred svetlom.</w:t>
      </w:r>
    </w:p>
    <w:p w14:paraId="02E5B20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0EC30E1" w14:textId="77777777" w:rsidR="00CC7332" w:rsidRPr="00700E54" w:rsidRDefault="00CC7332" w:rsidP="00CC7332">
      <w:pPr>
        <w:pStyle w:val="Style2"/>
      </w:pPr>
      <w:r w:rsidRPr="00700E54">
        <w:t>10.</w:t>
      </w:r>
      <w:r w:rsidRPr="00700E54">
        <w:tab/>
        <w:t>OZNAČENIE „PRED POUŽITÍM SI PREČÍTAJTE PÍSOMNÚ INFORMÁCIU PRE POUŽÍVATEĽOV“</w:t>
      </w:r>
    </w:p>
    <w:p w14:paraId="401BFC4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CA95CA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Pred použitím si prečítajte písomnú informáciu pre používateľov.</w:t>
      </w:r>
    </w:p>
    <w:p w14:paraId="5853282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937A18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63C9794" w14:textId="77777777" w:rsidR="00CC7332" w:rsidRPr="00700E54" w:rsidRDefault="00CC7332" w:rsidP="00CC7332">
      <w:pPr>
        <w:pStyle w:val="Style2"/>
      </w:pPr>
      <w:r w:rsidRPr="00700E54">
        <w:lastRenderedPageBreak/>
        <w:t>11.</w:t>
      </w:r>
      <w:r w:rsidRPr="00700E54">
        <w:tab/>
        <w:t>OZNAČENIE „LEN PRE ZVIERATÁ“</w:t>
      </w:r>
    </w:p>
    <w:p w14:paraId="4D8FD2F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742746E" w14:textId="426A88A0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Len pre zvieratá.</w:t>
      </w:r>
    </w:p>
    <w:p w14:paraId="1B79464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688D820" w14:textId="77777777" w:rsidR="00CC7332" w:rsidRPr="00700E54" w:rsidRDefault="00CC7332" w:rsidP="00CC7332">
      <w:pPr>
        <w:pStyle w:val="Style2"/>
      </w:pPr>
      <w:r w:rsidRPr="00700E54">
        <w:t>12.</w:t>
      </w:r>
      <w:r w:rsidRPr="00700E54">
        <w:tab/>
        <w:t>OZNAČENIE „UCHOVÁVAŤ MIMO DOHĽADU A DOSAHU DETÍ“</w:t>
      </w:r>
    </w:p>
    <w:p w14:paraId="1AD7F30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65F6C30" w14:textId="0C082F14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Uchovávať mimo dohľadu a dosahu detí.</w:t>
      </w:r>
    </w:p>
    <w:p w14:paraId="45C67429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96312FF" w14:textId="77777777" w:rsidR="00CC7332" w:rsidRPr="00700E54" w:rsidRDefault="00CC7332" w:rsidP="00CC7332">
      <w:pPr>
        <w:pStyle w:val="Style2"/>
      </w:pPr>
      <w:r w:rsidRPr="00700E54">
        <w:t>13.</w:t>
      </w:r>
      <w:r w:rsidRPr="00700E54">
        <w:tab/>
        <w:t>NÁZOV A ADRESA DRŽITEĽA ROZHODNUTIA O REGISTRÁCII</w:t>
      </w:r>
    </w:p>
    <w:p w14:paraId="18DCB32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5D0C17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noProof/>
          <w:szCs w:val="22"/>
          <w:lang w:eastAsia="sk-SK"/>
        </w:rPr>
        <w:drawing>
          <wp:inline distT="0" distB="0" distL="0" distR="0" wp14:anchorId="4C440279" wp14:editId="681FB3B2">
            <wp:extent cx="660400" cy="635000"/>
            <wp:effectExtent l="0" t="0" r="0" b="0"/>
            <wp:docPr id="1" name="Image 1" descr="Obrázok, na ktorom je logo, písm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ázok, na ktorom je logo, písmo, grafika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CA2B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F8A4AB3" w14:textId="77777777" w:rsidR="00CC7332" w:rsidRPr="00700E54" w:rsidRDefault="00CC7332" w:rsidP="00CC7332">
      <w:pPr>
        <w:pStyle w:val="Style2"/>
      </w:pPr>
      <w:r w:rsidRPr="00700E54">
        <w:t>14.</w:t>
      </w:r>
      <w:r w:rsidRPr="00700E54">
        <w:tab/>
        <w:t>REGISTRAČNÉ ČÍSLO (ČÍSLA)</w:t>
      </w:r>
    </w:p>
    <w:p w14:paraId="67608C2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DEE30F9" w14:textId="7F79C713" w:rsidR="00CC7332" w:rsidRPr="00700E54" w:rsidRDefault="004949B7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96/017/DC/24-S</w:t>
      </w:r>
    </w:p>
    <w:p w14:paraId="35D9BB1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CEC2EB5" w14:textId="77777777" w:rsidR="00CC7332" w:rsidRPr="00700E54" w:rsidRDefault="00CC7332" w:rsidP="00CC7332">
      <w:pPr>
        <w:pStyle w:val="Style2"/>
      </w:pPr>
      <w:r w:rsidRPr="00700E54">
        <w:t>15.</w:t>
      </w:r>
      <w:r w:rsidRPr="00700E54">
        <w:tab/>
        <w:t>ČÍSLO VÝROBNEJ ŠARŽE</w:t>
      </w:r>
    </w:p>
    <w:p w14:paraId="0BC8DA8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37441C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Lot {číslo}</w:t>
      </w:r>
    </w:p>
    <w:p w14:paraId="0E0CA69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65EEDC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br w:type="page"/>
      </w:r>
    </w:p>
    <w:p w14:paraId="52D3E03A" w14:textId="77777777" w:rsidR="00CC7332" w:rsidRPr="00700E54" w:rsidRDefault="00CC7332" w:rsidP="00CC7332">
      <w:pPr>
        <w:ind w:right="113"/>
        <w:rPr>
          <w:szCs w:val="22"/>
        </w:rPr>
      </w:pPr>
    </w:p>
    <w:p w14:paraId="254DE61E" w14:textId="77777777" w:rsidR="00CC7332" w:rsidRPr="00700E54" w:rsidRDefault="00CC7332" w:rsidP="00CC73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0E54">
        <w:rPr>
          <w:b/>
          <w:szCs w:val="22"/>
        </w:rPr>
        <w:t>MINIMÁLNE ÚDAJE, KTORÉ MAJÚ BYŤ UVEDENÉ NA MALOM VNÚTORNOM OBALE</w:t>
      </w:r>
    </w:p>
    <w:p w14:paraId="3881C698" w14:textId="77777777" w:rsidR="00CC7332" w:rsidRPr="00700E54" w:rsidRDefault="00CC7332" w:rsidP="00CC73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5AC89D0" w14:textId="77777777" w:rsidR="00CC7332" w:rsidRPr="00700E54" w:rsidRDefault="00CC7332" w:rsidP="00CC73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0E54">
        <w:rPr>
          <w:b/>
          <w:szCs w:val="22"/>
        </w:rPr>
        <w:t>Blister</w:t>
      </w:r>
    </w:p>
    <w:p w14:paraId="272FCD2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FDEFE4D" w14:textId="77777777" w:rsidR="00CC7332" w:rsidRPr="00700E54" w:rsidRDefault="00CC7332" w:rsidP="00CC7332">
      <w:pPr>
        <w:pStyle w:val="Style2"/>
      </w:pPr>
      <w:r w:rsidRPr="00700E54">
        <w:t>1.</w:t>
      </w:r>
      <w:r w:rsidRPr="00700E54">
        <w:tab/>
        <w:t>NÁZOV VETERINÁRNEHO LIEKU</w:t>
      </w:r>
    </w:p>
    <w:p w14:paraId="58CED0B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1293F1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700E54">
        <w:rPr>
          <w:noProof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 wp14:anchorId="233DA868" wp14:editId="0F72511C">
            <wp:simplePos x="0" y="0"/>
            <wp:positionH relativeFrom="column">
              <wp:posOffset>1280160</wp:posOffset>
            </wp:positionH>
            <wp:positionV relativeFrom="paragraph">
              <wp:posOffset>14605</wp:posOffset>
            </wp:positionV>
            <wp:extent cx="711200" cy="514350"/>
            <wp:effectExtent l="0" t="0" r="0" b="0"/>
            <wp:wrapSquare wrapText="bothSides"/>
            <wp:docPr id="3" name="Image 2" descr="Obrázok, na ktorom je pes, silueta, náčrt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Obrázok, na ktorom je pes, silueta, náčrt, cicave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E54">
        <w:rPr>
          <w:szCs w:val="22"/>
          <w:lang w:val="it-IT"/>
        </w:rPr>
        <w:t xml:space="preserve">Milbeguard Duo </w:t>
      </w:r>
    </w:p>
    <w:p w14:paraId="76671E7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D07A5E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974421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C186EF4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065777C" w14:textId="77777777" w:rsidR="00CC7332" w:rsidRPr="00700E54" w:rsidRDefault="00CC7332" w:rsidP="00CC7332">
      <w:pPr>
        <w:pStyle w:val="Style2"/>
      </w:pPr>
      <w:r w:rsidRPr="00700E54">
        <w:t>2.</w:t>
      </w:r>
      <w:r w:rsidRPr="00700E54">
        <w:tab/>
        <w:t>KVANTITATÍVNE ÚDAJE O ÚČINNÝCH LÁTKACH</w:t>
      </w:r>
    </w:p>
    <w:p w14:paraId="3FA598A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96D6441" w14:textId="3AE836E6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12</w:t>
      </w:r>
      <w:r w:rsidR="00E1181B" w:rsidRPr="00700E54">
        <w:rPr>
          <w:szCs w:val="22"/>
        </w:rPr>
        <w:t>,</w:t>
      </w:r>
      <w:r w:rsidRPr="00700E54">
        <w:rPr>
          <w:szCs w:val="22"/>
        </w:rPr>
        <w:t>5 mg milbemyc</w:t>
      </w:r>
      <w:r w:rsidR="000D11D3" w:rsidRPr="00700E54">
        <w:rPr>
          <w:szCs w:val="22"/>
        </w:rPr>
        <w:t>i</w:t>
      </w:r>
      <w:r w:rsidRPr="00700E54">
        <w:rPr>
          <w:szCs w:val="22"/>
        </w:rPr>
        <w:t>noxim</w:t>
      </w:r>
      <w:r w:rsidR="000D11D3" w:rsidRPr="00700E54">
        <w:rPr>
          <w:szCs w:val="22"/>
        </w:rPr>
        <w:t>um</w:t>
      </w:r>
      <w:r w:rsidRPr="00700E54">
        <w:rPr>
          <w:szCs w:val="22"/>
        </w:rPr>
        <w:t xml:space="preserve"> a 125 mg prazi</w:t>
      </w:r>
      <w:r w:rsidR="000D11D3" w:rsidRPr="00700E54">
        <w:rPr>
          <w:szCs w:val="22"/>
        </w:rPr>
        <w:t>qua</w:t>
      </w:r>
      <w:r w:rsidRPr="00700E54">
        <w:rPr>
          <w:szCs w:val="22"/>
        </w:rPr>
        <w:t>ntel</w:t>
      </w:r>
      <w:r w:rsidR="000D11D3" w:rsidRPr="00700E54">
        <w:rPr>
          <w:szCs w:val="22"/>
        </w:rPr>
        <w:t>um</w:t>
      </w:r>
      <w:r w:rsidRPr="00700E54">
        <w:rPr>
          <w:szCs w:val="22"/>
        </w:rPr>
        <w:t>/tableta.</w:t>
      </w:r>
    </w:p>
    <w:p w14:paraId="34ABD66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F4CD727" w14:textId="77777777" w:rsidR="00CC7332" w:rsidRPr="00700E54" w:rsidRDefault="00CC7332" w:rsidP="00CC7332">
      <w:pPr>
        <w:pStyle w:val="Style2"/>
      </w:pPr>
      <w:r w:rsidRPr="00700E54">
        <w:t>3.</w:t>
      </w:r>
      <w:r w:rsidRPr="00700E54">
        <w:tab/>
        <w:t>ČÍSLO ŠARŽE</w:t>
      </w:r>
    </w:p>
    <w:p w14:paraId="01E6D3A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E5ECDB8" w14:textId="05132826" w:rsidR="00CC7332" w:rsidRPr="00700E54" w:rsidRDefault="00CC7332" w:rsidP="007D717C">
      <w:pPr>
        <w:rPr>
          <w:szCs w:val="22"/>
        </w:rPr>
      </w:pPr>
      <w:r w:rsidRPr="00700E54">
        <w:rPr>
          <w:szCs w:val="22"/>
        </w:rPr>
        <w:t>Lot {číslo}</w:t>
      </w:r>
    </w:p>
    <w:p w14:paraId="6606C5B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CDAD378" w14:textId="77777777" w:rsidR="00CC7332" w:rsidRPr="00700E54" w:rsidRDefault="00CC7332" w:rsidP="00CC7332">
      <w:pPr>
        <w:pStyle w:val="Style2"/>
      </w:pPr>
      <w:r w:rsidRPr="00700E54">
        <w:t>4.</w:t>
      </w:r>
      <w:r w:rsidRPr="00700E54">
        <w:tab/>
        <w:t>DÁTUM EXSPIRÁCIE</w:t>
      </w:r>
    </w:p>
    <w:p w14:paraId="61EF76F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AB3A970" w14:textId="77777777" w:rsidR="00CC7332" w:rsidRPr="00700E54" w:rsidRDefault="00CC7332" w:rsidP="00CC7332">
      <w:pPr>
        <w:rPr>
          <w:szCs w:val="22"/>
        </w:rPr>
      </w:pPr>
      <w:r w:rsidRPr="00700E54">
        <w:rPr>
          <w:szCs w:val="22"/>
        </w:rPr>
        <w:t>Exp. {mesiac/rok}</w:t>
      </w:r>
    </w:p>
    <w:p w14:paraId="19780103" w14:textId="77777777" w:rsidR="00CC7332" w:rsidRPr="00700E54" w:rsidRDefault="00CC7332" w:rsidP="00CC7332">
      <w:pPr>
        <w:rPr>
          <w:szCs w:val="22"/>
        </w:rPr>
      </w:pPr>
    </w:p>
    <w:p w14:paraId="2BCB82F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96C246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4BC979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21093C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103542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7BF26F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B47B02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83E4FE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98CAC3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4B846A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C7C1C4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054FFC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7E502B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7A5A0F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81BE01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070C87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1C67B1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66C9AF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F82A4E4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1FC958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200EF3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8E64AB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5CDA66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D7669C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2C5E53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CF85A7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EB319A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7EC5C7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1A3DC3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6439FB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B530DB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C42F8D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98FEC67" w14:textId="625B0C42" w:rsidR="00CC7332" w:rsidRPr="00700E54" w:rsidRDefault="00CC7332" w:rsidP="00CC7332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00E54">
        <w:rPr>
          <w:b/>
          <w:szCs w:val="22"/>
        </w:rPr>
        <w:lastRenderedPageBreak/>
        <w:t>PÍSOMNÁ INFORMÁCIA PRE POUŽÍVATEĽOV</w:t>
      </w:r>
    </w:p>
    <w:p w14:paraId="7903251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8B39E95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1.</w:t>
      </w:r>
      <w:r w:rsidRPr="00700E54">
        <w:tab/>
        <w:t>Názov veterinárneho lieku</w:t>
      </w:r>
    </w:p>
    <w:p w14:paraId="6DD773E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D861A1D" w14:textId="50802EAE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Milbeguard Duo 12</w:t>
      </w:r>
      <w:r w:rsidR="007D717C" w:rsidRPr="00700E54">
        <w:rPr>
          <w:szCs w:val="22"/>
        </w:rPr>
        <w:t>,</w:t>
      </w:r>
      <w:r w:rsidRPr="00700E54">
        <w:rPr>
          <w:szCs w:val="22"/>
        </w:rPr>
        <w:t>5 mg/125 mg žuvacie tablety pre malé psy a šteňatá</w:t>
      </w:r>
    </w:p>
    <w:p w14:paraId="78CEC8B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FF7B21C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2.</w:t>
      </w:r>
      <w:r w:rsidRPr="00700E54">
        <w:tab/>
        <w:t>Zloženie</w:t>
      </w:r>
    </w:p>
    <w:p w14:paraId="4C789F8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8D098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b/>
          <w:szCs w:val="22"/>
        </w:rPr>
      </w:pPr>
      <w:r w:rsidRPr="00700E54">
        <w:rPr>
          <w:b/>
          <w:szCs w:val="22"/>
        </w:rPr>
        <w:t>Účinná(-é) látka(-y):</w:t>
      </w:r>
    </w:p>
    <w:p w14:paraId="1FB49508" w14:textId="20908484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Milbemyc</w:t>
      </w:r>
      <w:r w:rsidR="007D717C" w:rsidRPr="00700E54">
        <w:rPr>
          <w:iCs/>
          <w:szCs w:val="22"/>
        </w:rPr>
        <w:t>í</w:t>
      </w:r>
      <w:r w:rsidRPr="00700E54">
        <w:rPr>
          <w:iCs/>
          <w:szCs w:val="22"/>
        </w:rPr>
        <w:t>noxim</w:t>
      </w:r>
      <w:r w:rsidR="007D717C" w:rsidRPr="00700E54">
        <w:rPr>
          <w:iCs/>
          <w:szCs w:val="22"/>
        </w:rPr>
        <w:t xml:space="preserve">   </w:t>
      </w:r>
      <w:r w:rsidRPr="00700E54">
        <w:rPr>
          <w:iCs/>
          <w:szCs w:val="22"/>
        </w:rPr>
        <w:t xml:space="preserve"> </w:t>
      </w:r>
      <w:r w:rsidRPr="00700E54">
        <w:rPr>
          <w:iCs/>
          <w:szCs w:val="22"/>
        </w:rPr>
        <w:tab/>
        <w:t>12</w:t>
      </w:r>
      <w:r w:rsidR="007D717C" w:rsidRPr="00700E54">
        <w:rPr>
          <w:iCs/>
          <w:szCs w:val="22"/>
        </w:rPr>
        <w:t>,</w:t>
      </w:r>
      <w:r w:rsidRPr="00700E54">
        <w:rPr>
          <w:iCs/>
          <w:szCs w:val="22"/>
        </w:rPr>
        <w:t xml:space="preserve">5 mg </w:t>
      </w:r>
    </w:p>
    <w:p w14:paraId="6DC624D4" w14:textId="0BE4E235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Prazi</w:t>
      </w:r>
      <w:r w:rsidR="007D717C" w:rsidRPr="00700E54">
        <w:rPr>
          <w:iCs/>
          <w:szCs w:val="22"/>
        </w:rPr>
        <w:t>kv</w:t>
      </w:r>
      <w:r w:rsidRPr="00700E54">
        <w:rPr>
          <w:iCs/>
          <w:szCs w:val="22"/>
        </w:rPr>
        <w:t xml:space="preserve">antel </w:t>
      </w:r>
      <w:r w:rsidRPr="00700E54">
        <w:rPr>
          <w:iCs/>
          <w:szCs w:val="22"/>
        </w:rPr>
        <w:tab/>
      </w:r>
      <w:r w:rsidRPr="00700E54">
        <w:rPr>
          <w:iCs/>
          <w:szCs w:val="22"/>
        </w:rPr>
        <w:tab/>
      </w:r>
      <w:r w:rsidR="007D717C" w:rsidRPr="00700E54">
        <w:rPr>
          <w:iCs/>
          <w:szCs w:val="22"/>
        </w:rPr>
        <w:t xml:space="preserve"> </w:t>
      </w:r>
      <w:r w:rsidRPr="00700E54">
        <w:rPr>
          <w:iCs/>
          <w:szCs w:val="22"/>
        </w:rPr>
        <w:t>125 mg</w:t>
      </w:r>
    </w:p>
    <w:p w14:paraId="657FB97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FA41E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Podlhovasté tablety béžovej až svetlo hnedej farby s deliacou ryhou na jednej strane.</w:t>
      </w:r>
    </w:p>
    <w:p w14:paraId="6EBFF01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  <w:r w:rsidRPr="00700E54">
        <w:rPr>
          <w:iCs/>
          <w:szCs w:val="22"/>
        </w:rPr>
        <w:t>Tablety možno rozdeliť na dve rovnaké časti.</w:t>
      </w:r>
    </w:p>
    <w:p w14:paraId="7A01C93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19214C2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3.</w:t>
      </w:r>
      <w:r w:rsidRPr="00700E54">
        <w:tab/>
        <w:t>Cieľové druhy</w:t>
      </w:r>
    </w:p>
    <w:p w14:paraId="4C332A0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7058AA7" w14:textId="446258F5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bookmarkStart w:id="5" w:name="_Hlk141353275"/>
      <w:r w:rsidRPr="00700E54">
        <w:rPr>
          <w:szCs w:val="22"/>
        </w:rPr>
        <w:t xml:space="preserve">Psy </w:t>
      </w:r>
      <w:r w:rsidR="007D717C" w:rsidRPr="00700E54">
        <w:rPr>
          <w:szCs w:val="22"/>
        </w:rPr>
        <w:t xml:space="preserve">s </w:t>
      </w:r>
      <w:r w:rsidRPr="00700E54">
        <w:rPr>
          <w:szCs w:val="22"/>
        </w:rPr>
        <w:t>hmotnos</w:t>
      </w:r>
      <w:r w:rsidR="007D717C" w:rsidRPr="00700E54">
        <w:rPr>
          <w:szCs w:val="22"/>
        </w:rPr>
        <w:t>ťou</w:t>
      </w:r>
      <w:r w:rsidRPr="00700E54">
        <w:rPr>
          <w:szCs w:val="22"/>
        </w:rPr>
        <w:t xml:space="preserve"> najmenej 2,5 kg.</w:t>
      </w:r>
      <w:bookmarkEnd w:id="5"/>
    </w:p>
    <w:p w14:paraId="5AA5242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C68ACD6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4.</w:t>
      </w:r>
      <w:r w:rsidRPr="00700E54">
        <w:tab/>
        <w:t>Indikácie na použitie</w:t>
      </w:r>
    </w:p>
    <w:p w14:paraId="26BB37D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75A832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U psov: liečba zmiešaných infekcií spôsobených dospelými pásomnicami (cestódy) a hlístami (nematódy) nasledujúcich druhov:</w:t>
      </w:r>
    </w:p>
    <w:p w14:paraId="6667658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7AE185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- Pásomnice (Cestódy): </w:t>
      </w:r>
    </w:p>
    <w:p w14:paraId="5CE8EC4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Dipylidium caninum </w:t>
      </w:r>
    </w:p>
    <w:p w14:paraId="6EBDCA8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Taenia </w:t>
      </w:r>
      <w:r w:rsidRPr="00700E54">
        <w:rPr>
          <w:szCs w:val="22"/>
        </w:rPr>
        <w:t>spp</w:t>
      </w:r>
      <w:r w:rsidRPr="00700E54">
        <w:rPr>
          <w:i/>
          <w:iCs/>
          <w:szCs w:val="22"/>
        </w:rPr>
        <w:t xml:space="preserve">. </w:t>
      </w:r>
    </w:p>
    <w:p w14:paraId="02101369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Echinococcus </w:t>
      </w:r>
      <w:r w:rsidRPr="00700E54">
        <w:rPr>
          <w:szCs w:val="22"/>
        </w:rPr>
        <w:t>spp</w:t>
      </w:r>
      <w:r w:rsidRPr="00700E54">
        <w:rPr>
          <w:i/>
          <w:iCs/>
          <w:szCs w:val="22"/>
        </w:rPr>
        <w:t xml:space="preserve">. </w:t>
      </w:r>
    </w:p>
    <w:p w14:paraId="3DC55F9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Mesocestoides </w:t>
      </w:r>
      <w:r w:rsidRPr="00700E54">
        <w:rPr>
          <w:szCs w:val="22"/>
        </w:rPr>
        <w:t>spp</w:t>
      </w:r>
      <w:r w:rsidRPr="00700E54">
        <w:rPr>
          <w:i/>
          <w:iCs/>
          <w:szCs w:val="22"/>
        </w:rPr>
        <w:t xml:space="preserve">. </w:t>
      </w:r>
    </w:p>
    <w:p w14:paraId="57F1D3E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735BAC9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- Hlísty (Nematódy): </w:t>
      </w:r>
    </w:p>
    <w:p w14:paraId="1EF9355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Ancylostoma caninum </w:t>
      </w:r>
    </w:p>
    <w:p w14:paraId="597FF04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Toxocara canis </w:t>
      </w:r>
    </w:p>
    <w:p w14:paraId="1C325519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Toxascaris leonina </w:t>
      </w:r>
    </w:p>
    <w:p w14:paraId="51F7707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00E54">
        <w:rPr>
          <w:i/>
          <w:iCs/>
          <w:szCs w:val="22"/>
        </w:rPr>
        <w:t xml:space="preserve">Trichuris vulpis </w:t>
      </w:r>
    </w:p>
    <w:p w14:paraId="1CA2F4B4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i/>
          <w:iCs/>
          <w:szCs w:val="22"/>
        </w:rPr>
        <w:t>Crenosoma vulpis</w:t>
      </w:r>
      <w:r w:rsidRPr="00700E54">
        <w:rPr>
          <w:szCs w:val="22"/>
        </w:rPr>
        <w:t xml:space="preserve"> (zníženie miery infekcie) </w:t>
      </w:r>
    </w:p>
    <w:p w14:paraId="329264F3" w14:textId="288863D6" w:rsidR="00CC7332" w:rsidRPr="00700E54" w:rsidRDefault="00CC7332" w:rsidP="00CC733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00E54">
        <w:rPr>
          <w:i/>
          <w:iCs/>
          <w:szCs w:val="22"/>
        </w:rPr>
        <w:t xml:space="preserve">Angiostrongylus vasorum </w:t>
      </w:r>
      <w:r w:rsidRPr="00700E54">
        <w:rPr>
          <w:szCs w:val="22"/>
        </w:rPr>
        <w:t>(zníženie miery infekcie nedospelými (L5) a dospelými štádiami parazitov; pozri plán špecifickej liečby a prevencie ochorení v čast</w:t>
      </w:r>
      <w:r w:rsidR="00A22DE7" w:rsidRPr="00700E54">
        <w:rPr>
          <w:szCs w:val="22"/>
        </w:rPr>
        <w:t>i</w:t>
      </w:r>
      <w:r w:rsidRPr="00700E54">
        <w:rPr>
          <w:szCs w:val="22"/>
        </w:rPr>
        <w:t xml:space="preserve"> „Dávkovanie pre každý druh, cesty a spôsob podania lieku“).</w:t>
      </w:r>
    </w:p>
    <w:p w14:paraId="353783A9" w14:textId="77777777" w:rsidR="00CC7332" w:rsidRPr="00700E54" w:rsidRDefault="00CC7332" w:rsidP="00CC7332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2DC2CBE1" w14:textId="77777777" w:rsidR="00CC7332" w:rsidRPr="00700E54" w:rsidRDefault="00CC7332" w:rsidP="00CC733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00E54">
        <w:rPr>
          <w:i/>
          <w:iCs/>
          <w:szCs w:val="22"/>
        </w:rPr>
        <w:t xml:space="preserve">Thelazia callipaeda </w:t>
      </w:r>
      <w:r w:rsidRPr="00700E54">
        <w:rPr>
          <w:szCs w:val="22"/>
        </w:rPr>
        <w:t xml:space="preserve">(pozri plán špecifickej liečby v časti „Dávkovanie pre každý druh, cesty a spôsob podania lieku“). </w:t>
      </w:r>
    </w:p>
    <w:p w14:paraId="2514364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3731CD5" w14:textId="4CCCB162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Veterinárny liek sa môže použiť aj na prevenciu dirofilariózy (</w:t>
      </w:r>
      <w:r w:rsidRPr="00700E54">
        <w:rPr>
          <w:i/>
          <w:iCs/>
          <w:szCs w:val="22"/>
        </w:rPr>
        <w:t>Dirofilaria immitis</w:t>
      </w:r>
      <w:r w:rsidRPr="00700E54">
        <w:rPr>
          <w:szCs w:val="22"/>
        </w:rPr>
        <w:t>) ak je indikovaná s</w:t>
      </w:r>
      <w:r w:rsidR="00175E84" w:rsidRPr="00700E54">
        <w:rPr>
          <w:szCs w:val="22"/>
        </w:rPr>
        <w:t xml:space="preserve">úbežná </w:t>
      </w:r>
      <w:r w:rsidRPr="00700E54">
        <w:rPr>
          <w:szCs w:val="22"/>
        </w:rPr>
        <w:t>liečba proti pásomniciam.</w:t>
      </w:r>
    </w:p>
    <w:p w14:paraId="42E0775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84E5902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5.</w:t>
      </w:r>
      <w:r w:rsidRPr="00700E54">
        <w:tab/>
        <w:t>Kontraindikácie</w:t>
      </w:r>
    </w:p>
    <w:p w14:paraId="30B981D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7B7B07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Nepoužívať u psov s hmotnosťou nižšou ako 2,5 kg. </w:t>
      </w:r>
    </w:p>
    <w:p w14:paraId="3CFA5D8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Nepoužívať v prípadoch precitlivenosti na účinné látky alebo na niektorú z pomocných látok. </w:t>
      </w:r>
    </w:p>
    <w:p w14:paraId="6BE33E7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Pozri tiež časť „Osobitné opatrenia na používanie u cieľových druhov“.</w:t>
      </w:r>
    </w:p>
    <w:p w14:paraId="3EEDCA7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37CD640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6.</w:t>
      </w:r>
      <w:r w:rsidRPr="00700E54">
        <w:tab/>
        <w:t>Osobitné upozornenia</w:t>
      </w:r>
    </w:p>
    <w:p w14:paraId="192489D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9C8B1C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Osobitné upozornenia</w:t>
      </w:r>
      <w:r w:rsidRPr="00700E54">
        <w:rPr>
          <w:szCs w:val="22"/>
        </w:rPr>
        <w:t>:</w:t>
      </w:r>
    </w:p>
    <w:p w14:paraId="4A731CD2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lastRenderedPageBreak/>
        <w:t xml:space="preserve">Odporúča sa súbežné ošetrenie všetkých zvierat žijúcich v rovnakej domácnosti. V prípade potvrdenej infekcie cestódami </w:t>
      </w:r>
      <w:r w:rsidRPr="00700E54">
        <w:rPr>
          <w:i/>
          <w:iCs/>
          <w:szCs w:val="22"/>
        </w:rPr>
        <w:t>D. caninum</w:t>
      </w:r>
      <w:r w:rsidRPr="00700E54">
        <w:rPr>
          <w:szCs w:val="22"/>
        </w:rPr>
        <w:t xml:space="preserve"> je potrebné konzultovať s veterinárnym lekárom súbežnú liečbu proti medzihostiteľom ako sú blchy a vši, aby sa zabránilo opakovanej infekcii. </w:t>
      </w:r>
    </w:p>
    <w:p w14:paraId="3D258A58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</w:p>
    <w:p w14:paraId="64391494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Nadmerné použitie antiparazitík alebo použitie odlišné od pokynov uvedených v SPC môže zvýšiť selekčný tlak na rezistenciu a viesť k zníženiu účinnosti. Rozhodnutie o použití lieku by malo byť založené na potvrdení druhu parazita a parazitárnej záťaže alebo rizika infekcie na základe jeho epidemiologických vlastností pre každé jednotlivé zviera.</w:t>
      </w:r>
    </w:p>
    <w:p w14:paraId="7CD75DF5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</w:p>
    <w:p w14:paraId="6D3C8B4B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Rezistencia parazitov voči akejkoľvek skupine antihelmintík sa môže vyvinúť po častom a opakovanom použití antihelmintika príslušnej skupiny.</w:t>
      </w:r>
    </w:p>
    <w:p w14:paraId="46B8AFDC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V tretích krajinách (USA) už bola hlásená rezistencia </w:t>
      </w:r>
      <w:r w:rsidRPr="00700E54">
        <w:rPr>
          <w:i/>
          <w:iCs/>
          <w:szCs w:val="22"/>
        </w:rPr>
        <w:t>Dipylidium caninum</w:t>
      </w:r>
      <w:r w:rsidRPr="00700E54">
        <w:rPr>
          <w:szCs w:val="22"/>
        </w:rPr>
        <w:t xml:space="preserve"> k prazikvantelu a prípady viacnásobnej rezistencie </w:t>
      </w:r>
      <w:r w:rsidRPr="00700E54">
        <w:rPr>
          <w:i/>
          <w:iCs/>
          <w:szCs w:val="22"/>
        </w:rPr>
        <w:t>Ancylostoma caninum</w:t>
      </w:r>
      <w:r w:rsidRPr="00700E54">
        <w:rPr>
          <w:szCs w:val="22"/>
        </w:rPr>
        <w:t xml:space="preserve"> k milbemycínoximu a rezistencia </w:t>
      </w:r>
      <w:r w:rsidRPr="00700E54">
        <w:rPr>
          <w:i/>
          <w:iCs/>
          <w:szCs w:val="22"/>
        </w:rPr>
        <w:t>Dirofilaria immitis</w:t>
      </w:r>
      <w:r w:rsidRPr="00700E54">
        <w:rPr>
          <w:szCs w:val="22"/>
        </w:rPr>
        <w:t xml:space="preserve"> k makrocyklickým laktónom.</w:t>
      </w:r>
    </w:p>
    <w:p w14:paraId="363F6F40" w14:textId="28BD06F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Odporúča sa ďalej vyšetriť prípady podozrenia na rezistenciu s využitím zodpovedajúcej diagnostickej metódy. Potvrdená rezistencia by mala byť hlásená </w:t>
      </w:r>
      <w:r w:rsidR="00D106C3" w:rsidRPr="00700E54">
        <w:rPr>
          <w:szCs w:val="22"/>
        </w:rPr>
        <w:t xml:space="preserve">držiteľovi rozhodnutia o registrácii </w:t>
      </w:r>
      <w:r w:rsidRPr="00700E54">
        <w:rPr>
          <w:szCs w:val="22"/>
        </w:rPr>
        <w:t>alebo príslušným orgánom.</w:t>
      </w:r>
    </w:p>
    <w:p w14:paraId="3A9BCC68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Ak hrozí riziko koinfekcie s hlístami alebo pásomnicami, mal by byť použitý prípravok s úzkym spektrom.</w:t>
      </w:r>
    </w:p>
    <w:p w14:paraId="05FD89AD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Použitie lieku by malo byť založené na základe znalosti miestnej epidemiologickej informácie o citlivosti cieľových parazitov, ak sú k dispozícii.</w:t>
      </w:r>
    </w:p>
    <w:p w14:paraId="4E3EB70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7012CF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Osobitné opatrenia na používanie u cieľových druhov</w:t>
      </w:r>
      <w:r w:rsidRPr="00700E54">
        <w:rPr>
          <w:szCs w:val="22"/>
        </w:rPr>
        <w:t>:</w:t>
      </w:r>
    </w:p>
    <w:p w14:paraId="3DE8453A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V oblastiach s rizikom výskytu dirofilariózy alebo pokiaľ je známe, že pes cestuje do alebo z regiónov s rizikom výskytu dirofilariózy, sa odporúča pred podaním lieku konzultácia s veterinárnym lekárom, aby sa vylúčila prítomnosť súčasnej invázie </w:t>
      </w:r>
      <w:r w:rsidRPr="00700E54">
        <w:rPr>
          <w:i/>
          <w:iCs/>
          <w:szCs w:val="22"/>
        </w:rPr>
        <w:t>Dirofilaria immitis</w:t>
      </w:r>
      <w:r w:rsidRPr="00700E54">
        <w:rPr>
          <w:szCs w:val="22"/>
        </w:rPr>
        <w:t>. V prípade pozitívnej diagnózy sa pred podaním tohto lieku indikuje terapia proti dospelým jedincom.</w:t>
      </w:r>
    </w:p>
    <w:p w14:paraId="12B485BC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</w:p>
    <w:p w14:paraId="327B3199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Liečba psov s vysokým počtom cirkulujúcich mikrofilárií môže niekedy viesť k vzniku hypersenzitívnych reakcií, ako sú bledé sliznice, zvracanie, chvenie, sťažené dýchanie alebo nadmerné slinenie. Tieto reakcie sú spojené s uvoľnením proteínov z uhynutých alebo hynúcich mikrofilárií a nepredstavujú priamy toxický účinok lieku. Použitie u psov napadnutých mikrofiláriami sa preto neodporúča.</w:t>
      </w:r>
    </w:p>
    <w:p w14:paraId="3B2A8C2E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</w:p>
    <w:p w14:paraId="6A509321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Neboli vykonané žiadne štúdie s veľmi oslabenými psami alebo s jedincami s vážnymi poruchami obličiek alebo funkciou pečene Pre tieto zvieratá sa liek neodporúča alebo iba po zvážení pomeru rizika alebo prínosu zodpovedným veterinárnym lekárom.</w:t>
      </w:r>
    </w:p>
    <w:p w14:paraId="302951B3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</w:p>
    <w:p w14:paraId="3C300B68" w14:textId="5706C0B4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Štúdie s milbemycínoximom dokázali, že hranica bezpečnosti jeho podávania je u niektorých psov plemena kólia alebo príbuzných plemien s mutáciou MDR1(-/-) nižšia ako pri iných plemenách. U týchto psov sa musí prísne dodržať odporúčané dávkovanie. Znášanlivosť lieku v prípade mladých šteniat týchto plemien nebola skúmaná. Klinické príznaky v prípade kólií sú podobné príznakom u ostatných psov pri predávkovaní (pozri časť „Predávkovanie“).</w:t>
      </w:r>
    </w:p>
    <w:p w14:paraId="1A326448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</w:p>
    <w:p w14:paraId="1A3DED48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U psov do veku 4 týždňov je invázia pásomnicami neobvyklá. Liečba psov mladších ako 4 týždne pomocou kombinovaného lieku preto nemusí byť potrebná.</w:t>
      </w:r>
    </w:p>
    <w:p w14:paraId="54C4B5CD" w14:textId="795B75EB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Tablety sú ochutené. V záujme zabránenia nezamýšľaného požitia tablety </w:t>
      </w:r>
      <w:r w:rsidR="00DD7B47" w:rsidRPr="00700E54">
        <w:rPr>
          <w:szCs w:val="22"/>
        </w:rPr>
        <w:t xml:space="preserve">uchovávajte </w:t>
      </w:r>
      <w:r w:rsidRPr="00700E54">
        <w:rPr>
          <w:szCs w:val="22"/>
        </w:rPr>
        <w:t>mimo dosahu zvierat.</w:t>
      </w:r>
    </w:p>
    <w:p w14:paraId="74ACA7B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EABC95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Osobitné opatrenia, ktoré má urobiť osoba podávajúca liek zvieratám</w:t>
      </w:r>
      <w:r w:rsidRPr="00700E54">
        <w:rPr>
          <w:szCs w:val="22"/>
        </w:rPr>
        <w:t>:</w:t>
      </w:r>
    </w:p>
    <w:p w14:paraId="391B8BBD" w14:textId="3F628131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Tento veterinárny liek môže byť pri požití škodlivý, najmä pre deti. V záujme zabránenia náhodného požitia </w:t>
      </w:r>
      <w:r w:rsidR="00DD7B47" w:rsidRPr="00700E54">
        <w:rPr>
          <w:szCs w:val="22"/>
        </w:rPr>
        <w:t>liek uchovávajte</w:t>
      </w:r>
      <w:r w:rsidRPr="00700E54">
        <w:rPr>
          <w:szCs w:val="22"/>
        </w:rPr>
        <w:t xml:space="preserve"> mimo dohľadu a dosahu detí. Nepoužité časti tabliet vráťte do otvoreného otvoru v blistri, vložte späť do </w:t>
      </w:r>
      <w:r w:rsidR="00DD7B47" w:rsidRPr="00700E54">
        <w:rPr>
          <w:szCs w:val="22"/>
        </w:rPr>
        <w:t xml:space="preserve">škatuľky </w:t>
      </w:r>
      <w:r w:rsidRPr="00700E54">
        <w:rPr>
          <w:szCs w:val="22"/>
        </w:rPr>
        <w:t>a použite pri ďalšom podaní alebo bezpečne zlikvidujte (pozri časť „Špeciálne opatrenia na likvidáciu“).</w:t>
      </w:r>
    </w:p>
    <w:p w14:paraId="70CC9D09" w14:textId="6204CCF9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V prípade náhodného požitia, predovšetkým u detí, vyhľadajte ihneď lekársku pomoc a ukážte písomnú informáciu </w:t>
      </w:r>
      <w:r w:rsidR="00FE30EC" w:rsidRPr="00700E54">
        <w:rPr>
          <w:szCs w:val="22"/>
        </w:rPr>
        <w:t xml:space="preserve">pre používateľov </w:t>
      </w:r>
      <w:r w:rsidRPr="00700E54">
        <w:rPr>
          <w:szCs w:val="22"/>
        </w:rPr>
        <w:t xml:space="preserve">alebo </w:t>
      </w:r>
      <w:r w:rsidR="00FE30EC" w:rsidRPr="00700E54">
        <w:rPr>
          <w:szCs w:val="22"/>
        </w:rPr>
        <w:t xml:space="preserve">obal </w:t>
      </w:r>
      <w:r w:rsidRPr="00700E54">
        <w:rPr>
          <w:szCs w:val="22"/>
        </w:rPr>
        <w:t>lekárovi.</w:t>
      </w:r>
    </w:p>
    <w:p w14:paraId="74B15821" w14:textId="0D88F828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lastRenderedPageBreak/>
        <w:t xml:space="preserve">Liek môže vyvolať slabú senzibilizáciu pri styku s pokožkou. S liekom nemanipulujte v prípade známej precitlivenosti na </w:t>
      </w:r>
      <w:r w:rsidR="00DD7B47" w:rsidRPr="00700E54">
        <w:rPr>
          <w:szCs w:val="22"/>
        </w:rPr>
        <w:t xml:space="preserve">účinné </w:t>
      </w:r>
      <w:r w:rsidRPr="00700E54">
        <w:rPr>
          <w:szCs w:val="22"/>
        </w:rPr>
        <w:t>látky alebo na niektorú z pomocných látok.</w:t>
      </w:r>
    </w:p>
    <w:p w14:paraId="528EDF8D" w14:textId="2DE65A33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Pokiaľ príznaky ako kožná vyrážka pretrvávajú, vyhľadajte ihneď lekársku pomoc a ukážte písomnú informáciu </w:t>
      </w:r>
      <w:r w:rsidR="00DD7B47" w:rsidRPr="00700E54">
        <w:rPr>
          <w:szCs w:val="22"/>
        </w:rPr>
        <w:t xml:space="preserve">pre používateľov </w:t>
      </w:r>
      <w:r w:rsidRPr="00700E54">
        <w:rPr>
          <w:szCs w:val="22"/>
        </w:rPr>
        <w:t xml:space="preserve">alebo etiketu lekárovi. </w:t>
      </w:r>
    </w:p>
    <w:p w14:paraId="4E22FDE9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 použití si umyte ruky.</w:t>
      </w:r>
    </w:p>
    <w:p w14:paraId="7A35112F" w14:textId="77777777" w:rsidR="00CC7332" w:rsidRPr="00700E54" w:rsidRDefault="00CC7332" w:rsidP="00CC7332">
      <w:pPr>
        <w:rPr>
          <w:szCs w:val="22"/>
          <w:u w:val="single"/>
        </w:rPr>
      </w:pPr>
    </w:p>
    <w:p w14:paraId="60E1368D" w14:textId="77777777" w:rsidR="00CC7332" w:rsidRPr="00700E54" w:rsidRDefault="00CC7332" w:rsidP="00CC7332">
      <w:pPr>
        <w:rPr>
          <w:szCs w:val="22"/>
        </w:rPr>
      </w:pPr>
      <w:r w:rsidRPr="00700E54">
        <w:rPr>
          <w:szCs w:val="22"/>
          <w:u w:val="single"/>
        </w:rPr>
        <w:t>Osobitné opatrenia na ochranu životného prostredia</w:t>
      </w:r>
      <w:r w:rsidRPr="00700E54">
        <w:rPr>
          <w:szCs w:val="22"/>
        </w:rPr>
        <w:t>:</w:t>
      </w:r>
    </w:p>
    <w:p w14:paraId="3AF6B07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Neuplatňujú sa.</w:t>
      </w:r>
    </w:p>
    <w:p w14:paraId="24DBA42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934985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Gravidita</w:t>
      </w:r>
      <w:r w:rsidRPr="00700E54">
        <w:rPr>
          <w:szCs w:val="22"/>
        </w:rPr>
        <w:t xml:space="preserve"> </w:t>
      </w:r>
      <w:r w:rsidRPr="00700E54">
        <w:rPr>
          <w:szCs w:val="22"/>
          <w:u w:val="single"/>
        </w:rPr>
        <w:t>a laktácia</w:t>
      </w:r>
      <w:r w:rsidRPr="00700E54">
        <w:rPr>
          <w:szCs w:val="22"/>
        </w:rPr>
        <w:t>:</w:t>
      </w:r>
    </w:p>
    <w:p w14:paraId="11C4782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Bezpečnosť veterinárneho lieku bola potvrdená počas gravidity a laktácie.</w:t>
      </w:r>
    </w:p>
    <w:p w14:paraId="39432FE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Môže sa použiť počas gravidity a laktácie.</w:t>
      </w:r>
    </w:p>
    <w:p w14:paraId="6190F3A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0DF2B0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Plodnosť</w:t>
      </w:r>
    </w:p>
    <w:p w14:paraId="5C816BB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Môže sa použiť u chovných psov.</w:t>
      </w:r>
    </w:p>
    <w:p w14:paraId="6C0E986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6F9C5D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Interakcie s inými liekmi a ďalšie formy interakcií</w:t>
      </w:r>
      <w:r w:rsidRPr="00700E54">
        <w:rPr>
          <w:szCs w:val="22"/>
        </w:rPr>
        <w:t>:</w:t>
      </w:r>
    </w:p>
    <w:p w14:paraId="03D15781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Súčasné podávanie tabliet obsahujúcich milbemycínoxim a prazikvantel so selamektínom je dobre tolerované. Pri podávaní odporúčanej dávky makrocyklického laktónu selamektínu počas liečby odporúčanou dávkou kombinácie milbemycínoximu a prazikvantelu neboli pozorované žiadne interakcie. Pri súčasnom podaní tabliet obsahujúcich milbemycínoxim a prazikvantel s inými makrocyklickými laktónmi je potrebná osobitná opatrnosť, pretože nie sú dostupné ďalšie štúdie. Takéto štúdie neboli vykonané ani u chovných zvierat.</w:t>
      </w:r>
    </w:p>
    <w:p w14:paraId="64133DA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130FB6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Predávkovanie</w:t>
      </w:r>
      <w:r w:rsidRPr="00700E54">
        <w:rPr>
          <w:szCs w:val="22"/>
        </w:rPr>
        <w:t>:</w:t>
      </w:r>
    </w:p>
    <w:p w14:paraId="5F2A2A36" w14:textId="35C823C6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Pozorované nežiaduce </w:t>
      </w:r>
      <w:r w:rsidR="007D717C" w:rsidRPr="00700E54">
        <w:rPr>
          <w:szCs w:val="22"/>
        </w:rPr>
        <w:t>účinky</w:t>
      </w:r>
      <w:r w:rsidRPr="00700E54">
        <w:rPr>
          <w:szCs w:val="22"/>
        </w:rPr>
        <w:t xml:space="preserve"> sú rovnaké ako reakcie pozorované pri odporúčanom dávkovaní (pozri časť „Nežiaduce účinky“).</w:t>
      </w:r>
    </w:p>
    <w:p w14:paraId="6FA23A7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DAB1505" w14:textId="77777777" w:rsidR="00CC7332" w:rsidRPr="00700E54" w:rsidRDefault="00CC7332" w:rsidP="00CC7332">
      <w:pPr>
        <w:rPr>
          <w:szCs w:val="22"/>
        </w:rPr>
      </w:pPr>
      <w:r w:rsidRPr="00700E54">
        <w:rPr>
          <w:szCs w:val="22"/>
          <w:u w:val="single"/>
        </w:rPr>
        <w:t>Osobitné obmedzenia používania a osobitné podmienky používania</w:t>
      </w:r>
      <w:r w:rsidRPr="00700E54">
        <w:rPr>
          <w:szCs w:val="22"/>
        </w:rPr>
        <w:t>:</w:t>
      </w:r>
    </w:p>
    <w:p w14:paraId="67523675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Neuplatňujú sa.</w:t>
      </w:r>
    </w:p>
    <w:p w14:paraId="580017F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6A378E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Závažné inkompatibility</w:t>
      </w:r>
      <w:r w:rsidRPr="00700E54">
        <w:rPr>
          <w:szCs w:val="22"/>
        </w:rPr>
        <w:t>:</w:t>
      </w:r>
    </w:p>
    <w:p w14:paraId="1862158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Neuplatňujú sa.</w:t>
      </w:r>
    </w:p>
    <w:p w14:paraId="05E0AD3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760FFC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  <w:u w:val="single"/>
        </w:rPr>
        <w:t>Ďalšie opatrenia</w:t>
      </w:r>
      <w:r w:rsidRPr="00700E54">
        <w:rPr>
          <w:szCs w:val="22"/>
        </w:rPr>
        <w:t>:</w:t>
      </w:r>
    </w:p>
    <w:p w14:paraId="7F413A0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Echinokokóza predstavuje riziko pre človeka. Vzhľadom na to, že echinokokóza je ochorenie podliehajúce hláseniu Svetovej organizácii pre zdravie zvierat (WOAH), konkrétne pokyny pre ošetrovanie a následný postup a pokyny na ochranu osôb je potrebné získať od kompetentného úradu (napr. odborníkov alebo parazitologických ústavov).</w:t>
      </w:r>
    </w:p>
    <w:p w14:paraId="045B017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2552367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7.</w:t>
      </w:r>
      <w:r w:rsidRPr="00700E54">
        <w:tab/>
        <w:t>Nežiaduce účinky</w:t>
      </w:r>
    </w:p>
    <w:p w14:paraId="073BFE1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8F596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Psy:</w:t>
      </w:r>
    </w:p>
    <w:p w14:paraId="4D657BD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7332" w:rsidRPr="00700E54" w14:paraId="4572ACE1" w14:textId="77777777" w:rsidTr="00E1181B">
        <w:tc>
          <w:tcPr>
            <w:tcW w:w="9061" w:type="dxa"/>
          </w:tcPr>
          <w:p w14:paraId="494DB702" w14:textId="77777777" w:rsidR="00CC7332" w:rsidRPr="00700E54" w:rsidRDefault="00CC7332" w:rsidP="00E1181B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szCs w:val="22"/>
              </w:rPr>
              <w:t>Veľmi zriedkavé (u menej ako 1 z 10 000 liečených zvierat, vrátane ojedinelých hlásení):</w:t>
            </w:r>
          </w:p>
        </w:tc>
      </w:tr>
      <w:tr w:rsidR="00CC7332" w:rsidRPr="00700E54" w14:paraId="2829FA0D" w14:textId="77777777" w:rsidTr="00E1181B">
        <w:tc>
          <w:tcPr>
            <w:tcW w:w="9061" w:type="dxa"/>
          </w:tcPr>
          <w:p w14:paraId="5B5F15D1" w14:textId="77777777" w:rsidR="00CC7332" w:rsidRPr="00700E54" w:rsidRDefault="00CC7332" w:rsidP="00E1181B">
            <w:pPr>
              <w:spacing w:before="60" w:after="60"/>
              <w:rPr>
                <w:iCs/>
                <w:szCs w:val="22"/>
              </w:rPr>
            </w:pPr>
            <w:r w:rsidRPr="00700E54">
              <w:rPr>
                <w:szCs w:val="22"/>
              </w:rPr>
              <w:t xml:space="preserve">Hypersenzitivita, </w:t>
            </w:r>
            <w:r w:rsidRPr="00700E54">
              <w:rPr>
                <w:iCs/>
                <w:szCs w:val="22"/>
              </w:rPr>
              <w:t>Systémové príznaky (napr. letargia, anorexia), Neurologické príznaky (napr. svalový tremor, ataxia, kŕče), Gastrointestinálne príznaky (napr. zvracanie, slinenie, hnačka)</w:t>
            </w:r>
          </w:p>
          <w:p w14:paraId="69D4EA36" w14:textId="77777777" w:rsidR="00CC7332" w:rsidRPr="00700E54" w:rsidRDefault="00CC7332" w:rsidP="00E1181B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</w:tc>
      </w:tr>
    </w:tbl>
    <w:p w14:paraId="6D6A95C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017B1E" w14:textId="77777777" w:rsidR="00CC7332" w:rsidRPr="00700E54" w:rsidRDefault="00CC7332" w:rsidP="00CC7332">
      <w:pPr>
        <w:rPr>
          <w:szCs w:val="22"/>
        </w:rPr>
      </w:pPr>
      <w:r w:rsidRPr="00700E54">
        <w:rPr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 prostredníctvom kontaktných údajov na konci tejto písomnej informácie alebo prostredníctvom národného systému hlásenia: </w:t>
      </w:r>
    </w:p>
    <w:p w14:paraId="09E68A02" w14:textId="77777777" w:rsidR="007D717C" w:rsidRPr="00700E54" w:rsidRDefault="007D717C" w:rsidP="007D717C">
      <w:pPr>
        <w:rPr>
          <w:rFonts w:eastAsiaTheme="minorEastAsia"/>
          <w:noProof/>
          <w:szCs w:val="22"/>
          <w:lang w:eastAsia="sk-SK"/>
        </w:rPr>
      </w:pPr>
      <w:r w:rsidRPr="00700E54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6C493635" w14:textId="77777777" w:rsidR="007D717C" w:rsidRPr="00700E54" w:rsidRDefault="007D717C" w:rsidP="007D717C">
      <w:pPr>
        <w:rPr>
          <w:rFonts w:eastAsiaTheme="minorEastAsia"/>
          <w:noProof/>
          <w:szCs w:val="22"/>
          <w:lang w:eastAsia="sk-SK"/>
        </w:rPr>
      </w:pPr>
      <w:r w:rsidRPr="00700E54">
        <w:rPr>
          <w:rFonts w:eastAsiaTheme="minorEastAsia"/>
          <w:noProof/>
          <w:szCs w:val="22"/>
          <w:lang w:eastAsia="sk-SK"/>
        </w:rPr>
        <w:lastRenderedPageBreak/>
        <w:t>Biovetská 34</w:t>
      </w:r>
    </w:p>
    <w:p w14:paraId="4FB17408" w14:textId="77777777" w:rsidR="007D717C" w:rsidRPr="00700E54" w:rsidRDefault="007D717C" w:rsidP="007D717C">
      <w:pPr>
        <w:rPr>
          <w:rFonts w:eastAsiaTheme="minorEastAsia"/>
          <w:noProof/>
          <w:szCs w:val="22"/>
          <w:lang w:eastAsia="sk-SK"/>
        </w:rPr>
      </w:pPr>
      <w:r w:rsidRPr="00700E54">
        <w:rPr>
          <w:rFonts w:eastAsiaTheme="minorEastAsia"/>
          <w:noProof/>
          <w:szCs w:val="22"/>
          <w:lang w:eastAsia="sk-SK"/>
        </w:rPr>
        <w:t>949 01 Nitra</w:t>
      </w:r>
    </w:p>
    <w:p w14:paraId="65BD3C95" w14:textId="77777777" w:rsidR="007D717C" w:rsidRPr="00700E54" w:rsidRDefault="007D717C" w:rsidP="007D717C">
      <w:pPr>
        <w:rPr>
          <w:rFonts w:eastAsiaTheme="minorEastAsia"/>
          <w:noProof/>
          <w:szCs w:val="22"/>
          <w:lang w:eastAsia="sk-SK"/>
        </w:rPr>
      </w:pPr>
      <w:r w:rsidRPr="00700E54">
        <w:rPr>
          <w:rFonts w:eastAsiaTheme="minorEastAsia"/>
          <w:noProof/>
          <w:szCs w:val="22"/>
          <w:lang w:eastAsia="sk-SK"/>
        </w:rPr>
        <w:t>Slovenská republika</w:t>
      </w:r>
    </w:p>
    <w:p w14:paraId="27CA0CA0" w14:textId="77777777" w:rsidR="007D717C" w:rsidRPr="00700E54" w:rsidRDefault="007D717C" w:rsidP="007D717C">
      <w:pPr>
        <w:rPr>
          <w:rFonts w:eastAsiaTheme="minorEastAsia"/>
          <w:noProof/>
          <w:szCs w:val="22"/>
          <w:lang w:eastAsia="sk-SK"/>
        </w:rPr>
      </w:pPr>
      <w:r w:rsidRPr="00700E54">
        <w:rPr>
          <w:rFonts w:eastAsiaTheme="minorEastAsia"/>
          <w:noProof/>
          <w:szCs w:val="22"/>
          <w:lang w:eastAsia="sk-SK"/>
        </w:rPr>
        <w:t>Tel.: +421 37 69 33 541</w:t>
      </w:r>
    </w:p>
    <w:p w14:paraId="0D533091" w14:textId="77777777" w:rsidR="007D717C" w:rsidRPr="00700E54" w:rsidRDefault="007D717C" w:rsidP="007D717C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700E54">
        <w:rPr>
          <w:noProof/>
          <w:szCs w:val="22"/>
          <w:lang w:val="nl-NL"/>
        </w:rPr>
        <w:t xml:space="preserve">e-mail: </w:t>
      </w:r>
      <w:hyperlink r:id="rId11" w:history="1">
        <w:r w:rsidRPr="00700E54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4B7AE75E" w14:textId="77777777" w:rsidR="007D717C" w:rsidRPr="00700E54" w:rsidRDefault="007D717C" w:rsidP="007D717C">
      <w:pPr>
        <w:rPr>
          <w:rFonts w:eastAsia="Calibri"/>
          <w:szCs w:val="22"/>
          <w:lang w:val="pt-PT" w:eastAsia="zh-CN"/>
        </w:rPr>
      </w:pPr>
      <w:r w:rsidRPr="00700E54">
        <w:rPr>
          <w:szCs w:val="22"/>
        </w:rPr>
        <w:t xml:space="preserve">Webová stránka: </w:t>
      </w:r>
      <w:hyperlink r:id="rId12" w:history="1">
        <w:r w:rsidRPr="00700E54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700E54">
        <w:rPr>
          <w:rFonts w:eastAsia="Calibri"/>
          <w:szCs w:val="22"/>
          <w:lang w:val="pt-PT" w:eastAsia="zh-CN"/>
        </w:rPr>
        <w:t xml:space="preserve"> ,  časť Farmakovigilancia</w:t>
      </w:r>
    </w:p>
    <w:p w14:paraId="33F50C9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EFADFA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8.</w:t>
      </w:r>
      <w:r w:rsidRPr="00700E54">
        <w:tab/>
        <w:t>Dávkovanie pre každý druh, cesty a spôsob podania lieku</w:t>
      </w:r>
    </w:p>
    <w:p w14:paraId="37F23C7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661A5DD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Perorálne podanie.</w:t>
      </w:r>
    </w:p>
    <w:p w14:paraId="4B24FBEF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Minimálna odporúčaná dávka: 0,5 mg milbemycínoximu a 5 mg prazikvantelu na jeden kilogram perorálne, jednorazovo. </w:t>
      </w:r>
    </w:p>
    <w:p w14:paraId="64E1D8D6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Na zaistenie podania správnej dávky by mala byť živá hmotnosť stanovená čo najpresnejšie. V závislosti od živej hmotnosti psa je praktické dávkovanie nasledujúce:</w:t>
      </w:r>
    </w:p>
    <w:p w14:paraId="474881DA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279"/>
      </w:tblGrid>
      <w:tr w:rsidR="007D717C" w:rsidRPr="00700E54" w14:paraId="0CA1276E" w14:textId="77777777" w:rsidTr="00000021">
        <w:tc>
          <w:tcPr>
            <w:tcW w:w="1969" w:type="dxa"/>
            <w:shd w:val="clear" w:color="auto" w:fill="auto"/>
          </w:tcPr>
          <w:p w14:paraId="43AA688E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Živá hmotnosť (kg)</w:t>
            </w:r>
          </w:p>
        </w:tc>
        <w:tc>
          <w:tcPr>
            <w:tcW w:w="2279" w:type="dxa"/>
            <w:shd w:val="clear" w:color="auto" w:fill="auto"/>
          </w:tcPr>
          <w:p w14:paraId="7B79D9B0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12,5 mg / 125 mg žuvacie tablety</w:t>
            </w:r>
          </w:p>
        </w:tc>
      </w:tr>
      <w:tr w:rsidR="007D717C" w:rsidRPr="00700E54" w14:paraId="27F61033" w14:textId="77777777" w:rsidTr="00000021">
        <w:tc>
          <w:tcPr>
            <w:tcW w:w="1969" w:type="dxa"/>
            <w:shd w:val="clear" w:color="auto" w:fill="auto"/>
          </w:tcPr>
          <w:p w14:paraId="1D726F6B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  <w:lang w:val="en-US"/>
              </w:rPr>
              <w:t>2,5 - 5</w:t>
            </w:r>
          </w:p>
        </w:tc>
        <w:tc>
          <w:tcPr>
            <w:tcW w:w="2279" w:type="dxa"/>
            <w:shd w:val="clear" w:color="auto" w:fill="auto"/>
          </w:tcPr>
          <w:p w14:paraId="4A292826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1/2 tablety</w:t>
            </w:r>
          </w:p>
        </w:tc>
      </w:tr>
      <w:tr w:rsidR="007D717C" w:rsidRPr="00700E54" w14:paraId="329D1C7F" w14:textId="77777777" w:rsidTr="00000021">
        <w:tc>
          <w:tcPr>
            <w:tcW w:w="1969" w:type="dxa"/>
            <w:shd w:val="clear" w:color="auto" w:fill="auto"/>
          </w:tcPr>
          <w:p w14:paraId="25D83890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  <w:lang w:val="en-US"/>
              </w:rPr>
              <w:t xml:space="preserve">&gt;5-25 </w:t>
            </w:r>
          </w:p>
        </w:tc>
        <w:tc>
          <w:tcPr>
            <w:tcW w:w="2279" w:type="dxa"/>
            <w:shd w:val="clear" w:color="auto" w:fill="auto"/>
          </w:tcPr>
          <w:p w14:paraId="72FEC374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1 tableta</w:t>
            </w:r>
          </w:p>
        </w:tc>
      </w:tr>
      <w:tr w:rsidR="007D717C" w:rsidRPr="00700E54" w14:paraId="15CF7C42" w14:textId="77777777" w:rsidTr="00000021">
        <w:tc>
          <w:tcPr>
            <w:tcW w:w="1969" w:type="dxa"/>
            <w:shd w:val="clear" w:color="auto" w:fill="auto"/>
          </w:tcPr>
          <w:p w14:paraId="505B086E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  <w:lang w:val="en-US"/>
              </w:rPr>
              <w:t xml:space="preserve">&gt;25-50 </w:t>
            </w:r>
          </w:p>
        </w:tc>
        <w:tc>
          <w:tcPr>
            <w:tcW w:w="2279" w:type="dxa"/>
            <w:shd w:val="clear" w:color="auto" w:fill="auto"/>
          </w:tcPr>
          <w:p w14:paraId="4F5F4B10" w14:textId="77777777" w:rsidR="007D717C" w:rsidRPr="00700E54" w:rsidRDefault="007D717C" w:rsidP="0000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00E54">
              <w:rPr>
                <w:szCs w:val="22"/>
              </w:rPr>
              <w:t>2 tablety</w:t>
            </w:r>
          </w:p>
        </w:tc>
      </w:tr>
    </w:tbl>
    <w:p w14:paraId="53DEA27A" w14:textId="77777777" w:rsidR="007D717C" w:rsidRPr="00700E54" w:rsidRDefault="007D717C" w:rsidP="007D717C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br w:type="textWrapping" w:clear="all"/>
      </w:r>
    </w:p>
    <w:p w14:paraId="45153E6A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Pri prevencii dirofilariózy a ak je súčasne požadované ošetrenie proti pásomniciam, môže liek nahradiť monovalentný liek na prevenciu dirofilariózy.</w:t>
      </w:r>
    </w:p>
    <w:p w14:paraId="5B085321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Pri liečbe infekcie </w:t>
      </w:r>
      <w:r w:rsidRPr="00700E54">
        <w:rPr>
          <w:i/>
          <w:iCs/>
          <w:szCs w:val="22"/>
        </w:rPr>
        <w:t>Angiostrongylus vasorum</w:t>
      </w:r>
      <w:r w:rsidRPr="00700E54">
        <w:rPr>
          <w:szCs w:val="22"/>
        </w:rPr>
        <w:t xml:space="preserve"> by mal byť milbemycínoxim podaný štyrikrát s týždennými intervalmi. Odporúča sa v prípadoch, kde je indikovaná súčasná liečba proti pásomniciam, podať jedenkrát liek a ďalej pokračovať v liečbe monovalentným liekom obsahujúcim jedine milbemycínoxim počas zostávajúcich troch aplikáciách, ktoré podávame jedenkrát týždenne.</w:t>
      </w:r>
    </w:p>
    <w:p w14:paraId="696A0508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Podávanie lieku každý štvrtý týždeň v endemických oblastiach bude pôsobiť preventívne na zníženie miery infekcie a záťaže nedospelými štádiami parazitov (L5) a dospelými štádiami parazitov, tam kde je indikovaná súčasná liečba proti pásomniciam.</w:t>
      </w:r>
    </w:p>
    <w:p w14:paraId="23500143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 xml:space="preserve">Pri liečbe spôsobenej </w:t>
      </w:r>
      <w:r w:rsidRPr="00700E54">
        <w:rPr>
          <w:i/>
          <w:iCs/>
          <w:szCs w:val="22"/>
        </w:rPr>
        <w:t>Thelazia callipaeda</w:t>
      </w:r>
      <w:r w:rsidRPr="00700E54">
        <w:rPr>
          <w:szCs w:val="22"/>
        </w:rPr>
        <w:t>, by mal byť podaný milbemicínoxim dvakrát v odstupe siedmych dní. Tam kde je indikovaná súbežná liečba proti pásomniciam, tento liek môže nahradiť monovalentný liek obsahujúci iba milbemycínoxim.</w:t>
      </w:r>
    </w:p>
    <w:p w14:paraId="4F4D3CC2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Poddávkovanie môže viesť k neúčinnému použitiu a môže podporiť rozvoj rezistencie.</w:t>
      </w:r>
    </w:p>
    <w:p w14:paraId="6120BB03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Potreba a frekvencia opakovanej liečby by mala vychádzať z odborného posúdenia a mala by zohľadňovať miestnu epidemiologickú situáciu a životný štýl zvieraťa.</w:t>
      </w:r>
    </w:p>
    <w:p w14:paraId="05446B9A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CE0B928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9.</w:t>
      </w:r>
      <w:r w:rsidRPr="00700E54">
        <w:tab/>
        <w:t>Pokyn o správnom podaní</w:t>
      </w:r>
    </w:p>
    <w:p w14:paraId="442BEE9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5BEEF589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Veterinárny liek sa podáva s krmivom alebo po kŕmení.</w:t>
      </w:r>
    </w:p>
    <w:p w14:paraId="4343F31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D2AD9A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10.</w:t>
      </w:r>
      <w:r w:rsidRPr="00700E54">
        <w:tab/>
        <w:t>Ochranné lehoty</w:t>
      </w:r>
    </w:p>
    <w:p w14:paraId="4D5AAF6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08070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Netýka sa.</w:t>
      </w:r>
    </w:p>
    <w:p w14:paraId="02E96644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04FCAB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11.</w:t>
      </w:r>
      <w:r w:rsidRPr="00700E54">
        <w:tab/>
        <w:t>Osobitné opatrenia na uchovávanie</w:t>
      </w:r>
    </w:p>
    <w:p w14:paraId="0D5E0E48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56A8AF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Uchovávať mimo dohľadu a dosahu detí.</w:t>
      </w:r>
    </w:p>
    <w:p w14:paraId="53923B2F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F71A91C" w14:textId="77777777" w:rsidR="00BB5251" w:rsidRPr="00700E54" w:rsidRDefault="00BB5251" w:rsidP="00BB5251">
      <w:pPr>
        <w:tabs>
          <w:tab w:val="clear" w:pos="567"/>
        </w:tabs>
        <w:spacing w:line="240" w:lineRule="auto"/>
        <w:rPr>
          <w:szCs w:val="22"/>
        </w:rPr>
      </w:pPr>
      <w:bookmarkStart w:id="6" w:name="_Hlk141353371"/>
      <w:r w:rsidRPr="00700E54">
        <w:rPr>
          <w:szCs w:val="22"/>
        </w:rPr>
        <w:t>Nepoužité časti tabliet vrátiť do otvoreného otvoru v blistri, vložiť späť do škatuľky a použiť pri ďalšom podaní alebo bezpečne zlikvidovať (pozri časť „Špeciálne opatrenia na likvidáciu“).</w:t>
      </w:r>
    </w:p>
    <w:p w14:paraId="7C81969C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7BD48A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Chrániť pred svetlom.</w:t>
      </w:r>
      <w:bookmarkEnd w:id="6"/>
    </w:p>
    <w:p w14:paraId="33955AF8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3CFB5B6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Nepoužívať tento veterinárny liek po dátume exspirácie uvedenom na škatuli a blistri po Exp. Dátum exspirácie sa vzťahuje na posledný deň v uvedenom mesiaci.</w:t>
      </w:r>
    </w:p>
    <w:p w14:paraId="527AC3E2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B99ADB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lastRenderedPageBreak/>
        <w:t>Čas použiteľnosti rozpolenej tablety po prvom otvorení blistra: 6 mesiacov.</w:t>
      </w:r>
    </w:p>
    <w:p w14:paraId="589879B6" w14:textId="77777777" w:rsidR="00CC7332" w:rsidRPr="00700E54" w:rsidRDefault="00CC7332" w:rsidP="00CC73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821E8B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12.</w:t>
      </w:r>
      <w:r w:rsidRPr="00700E54">
        <w:tab/>
        <w:t>Špeciálne opatrenia na likvidáciu</w:t>
      </w:r>
    </w:p>
    <w:p w14:paraId="56DABC1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06FD43F" w14:textId="5AC9BD96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Nelikvidujte lieky odpadovou vodou alebo domovým odpadom.</w:t>
      </w:r>
    </w:p>
    <w:p w14:paraId="7D2E2656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E81ACF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Tento veterinárny liek nesmie kontaminovať vodné toky, pretože môže byť nebezpečný pre ryby a iné vodné organizmy.</w:t>
      </w:r>
    </w:p>
    <w:p w14:paraId="7FD4BBE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1F3A17E4" w14:textId="77777777" w:rsidR="00CC7332" w:rsidRPr="00700E54" w:rsidRDefault="00CC7332" w:rsidP="00CC7332">
      <w:pPr>
        <w:rPr>
          <w:szCs w:val="22"/>
        </w:rPr>
      </w:pPr>
      <w:r w:rsidRPr="00700E54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12B3408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1BE2A99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O spôsobe likvidácie liekov, ktoré už nepotrebujete, sa poraďte s veterinárnym lekárom alebo lekárnikom.</w:t>
      </w:r>
    </w:p>
    <w:p w14:paraId="585A5D9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DC553BB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13.</w:t>
      </w:r>
      <w:r w:rsidRPr="00700E54">
        <w:tab/>
        <w:t>Klasifikácia veterinárnych liekov</w:t>
      </w:r>
    </w:p>
    <w:p w14:paraId="3629F9A9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35BA23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Výdaj lieku je viazaný na veterinárny predpis.</w:t>
      </w:r>
    </w:p>
    <w:p w14:paraId="565139FB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52A46DA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14.</w:t>
      </w:r>
      <w:r w:rsidRPr="00700E54">
        <w:tab/>
        <w:t>Registračné čísla a veľkosti balenia</w:t>
      </w:r>
    </w:p>
    <w:p w14:paraId="41ECC58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87B062D" w14:textId="7DD70F6C" w:rsidR="00BB5251" w:rsidRPr="00700E54" w:rsidRDefault="004949B7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96/017/DC/24-S</w:t>
      </w:r>
    </w:p>
    <w:p w14:paraId="72A8A84A" w14:textId="77777777" w:rsidR="00BB5251" w:rsidRPr="00700E54" w:rsidRDefault="00BB5251" w:rsidP="00CC7332">
      <w:pPr>
        <w:tabs>
          <w:tab w:val="clear" w:pos="567"/>
        </w:tabs>
        <w:spacing w:line="240" w:lineRule="auto"/>
        <w:rPr>
          <w:szCs w:val="22"/>
        </w:rPr>
      </w:pPr>
    </w:p>
    <w:p w14:paraId="3363A07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1 blister po 2 tablety (2 tablety).</w:t>
      </w:r>
    </w:p>
    <w:p w14:paraId="100EF050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2 blistre po 2 tablety (4 tablety).</w:t>
      </w:r>
    </w:p>
    <w:p w14:paraId="2825D7B3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5 blistrov po 2 tablety (10 tabliet).</w:t>
      </w:r>
    </w:p>
    <w:p w14:paraId="4ED0AF1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12 blistrov po 2 tablety (24 tabliet).</w:t>
      </w:r>
    </w:p>
    <w:p w14:paraId="36D8EC21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24 blistrov po 2 tablety (48 tabliet).</w:t>
      </w:r>
    </w:p>
    <w:p w14:paraId="3AE7765F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Škatuľka obsahujúca 50 blistrov po 2 tablety (100 tabliet).</w:t>
      </w:r>
    </w:p>
    <w:p w14:paraId="5CB4DFD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1FB55CE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Na trh nemusia byť uvedené všetky veľkosti balenia.</w:t>
      </w:r>
    </w:p>
    <w:p w14:paraId="1B1C79C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E797F12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15.</w:t>
      </w:r>
      <w:r w:rsidRPr="00700E54">
        <w:tab/>
        <w:t>Dátum poslednej revízie písomnej informácie pre používateľov</w:t>
      </w:r>
    </w:p>
    <w:p w14:paraId="060CA7F7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0C68E9DD" w14:textId="1D125F49" w:rsidR="00CC7332" w:rsidRPr="00700E54" w:rsidRDefault="006C59D0" w:rsidP="00CC733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4B4D04B6" w14:textId="77777777" w:rsidR="00BB5251" w:rsidRPr="00700E54" w:rsidRDefault="00BB5251" w:rsidP="00CC7332">
      <w:pPr>
        <w:tabs>
          <w:tab w:val="clear" w:pos="567"/>
        </w:tabs>
        <w:spacing w:line="240" w:lineRule="auto"/>
        <w:rPr>
          <w:szCs w:val="22"/>
        </w:rPr>
      </w:pPr>
    </w:p>
    <w:p w14:paraId="2FE06C6C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  <w:r w:rsidRPr="00700E54">
        <w:rPr>
          <w:szCs w:val="22"/>
        </w:rPr>
        <w:t>Podrobné informácie o veterinárnom lieku sú dostupné v databáze liekov Únie</w:t>
      </w:r>
    </w:p>
    <w:p w14:paraId="4FAC3A5C" w14:textId="77777777" w:rsidR="00CC7332" w:rsidRPr="00700E54" w:rsidRDefault="00CC7332" w:rsidP="00CC7332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00E54">
        <w:rPr>
          <w:szCs w:val="22"/>
        </w:rPr>
        <w:t>(</w:t>
      </w:r>
      <w:hyperlink r:id="rId13" w:history="1">
        <w:r w:rsidRPr="00700E54">
          <w:rPr>
            <w:rStyle w:val="Hypertextovprepojenie"/>
            <w:szCs w:val="22"/>
          </w:rPr>
          <w:t>https://medicines.health.europa.eu/veterinary</w:t>
        </w:r>
      </w:hyperlink>
      <w:r w:rsidRPr="00700E54">
        <w:rPr>
          <w:szCs w:val="22"/>
        </w:rPr>
        <w:t>).</w:t>
      </w:r>
    </w:p>
    <w:p w14:paraId="61EDA96D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5899FF9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16.</w:t>
      </w:r>
      <w:r w:rsidRPr="00700E54">
        <w:tab/>
        <w:t>Kontaktné údaje</w:t>
      </w:r>
    </w:p>
    <w:p w14:paraId="3BCB0A72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775C7BF8" w14:textId="77777777" w:rsidR="00CC7332" w:rsidRPr="00700E54" w:rsidRDefault="00CC7332" w:rsidP="00CC7332">
      <w:pPr>
        <w:rPr>
          <w:szCs w:val="22"/>
        </w:rPr>
      </w:pPr>
      <w:bookmarkStart w:id="7" w:name="_Hlk73552578"/>
      <w:r w:rsidRPr="00700E54">
        <w:rPr>
          <w:iCs/>
          <w:szCs w:val="22"/>
          <w:u w:val="single"/>
        </w:rPr>
        <w:t>Držiteľ rozhodnutia o registrácii a kontaktné údaje na hlásenie podozrenia na nežiaduce účinky</w:t>
      </w:r>
      <w:r w:rsidRPr="00700E54">
        <w:rPr>
          <w:szCs w:val="22"/>
        </w:rPr>
        <w:t>:</w:t>
      </w:r>
    </w:p>
    <w:p w14:paraId="320CE104" w14:textId="77777777" w:rsidR="00CC7332" w:rsidRPr="00700E54" w:rsidRDefault="00CC7332" w:rsidP="00CC7332">
      <w:pPr>
        <w:rPr>
          <w:iCs/>
          <w:szCs w:val="22"/>
        </w:rPr>
      </w:pPr>
      <w:r w:rsidRPr="00700E54">
        <w:rPr>
          <w:szCs w:val="22"/>
        </w:rPr>
        <w:t>CEVA ANIMAL HEALTH SLOVAKIA, s.r.o., Prievozská 5434/6A, 821 09 Bratislava - mestská časť Ružinov, Slovenská republika</w:t>
      </w:r>
    </w:p>
    <w:bookmarkEnd w:id="7"/>
    <w:p w14:paraId="33211CF6" w14:textId="77777777" w:rsidR="00CC7332" w:rsidRPr="00700E54" w:rsidRDefault="00CC7332" w:rsidP="00CC7332">
      <w:pPr>
        <w:rPr>
          <w:szCs w:val="22"/>
        </w:rPr>
      </w:pPr>
      <w:r w:rsidRPr="00700E54">
        <w:rPr>
          <w:szCs w:val="22"/>
        </w:rPr>
        <w:t>Email: pharmacovigilance@ceva.com</w:t>
      </w:r>
    </w:p>
    <w:p w14:paraId="1860E049" w14:textId="77777777" w:rsidR="00CC7332" w:rsidRPr="00700E54" w:rsidRDefault="00CC7332" w:rsidP="00CC7332">
      <w:pPr>
        <w:rPr>
          <w:szCs w:val="22"/>
        </w:rPr>
      </w:pPr>
      <w:r w:rsidRPr="00700E54">
        <w:rPr>
          <w:szCs w:val="22"/>
        </w:rPr>
        <w:t>Tel: +800 35 22 11 51 </w:t>
      </w:r>
    </w:p>
    <w:p w14:paraId="57891EF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4275F0C0" w14:textId="77777777" w:rsidR="00CC7332" w:rsidRPr="00700E54" w:rsidRDefault="00CC7332" w:rsidP="00CC7332">
      <w:pPr>
        <w:rPr>
          <w:bCs/>
          <w:szCs w:val="22"/>
        </w:rPr>
      </w:pPr>
      <w:r w:rsidRPr="00700E54">
        <w:rPr>
          <w:bCs/>
          <w:szCs w:val="22"/>
          <w:u w:val="single"/>
        </w:rPr>
        <w:t>Výrobca zodpovedný za uvoľnenie šarže</w:t>
      </w:r>
      <w:r w:rsidRPr="00700E54">
        <w:rPr>
          <w:szCs w:val="22"/>
        </w:rPr>
        <w:t>:</w:t>
      </w:r>
    </w:p>
    <w:p w14:paraId="63F07981" w14:textId="77777777" w:rsidR="00BB5251" w:rsidRPr="00700E54" w:rsidRDefault="00BB5251" w:rsidP="00BB5251">
      <w:pPr>
        <w:rPr>
          <w:bCs/>
          <w:szCs w:val="22"/>
          <w:lang w:val="fr-FR"/>
        </w:rPr>
      </w:pPr>
      <w:r w:rsidRPr="00700E54">
        <w:rPr>
          <w:bCs/>
          <w:szCs w:val="22"/>
          <w:lang w:val="fr-FR"/>
        </w:rPr>
        <w:t>Ceva Santé Animale, Boulevard de la Communication, Zone Autoroutière, 53950 Louverné, Francúzsko</w:t>
      </w:r>
    </w:p>
    <w:p w14:paraId="41A1DBBA" w14:textId="77777777" w:rsidR="00CC7332" w:rsidRPr="00700E54" w:rsidRDefault="00CC7332" w:rsidP="00CC7332">
      <w:pPr>
        <w:rPr>
          <w:bCs/>
          <w:szCs w:val="22"/>
        </w:rPr>
      </w:pPr>
    </w:p>
    <w:p w14:paraId="79775093" w14:textId="77777777" w:rsidR="00CC7332" w:rsidRPr="00700E54" w:rsidRDefault="00CC7332" w:rsidP="00CC7332">
      <w:pPr>
        <w:pStyle w:val="Style1"/>
      </w:pPr>
      <w:r w:rsidRPr="00700E54">
        <w:rPr>
          <w:highlight w:val="lightGray"/>
        </w:rPr>
        <w:t>17.</w:t>
      </w:r>
      <w:r w:rsidRPr="00700E54">
        <w:tab/>
        <w:t>Ďalšie informácie</w:t>
      </w:r>
    </w:p>
    <w:p w14:paraId="715B07B8" w14:textId="77777777" w:rsidR="00CC7332" w:rsidRPr="00700E54" w:rsidRDefault="00CC7332" w:rsidP="00CC7332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700E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700E54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4FACE" w14:textId="77777777" w:rsidR="00121F13" w:rsidRDefault="00121F13">
      <w:pPr>
        <w:spacing w:line="240" w:lineRule="auto"/>
      </w:pPr>
      <w:r>
        <w:separator/>
      </w:r>
    </w:p>
  </w:endnote>
  <w:endnote w:type="continuationSeparator" w:id="0">
    <w:p w14:paraId="7DF62E1D" w14:textId="77777777" w:rsidR="00121F13" w:rsidRDefault="00121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E1181B" w:rsidRPr="001E1F22" w:rsidRDefault="00E1181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E2416E">
      <w:rPr>
        <w:rFonts w:ascii="Times New Roman" w:hAnsi="Times New Roman"/>
        <w:noProof/>
      </w:rPr>
      <w:t>14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E1181B" w:rsidRPr="001E1F22" w:rsidRDefault="00E1181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44BDB" w14:textId="77777777" w:rsidR="00121F13" w:rsidRDefault="00121F13">
      <w:pPr>
        <w:spacing w:line="240" w:lineRule="auto"/>
      </w:pPr>
      <w:r>
        <w:separator/>
      </w:r>
    </w:p>
  </w:footnote>
  <w:footnote w:type="continuationSeparator" w:id="0">
    <w:p w14:paraId="5E3A76F6" w14:textId="77777777" w:rsidR="00121F13" w:rsidRDefault="00121F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4F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873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A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08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E8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40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40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26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64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D4206D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98A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C1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42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8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83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4E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E4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EC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92C6F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7C01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70EA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BC76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8488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0806D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89849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6D24F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32F1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2B0EA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0625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A4DC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E0F6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70DD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2E06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F26A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5E93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5632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9B4C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83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B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8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3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A9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A8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48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C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2B64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2AB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8B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8E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A7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03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AE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67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BAF28C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425F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E64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7006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0032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3A71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F69D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6689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9051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5CE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3781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89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E5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A0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D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0A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AD0B57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1C3A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C4CB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EF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D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6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01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AE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C97C46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F45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B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22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F08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8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EF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C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B3EC02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9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F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2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0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9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2A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3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0E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27E1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269C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7C32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F26E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763E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C8401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7AC6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FA21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A289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9A3EB6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1E4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4C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F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CB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85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C8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8EC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4BBAB2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CECF2" w:tentative="1">
      <w:start w:val="1"/>
      <w:numFmt w:val="lowerLetter"/>
      <w:lvlText w:val="%2."/>
      <w:lvlJc w:val="left"/>
      <w:pPr>
        <w:ind w:left="1440" w:hanging="360"/>
      </w:pPr>
    </w:lvl>
    <w:lvl w:ilvl="2" w:tplc="C86A406C" w:tentative="1">
      <w:start w:val="1"/>
      <w:numFmt w:val="lowerRoman"/>
      <w:lvlText w:val="%3."/>
      <w:lvlJc w:val="right"/>
      <w:pPr>
        <w:ind w:left="2160" w:hanging="180"/>
      </w:pPr>
    </w:lvl>
    <w:lvl w:ilvl="3" w:tplc="ED36C3BC" w:tentative="1">
      <w:start w:val="1"/>
      <w:numFmt w:val="decimal"/>
      <w:lvlText w:val="%4."/>
      <w:lvlJc w:val="left"/>
      <w:pPr>
        <w:ind w:left="2880" w:hanging="360"/>
      </w:pPr>
    </w:lvl>
    <w:lvl w:ilvl="4" w:tplc="AB94FD2C" w:tentative="1">
      <w:start w:val="1"/>
      <w:numFmt w:val="lowerLetter"/>
      <w:lvlText w:val="%5."/>
      <w:lvlJc w:val="left"/>
      <w:pPr>
        <w:ind w:left="3600" w:hanging="360"/>
      </w:pPr>
    </w:lvl>
    <w:lvl w:ilvl="5" w:tplc="1260479C" w:tentative="1">
      <w:start w:val="1"/>
      <w:numFmt w:val="lowerRoman"/>
      <w:lvlText w:val="%6."/>
      <w:lvlJc w:val="right"/>
      <w:pPr>
        <w:ind w:left="4320" w:hanging="180"/>
      </w:pPr>
    </w:lvl>
    <w:lvl w:ilvl="6" w:tplc="B112B336" w:tentative="1">
      <w:start w:val="1"/>
      <w:numFmt w:val="decimal"/>
      <w:lvlText w:val="%7."/>
      <w:lvlJc w:val="left"/>
      <w:pPr>
        <w:ind w:left="5040" w:hanging="360"/>
      </w:pPr>
    </w:lvl>
    <w:lvl w:ilvl="7" w:tplc="CC6E5418" w:tentative="1">
      <w:start w:val="1"/>
      <w:numFmt w:val="lowerLetter"/>
      <w:lvlText w:val="%8."/>
      <w:lvlJc w:val="left"/>
      <w:pPr>
        <w:ind w:left="5760" w:hanging="360"/>
      </w:pPr>
    </w:lvl>
    <w:lvl w:ilvl="8" w:tplc="7CBE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4307D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166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C5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9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A5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05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2F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2D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CAB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FCE6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8A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63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0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A3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E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44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27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7930C35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67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A9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C5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A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0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D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EA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7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165AD810">
      <w:start w:val="1"/>
      <w:numFmt w:val="decimal"/>
      <w:lvlText w:val="%1."/>
      <w:lvlJc w:val="left"/>
      <w:pPr>
        <w:ind w:left="720" w:hanging="360"/>
      </w:pPr>
    </w:lvl>
    <w:lvl w:ilvl="1" w:tplc="5782A1D8" w:tentative="1">
      <w:start w:val="1"/>
      <w:numFmt w:val="lowerLetter"/>
      <w:lvlText w:val="%2."/>
      <w:lvlJc w:val="left"/>
      <w:pPr>
        <w:ind w:left="1440" w:hanging="360"/>
      </w:pPr>
    </w:lvl>
    <w:lvl w:ilvl="2" w:tplc="7B46AE7E" w:tentative="1">
      <w:start w:val="1"/>
      <w:numFmt w:val="lowerRoman"/>
      <w:lvlText w:val="%3."/>
      <w:lvlJc w:val="right"/>
      <w:pPr>
        <w:ind w:left="2160" w:hanging="180"/>
      </w:pPr>
    </w:lvl>
    <w:lvl w:ilvl="3" w:tplc="B28E60E0" w:tentative="1">
      <w:start w:val="1"/>
      <w:numFmt w:val="decimal"/>
      <w:lvlText w:val="%4."/>
      <w:lvlJc w:val="left"/>
      <w:pPr>
        <w:ind w:left="2880" w:hanging="360"/>
      </w:pPr>
    </w:lvl>
    <w:lvl w:ilvl="4" w:tplc="0B306CFC" w:tentative="1">
      <w:start w:val="1"/>
      <w:numFmt w:val="lowerLetter"/>
      <w:lvlText w:val="%5."/>
      <w:lvlJc w:val="left"/>
      <w:pPr>
        <w:ind w:left="3600" w:hanging="360"/>
      </w:pPr>
    </w:lvl>
    <w:lvl w:ilvl="5" w:tplc="92D21DB6" w:tentative="1">
      <w:start w:val="1"/>
      <w:numFmt w:val="lowerRoman"/>
      <w:lvlText w:val="%6."/>
      <w:lvlJc w:val="right"/>
      <w:pPr>
        <w:ind w:left="4320" w:hanging="180"/>
      </w:pPr>
    </w:lvl>
    <w:lvl w:ilvl="6" w:tplc="2AB0183A" w:tentative="1">
      <w:start w:val="1"/>
      <w:numFmt w:val="decimal"/>
      <w:lvlText w:val="%7."/>
      <w:lvlJc w:val="left"/>
      <w:pPr>
        <w:ind w:left="5040" w:hanging="360"/>
      </w:pPr>
    </w:lvl>
    <w:lvl w:ilvl="7" w:tplc="BF6AE3F0" w:tentative="1">
      <w:start w:val="1"/>
      <w:numFmt w:val="lowerLetter"/>
      <w:lvlText w:val="%8."/>
      <w:lvlJc w:val="left"/>
      <w:pPr>
        <w:ind w:left="5760" w:hanging="360"/>
      </w:pPr>
    </w:lvl>
    <w:lvl w:ilvl="8" w:tplc="EDCC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655267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B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45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80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EC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05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8A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6B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F80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wMzMwN7AwNjQ0NDNX0lEKTi0uzszPAykwrAUAkdGwwy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4FF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11D3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1F13"/>
    <w:rsid w:val="001225DA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3411"/>
    <w:rsid w:val="00164543"/>
    <w:rsid w:val="001674D3"/>
    <w:rsid w:val="00175264"/>
    <w:rsid w:val="00175E8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4BF4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D7640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0BB5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308E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495D"/>
    <w:rsid w:val="004949B7"/>
    <w:rsid w:val="00495A75"/>
    <w:rsid w:val="00495CAE"/>
    <w:rsid w:val="00497B6B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5916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016C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370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582"/>
    <w:rsid w:val="005F1C1F"/>
    <w:rsid w:val="005F346D"/>
    <w:rsid w:val="005F38FB"/>
    <w:rsid w:val="00602D3B"/>
    <w:rsid w:val="0060326F"/>
    <w:rsid w:val="00605EBB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951D1"/>
    <w:rsid w:val="006A0D03"/>
    <w:rsid w:val="006A41BB"/>
    <w:rsid w:val="006A41E9"/>
    <w:rsid w:val="006B12CB"/>
    <w:rsid w:val="006B2030"/>
    <w:rsid w:val="006B5916"/>
    <w:rsid w:val="006C4775"/>
    <w:rsid w:val="006C4F4A"/>
    <w:rsid w:val="006C59D0"/>
    <w:rsid w:val="006C5E80"/>
    <w:rsid w:val="006C7CEE"/>
    <w:rsid w:val="006D075E"/>
    <w:rsid w:val="006D09DC"/>
    <w:rsid w:val="006D3509"/>
    <w:rsid w:val="006D7C6E"/>
    <w:rsid w:val="006E15A2"/>
    <w:rsid w:val="006E2F95"/>
    <w:rsid w:val="006E4E27"/>
    <w:rsid w:val="006E6167"/>
    <w:rsid w:val="006F148B"/>
    <w:rsid w:val="006F7F98"/>
    <w:rsid w:val="00700E54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9747C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17C"/>
    <w:rsid w:val="007D73FB"/>
    <w:rsid w:val="007E2F2D"/>
    <w:rsid w:val="007F1433"/>
    <w:rsid w:val="007F1491"/>
    <w:rsid w:val="007F2F03"/>
    <w:rsid w:val="007F4A0F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0A3"/>
    <w:rsid w:val="008C261B"/>
    <w:rsid w:val="008C4FCA"/>
    <w:rsid w:val="008C7882"/>
    <w:rsid w:val="008D2261"/>
    <w:rsid w:val="008D2DCF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626A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831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1C09"/>
    <w:rsid w:val="00A22DE7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20E5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7D0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642"/>
    <w:rsid w:val="00B819C6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251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46D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196"/>
    <w:rsid w:val="00C40928"/>
    <w:rsid w:val="00C40CFF"/>
    <w:rsid w:val="00C42697"/>
    <w:rsid w:val="00C43F01"/>
    <w:rsid w:val="00C47552"/>
    <w:rsid w:val="00C55A47"/>
    <w:rsid w:val="00C57A81"/>
    <w:rsid w:val="00C60193"/>
    <w:rsid w:val="00C61276"/>
    <w:rsid w:val="00C62F59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0521"/>
    <w:rsid w:val="00CC1E65"/>
    <w:rsid w:val="00CC4A78"/>
    <w:rsid w:val="00CC567A"/>
    <w:rsid w:val="00CC7332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6C3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D7B47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181B"/>
    <w:rsid w:val="00E125AD"/>
    <w:rsid w:val="00E14C47"/>
    <w:rsid w:val="00E17C7C"/>
    <w:rsid w:val="00E21B4D"/>
    <w:rsid w:val="00E22698"/>
    <w:rsid w:val="00E2416E"/>
    <w:rsid w:val="00E25B7C"/>
    <w:rsid w:val="00E26D4F"/>
    <w:rsid w:val="00E3076B"/>
    <w:rsid w:val="00E33224"/>
    <w:rsid w:val="00E3725B"/>
    <w:rsid w:val="00E434D1"/>
    <w:rsid w:val="00E47BA6"/>
    <w:rsid w:val="00E5057A"/>
    <w:rsid w:val="00E547FF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0663"/>
    <w:rsid w:val="00E82496"/>
    <w:rsid w:val="00E834CD"/>
    <w:rsid w:val="00E846DC"/>
    <w:rsid w:val="00E84E9D"/>
    <w:rsid w:val="00E86547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D6925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427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428"/>
    <w:rsid w:val="00FA6711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E30EC"/>
    <w:rsid w:val="00FE3433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5C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3747</Words>
  <Characters>24629</Characters>
  <Application>Microsoft Office Word</Application>
  <DocSecurity>0</DocSecurity>
  <Lines>205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28320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20</cp:revision>
  <cp:lastPrinted>2024-06-03T05:28:00Z</cp:lastPrinted>
  <dcterms:created xsi:type="dcterms:W3CDTF">2023-07-26T17:45:00Z</dcterms:created>
  <dcterms:modified xsi:type="dcterms:W3CDTF">2024-06-03T05:28:00Z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