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A8" w:rsidRDefault="00625BA8" w:rsidP="00625BA8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625BA8" w:rsidRDefault="00625BA8" w:rsidP="00625BA8"/>
    <w:p w:rsidR="00E2699D" w:rsidRDefault="00E2699D" w:rsidP="00625BA8"/>
    <w:p w:rsidR="00625BA8" w:rsidRDefault="00625BA8" w:rsidP="00625BA8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625BA8" w:rsidRDefault="00625BA8" w:rsidP="00625BA8"/>
    <w:p w:rsidR="00625BA8" w:rsidRDefault="00625BA8" w:rsidP="00625BA8">
      <w:pPr>
        <w:ind w:left="0" w:firstLine="0"/>
      </w:pPr>
      <w:proofErr w:type="spellStart"/>
      <w:r>
        <w:t>Firodyl</w:t>
      </w:r>
      <w:proofErr w:type="spellEnd"/>
      <w:r>
        <w:t xml:space="preserve"> 250 mg </w:t>
      </w:r>
      <w:r w:rsidRPr="00741522">
        <w:t>žuvacie tablety pre psov</w:t>
      </w:r>
    </w:p>
    <w:p w:rsidR="00625BA8" w:rsidRDefault="00625BA8" w:rsidP="00625BA8"/>
    <w:p w:rsidR="00625BA8" w:rsidRDefault="00625BA8" w:rsidP="00625BA8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625BA8" w:rsidRDefault="00625BA8" w:rsidP="00625BA8">
      <w:pPr>
        <w:tabs>
          <w:tab w:val="left" w:pos="3270"/>
        </w:tabs>
      </w:pPr>
      <w:r>
        <w:tab/>
      </w:r>
      <w:r>
        <w:tab/>
      </w:r>
    </w:p>
    <w:p w:rsidR="00625BA8" w:rsidRPr="00741522" w:rsidRDefault="00625BA8" w:rsidP="00E2699D">
      <w:r w:rsidRPr="00741522">
        <w:t xml:space="preserve">Každá tableta obsahuje: </w:t>
      </w:r>
    </w:p>
    <w:p w:rsidR="00625BA8" w:rsidRPr="00E2699D" w:rsidRDefault="00625BA8" w:rsidP="00E2699D">
      <w:pPr>
        <w:rPr>
          <w:b/>
        </w:rPr>
      </w:pPr>
      <w:r>
        <w:rPr>
          <w:b/>
        </w:rPr>
        <w:t>Účinná látka:</w:t>
      </w:r>
    </w:p>
    <w:p w:rsidR="00625BA8" w:rsidRDefault="00625BA8" w:rsidP="00625BA8">
      <w:proofErr w:type="spellStart"/>
      <w:r w:rsidRPr="00741522">
        <w:t>Firocoxib</w:t>
      </w:r>
      <w:proofErr w:type="spellEnd"/>
      <w:r>
        <w:t xml:space="preserve">                                  250 mg</w:t>
      </w:r>
    </w:p>
    <w:p w:rsidR="00625BA8" w:rsidRDefault="00625BA8" w:rsidP="00625BA8"/>
    <w:p w:rsidR="00625BA8" w:rsidRDefault="00625BA8" w:rsidP="00625BA8">
      <w:r>
        <w:t>Úplný zoznam pomocných látok je uvedený v časti 6.1.</w:t>
      </w:r>
    </w:p>
    <w:p w:rsidR="00625BA8" w:rsidRDefault="00625BA8" w:rsidP="00625BA8">
      <w:pPr>
        <w:ind w:left="0" w:firstLine="0"/>
      </w:pPr>
    </w:p>
    <w:p w:rsidR="00625BA8" w:rsidRDefault="00625BA8" w:rsidP="00625BA8">
      <w:pPr>
        <w:rPr>
          <w:b/>
        </w:rPr>
      </w:pPr>
      <w:r>
        <w:rPr>
          <w:b/>
        </w:rPr>
        <w:t>3.</w:t>
      </w:r>
      <w:r>
        <w:rPr>
          <w:b/>
        </w:rPr>
        <w:tab/>
        <w:t>LIEKOVÁ FORMA</w:t>
      </w:r>
    </w:p>
    <w:p w:rsidR="00625BA8" w:rsidRDefault="00625BA8" w:rsidP="00625BA8">
      <w:pPr>
        <w:rPr>
          <w:b/>
        </w:rPr>
      </w:pPr>
    </w:p>
    <w:p w:rsidR="00625BA8" w:rsidRDefault="00625BA8" w:rsidP="00625BA8">
      <w:r>
        <w:t>Žuvacie tablety.</w:t>
      </w:r>
    </w:p>
    <w:p w:rsidR="00625BA8" w:rsidRDefault="00625BA8" w:rsidP="00625BA8">
      <w:r>
        <w:t>Béžové až svetlo hnedé, okrúhle, konvexné tablety s deliacou ryhou.</w:t>
      </w:r>
    </w:p>
    <w:p w:rsidR="00625BA8" w:rsidRDefault="00625BA8" w:rsidP="00625BA8">
      <w:pPr>
        <w:jc w:val="both"/>
        <w:rPr>
          <w:szCs w:val="22"/>
        </w:rPr>
      </w:pPr>
      <w:r>
        <w:rPr>
          <w:szCs w:val="22"/>
        </w:rPr>
        <w:t>Tabletu je možné rozdeliť na štyri rovnaké časti.</w:t>
      </w:r>
    </w:p>
    <w:p w:rsidR="00625BA8" w:rsidRDefault="00625BA8" w:rsidP="00625BA8">
      <w:pPr>
        <w:ind w:left="0" w:firstLine="0"/>
      </w:pPr>
    </w:p>
    <w:p w:rsidR="00625BA8" w:rsidRDefault="00E2699D" w:rsidP="00625BA8">
      <w:r>
        <w:rPr>
          <w:b/>
        </w:rPr>
        <w:t>4.</w:t>
      </w:r>
      <w:r>
        <w:rPr>
          <w:b/>
        </w:rPr>
        <w:tab/>
        <w:t xml:space="preserve">KLINICKÉ </w:t>
      </w:r>
      <w:r w:rsidR="00625BA8">
        <w:rPr>
          <w:b/>
        </w:rPr>
        <w:t>ÚDAJE</w:t>
      </w:r>
    </w:p>
    <w:p w:rsidR="00625BA8" w:rsidRDefault="00625BA8" w:rsidP="00625BA8"/>
    <w:p w:rsidR="00625BA8" w:rsidRDefault="00625BA8" w:rsidP="00625BA8">
      <w:pPr>
        <w:rPr>
          <w:b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:rsidR="00625BA8" w:rsidRDefault="00625BA8" w:rsidP="00625BA8">
      <w:pPr>
        <w:rPr>
          <w:b/>
        </w:rPr>
      </w:pPr>
    </w:p>
    <w:p w:rsidR="00625BA8" w:rsidRPr="00741522" w:rsidRDefault="00625BA8" w:rsidP="00625BA8">
      <w:r w:rsidRPr="00741522">
        <w:t>Psy</w:t>
      </w:r>
      <w:r>
        <w:t>.</w:t>
      </w:r>
    </w:p>
    <w:p w:rsidR="00625BA8" w:rsidRDefault="00625BA8" w:rsidP="00625BA8"/>
    <w:p w:rsidR="00625BA8" w:rsidRDefault="00625BA8" w:rsidP="00625BA8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625BA8" w:rsidRDefault="00625BA8" w:rsidP="00625BA8"/>
    <w:p w:rsidR="00625BA8" w:rsidRDefault="00625BA8" w:rsidP="00625BA8">
      <w:r>
        <w:t xml:space="preserve">Na zmiernenie bolesti a zápalu spojeného s </w:t>
      </w:r>
      <w:proofErr w:type="spellStart"/>
      <w:r>
        <w:t>osteoartritídou</w:t>
      </w:r>
      <w:proofErr w:type="spellEnd"/>
      <w:r>
        <w:t xml:space="preserve"> u psov.</w:t>
      </w:r>
    </w:p>
    <w:p w:rsidR="00625BA8" w:rsidRDefault="00625BA8" w:rsidP="00625BA8">
      <w:pPr>
        <w:ind w:left="0" w:firstLine="0"/>
      </w:pPr>
      <w:r>
        <w:t>Na zmiernenie bolesti pooperačných stavov a zápalu spojeného s operáciou mäkkých tkanív, ortopedickými operáciami a dentálnymi chirurgickými zákrokmi u psov.</w:t>
      </w:r>
    </w:p>
    <w:p w:rsidR="00625BA8" w:rsidRDefault="00625BA8" w:rsidP="00625BA8"/>
    <w:p w:rsidR="00625BA8" w:rsidRDefault="00625BA8" w:rsidP="00625BA8">
      <w:r>
        <w:rPr>
          <w:b/>
        </w:rPr>
        <w:t>4.3</w:t>
      </w:r>
      <w:r>
        <w:rPr>
          <w:b/>
        </w:rPr>
        <w:tab/>
        <w:t>Kontraindikácie</w:t>
      </w:r>
    </w:p>
    <w:p w:rsidR="00625BA8" w:rsidRDefault="00625BA8" w:rsidP="00625BA8"/>
    <w:p w:rsidR="00625BA8" w:rsidRDefault="00625BA8" w:rsidP="00625BA8">
      <w:pPr>
        <w:ind w:left="0" w:firstLine="0"/>
      </w:pPr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625BA8" w:rsidRDefault="00625BA8" w:rsidP="00625BA8">
      <w:pPr>
        <w:ind w:left="0" w:firstLine="0"/>
      </w:pPr>
      <w:r>
        <w:t>Nepoužívať u zvierat mladších ako 10 týždňov a so živou hmotnosťou menej ako 3 kg.</w:t>
      </w:r>
    </w:p>
    <w:p w:rsidR="00625BA8" w:rsidRDefault="00625BA8" w:rsidP="00625BA8">
      <w:pPr>
        <w:ind w:left="0" w:firstLine="0"/>
      </w:pPr>
      <w:r>
        <w:t xml:space="preserve">Nepoužívať u zvierat trpiacich </w:t>
      </w:r>
      <w:proofErr w:type="spellStart"/>
      <w:r>
        <w:t>gastrointestinálnym</w:t>
      </w:r>
      <w:proofErr w:type="spellEnd"/>
      <w:r>
        <w:t xml:space="preserve"> krvácaním, krvnou </w:t>
      </w:r>
      <w:proofErr w:type="spellStart"/>
      <w:r>
        <w:t>dyskráziou</w:t>
      </w:r>
      <w:proofErr w:type="spellEnd"/>
    </w:p>
    <w:p w:rsidR="00625BA8" w:rsidRDefault="00625BA8" w:rsidP="00625BA8">
      <w:pPr>
        <w:ind w:left="0" w:firstLine="0"/>
      </w:pPr>
      <w:r>
        <w:t xml:space="preserve">alebo </w:t>
      </w:r>
      <w:proofErr w:type="spellStart"/>
      <w:r>
        <w:t>hemoragickými</w:t>
      </w:r>
      <w:proofErr w:type="spellEnd"/>
      <w:r>
        <w:t xml:space="preserve"> ochoreniami.</w:t>
      </w:r>
    </w:p>
    <w:p w:rsidR="00625BA8" w:rsidRDefault="00625BA8" w:rsidP="00625BA8">
      <w:pPr>
        <w:ind w:left="0" w:firstLine="0"/>
      </w:pPr>
      <w:r>
        <w:t xml:space="preserve">Nepoužívať súčasne s </w:t>
      </w:r>
      <w:proofErr w:type="spellStart"/>
      <w:r>
        <w:t>kortikosteroidmi</w:t>
      </w:r>
      <w:proofErr w:type="spellEnd"/>
      <w:r>
        <w:t xml:space="preserve"> a inými </w:t>
      </w:r>
      <w:proofErr w:type="spellStart"/>
      <w:r>
        <w:t>NSAIDs</w:t>
      </w:r>
      <w:proofErr w:type="spellEnd"/>
      <w:r>
        <w:t>.</w:t>
      </w:r>
    </w:p>
    <w:p w:rsidR="00625BA8" w:rsidRDefault="00625BA8" w:rsidP="00625BA8">
      <w:pPr>
        <w:ind w:left="0" w:firstLine="0"/>
      </w:pPr>
      <w:r>
        <w:t>Nepoužívať v prípadoch známej precitlivenosti na účinnú látku, alebo na niektorú z pomocných látok.</w:t>
      </w:r>
    </w:p>
    <w:p w:rsidR="00625BA8" w:rsidRDefault="00625BA8" w:rsidP="00625BA8"/>
    <w:p w:rsidR="00625BA8" w:rsidRDefault="00625BA8" w:rsidP="00625BA8"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E2699D" w:rsidRDefault="00E2699D" w:rsidP="00625BA8">
      <w:pPr>
        <w:ind w:left="0" w:firstLine="0"/>
      </w:pPr>
    </w:p>
    <w:p w:rsidR="00625BA8" w:rsidRDefault="00625BA8" w:rsidP="00625BA8">
      <w:pPr>
        <w:ind w:left="0" w:firstLine="0"/>
      </w:pPr>
      <w:r>
        <w:t>Nie sú.</w:t>
      </w:r>
    </w:p>
    <w:p w:rsidR="00E2699D" w:rsidRDefault="00E2699D" w:rsidP="00625BA8">
      <w:pPr>
        <w:ind w:left="0" w:firstLine="0"/>
      </w:pPr>
    </w:p>
    <w:p w:rsidR="00625BA8" w:rsidRDefault="00625BA8" w:rsidP="00625BA8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625BA8" w:rsidRPr="00C44D51" w:rsidRDefault="00625BA8" w:rsidP="00625BA8"/>
    <w:p w:rsidR="00625BA8" w:rsidRPr="00625BA8" w:rsidRDefault="00625BA8" w:rsidP="00625BA8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625BA8" w:rsidRDefault="00625BA8" w:rsidP="00625BA8">
      <w:r>
        <w:t>Nakoľko</w:t>
      </w:r>
      <w:r w:rsidRPr="00E30CD0">
        <w:t xml:space="preserve"> sú tablety ochutené, mali by s</w:t>
      </w:r>
      <w:r>
        <w:t xml:space="preserve">a uchovávať na bezpečnom mieste, </w:t>
      </w:r>
      <w:r w:rsidRPr="00E30CD0">
        <w:t>mimo dosahu zvierat</w:t>
      </w:r>
      <w:r>
        <w:t>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Odporúčané dávkovanie, tak ako je uvedené v tabuľke, by sa nemalo prekročiť.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Použitie u veľmi mladých zvierat alebo u zvierat s podozrivým alebo potvrdeným zhoršením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obličkovej, srdcovej alebo pečeňovej funkcie môže zapríčiniť ďalšie riziko. Ak sa nedá takémuto </w:t>
      </w:r>
    </w:p>
    <w:p w:rsidR="00625BA8" w:rsidRPr="000331C1" w:rsidRDefault="00625BA8" w:rsidP="00625BA8">
      <w:pPr>
        <w:jc w:val="both"/>
        <w:rPr>
          <w:szCs w:val="22"/>
        </w:rPr>
      </w:pPr>
      <w:r>
        <w:rPr>
          <w:szCs w:val="22"/>
        </w:rPr>
        <w:t>použitiu vyhnúť, psy vyžadujú dôsledné veterinárne sledovanie.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Nepoužívať u dehydratovaných, </w:t>
      </w:r>
      <w:proofErr w:type="spellStart"/>
      <w:r>
        <w:rPr>
          <w:sz w:val="22"/>
          <w:szCs w:val="22"/>
        </w:rPr>
        <w:t>hypovolemických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hypotenzných</w:t>
      </w:r>
      <w:proofErr w:type="spellEnd"/>
      <w:r>
        <w:rPr>
          <w:sz w:val="22"/>
          <w:szCs w:val="22"/>
        </w:rPr>
        <w:t xml:space="preserve"> zvierat pre potenciálne riziko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zvýšenej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Malo by sa zabrániť 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liekov.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existuje riziko </w:t>
      </w:r>
      <w:proofErr w:type="spellStart"/>
      <w:r>
        <w:rPr>
          <w:sz w:val="22"/>
          <w:szCs w:val="22"/>
        </w:rPr>
        <w:t>gastrointestinálneho</w:t>
      </w:r>
      <w:proofErr w:type="spellEnd"/>
      <w:r>
        <w:rPr>
          <w:sz w:val="22"/>
          <w:szCs w:val="22"/>
        </w:rPr>
        <w:t xml:space="preserve"> krvácania alebo ak zviera predtým vykazovalo intoleranciu na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, používať tento liek pod prísnym veterinárnym dohľadom.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F7F5A">
        <w:rPr>
          <w:sz w:val="22"/>
          <w:szCs w:val="22"/>
        </w:rPr>
        <w:t xml:space="preserve">o veľmi zriedkavých prípadoch </w:t>
      </w:r>
      <w:r>
        <w:rPr>
          <w:sz w:val="22"/>
          <w:szCs w:val="22"/>
        </w:rPr>
        <w:t>boli u</w:t>
      </w:r>
      <w:r w:rsidRPr="006F7F5A">
        <w:rPr>
          <w:sz w:val="22"/>
          <w:szCs w:val="22"/>
        </w:rPr>
        <w:t xml:space="preserve"> psov, ktorým bola podaná </w:t>
      </w:r>
      <w:r>
        <w:rPr>
          <w:sz w:val="22"/>
          <w:szCs w:val="22"/>
        </w:rPr>
        <w:t xml:space="preserve">odporúčaná liečebná dávka, hlásené </w:t>
      </w:r>
      <w:r w:rsidRPr="006F7F5A">
        <w:rPr>
          <w:sz w:val="22"/>
          <w:szCs w:val="22"/>
        </w:rPr>
        <w:t xml:space="preserve">poruchy obličiek a / alebo pečene. Je možné, že časť takýchto prípadov mala pred začatím liečby </w:t>
      </w:r>
      <w:proofErr w:type="spellStart"/>
      <w:r w:rsidRPr="006F7F5A">
        <w:rPr>
          <w:sz w:val="22"/>
          <w:szCs w:val="22"/>
        </w:rPr>
        <w:t>subklinické</w:t>
      </w:r>
      <w:proofErr w:type="spellEnd"/>
      <w:r w:rsidRPr="006F7F5A">
        <w:rPr>
          <w:sz w:val="22"/>
          <w:szCs w:val="22"/>
        </w:rPr>
        <w:t xml:space="preserve"> ochorenie obličiek alebo pečene. Preto sa pred a pravidelne počas podávania odporúča vhodné laboratórne testovanie na stanovenie základných </w:t>
      </w:r>
      <w:r>
        <w:rPr>
          <w:sz w:val="22"/>
          <w:szCs w:val="22"/>
        </w:rPr>
        <w:t xml:space="preserve">biochemických </w:t>
      </w:r>
      <w:r w:rsidRPr="006F7F5A">
        <w:rPr>
          <w:sz w:val="22"/>
          <w:szCs w:val="22"/>
        </w:rPr>
        <w:t>parametrov obličiek alebo pečene.</w:t>
      </w:r>
      <w:r>
        <w:rPr>
          <w:sz w:val="22"/>
          <w:szCs w:val="22"/>
        </w:rPr>
        <w:t xml:space="preserve">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Liečbu je nutné prerušiť, ak sú pozorované akékoľvek z týchto príznakov: opakovaná hnačka, zvracanie, prítomnosť krvi vo výkaloch, náhla strata hmotnosti,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, letargia, zníženie obličkových a pečeňových biochemických parametrov.</w:t>
      </w:r>
    </w:p>
    <w:p w:rsidR="00625BA8" w:rsidRPr="00615C4A" w:rsidRDefault="00625BA8" w:rsidP="00625BA8">
      <w:pPr>
        <w:pStyle w:val="Default"/>
        <w:rPr>
          <w:sz w:val="22"/>
          <w:szCs w:val="22"/>
        </w:rPr>
      </w:pPr>
    </w:p>
    <w:p w:rsidR="00625BA8" w:rsidRPr="00A5648A" w:rsidRDefault="00625BA8" w:rsidP="00625BA8">
      <w:pPr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625BA8" w:rsidRDefault="00625BA8" w:rsidP="00625BA8">
      <w:pPr>
        <w:ind w:left="0" w:firstLine="0"/>
        <w:jc w:val="both"/>
      </w:pPr>
      <w:r>
        <w:t>Tento veterinárny liek</w:t>
      </w:r>
      <w:r w:rsidRPr="006F7F5A">
        <w:t xml:space="preserve"> môže byť</w:t>
      </w:r>
      <w:r w:rsidRPr="00003216">
        <w:t xml:space="preserve"> </w:t>
      </w:r>
      <w:r>
        <w:t>po náhodnom požití</w:t>
      </w:r>
      <w:r w:rsidRPr="006F7F5A">
        <w:t xml:space="preserve"> škodlivý. </w:t>
      </w:r>
      <w:r>
        <w:t xml:space="preserve">Tablety podávať a </w:t>
      </w:r>
      <w:r w:rsidRPr="006F7F5A">
        <w:t>uchovávať mimo dohľadu a dosahu detí</w:t>
      </w:r>
      <w:r>
        <w:t>, aby sa zabránilo prístupu k veterinárnemu lieku</w:t>
      </w:r>
      <w:r w:rsidRPr="006F7F5A">
        <w:t xml:space="preserve">. Polovičné alebo </w:t>
      </w:r>
      <w:r>
        <w:t>rozštvrtené</w:t>
      </w:r>
      <w:r w:rsidRPr="006F7F5A">
        <w:t xml:space="preserve"> tablety </w:t>
      </w:r>
      <w:r>
        <w:t>vrá</w:t>
      </w:r>
      <w:r w:rsidRPr="006F7F5A">
        <w:t>ť</w:t>
      </w:r>
      <w:r>
        <w:t>te</w:t>
      </w:r>
      <w:r w:rsidRPr="006F7F5A">
        <w:t xml:space="preserve"> do </w:t>
      </w:r>
      <w:proofErr w:type="spellStart"/>
      <w:r w:rsidRPr="006F7F5A">
        <w:t>blistr</w:t>
      </w:r>
      <w:r>
        <w:t>u</w:t>
      </w:r>
      <w:proofErr w:type="spellEnd"/>
      <w:r>
        <w:t xml:space="preserve"> a vložte</w:t>
      </w:r>
      <w:r w:rsidRPr="006F7F5A">
        <w:t xml:space="preserve"> do </w:t>
      </w:r>
      <w:r>
        <w:t>papierovej škatuľky</w:t>
      </w:r>
      <w:r w:rsidRPr="006F7F5A">
        <w:t>.</w:t>
      </w:r>
    </w:p>
    <w:p w:rsidR="00625BA8" w:rsidRDefault="00625BA8" w:rsidP="00625BA8">
      <w:pPr>
        <w:ind w:left="0" w:firstLine="0"/>
        <w:jc w:val="both"/>
      </w:pPr>
      <w:r>
        <w:t xml:space="preserve">Laboratórne štúdie na potkanoch a králikoch preukázali, že </w:t>
      </w:r>
      <w:proofErr w:type="spellStart"/>
      <w:r>
        <w:t>firocoxib</w:t>
      </w:r>
      <w:proofErr w:type="spellEnd"/>
      <w:r>
        <w:t xml:space="preserve"> môže ovplyvniť reprodukciu a vyvolať </w:t>
      </w:r>
      <w:proofErr w:type="spellStart"/>
      <w:r>
        <w:t>malformácie</w:t>
      </w:r>
      <w:proofErr w:type="spellEnd"/>
      <w:r>
        <w:t xml:space="preserve"> plodov.</w:t>
      </w:r>
    </w:p>
    <w:p w:rsidR="00625BA8" w:rsidRDefault="00625BA8" w:rsidP="00625BA8">
      <w:pPr>
        <w:ind w:left="0" w:firstLine="0"/>
        <w:jc w:val="both"/>
      </w:pPr>
      <w:r>
        <w:t>Tehotné ženy alebo ženy, ktoré majú v úmysle otehotnieť, by mali podávať liek opatrne.</w:t>
      </w:r>
    </w:p>
    <w:p w:rsidR="00625BA8" w:rsidRDefault="00625BA8" w:rsidP="00625BA8">
      <w:pPr>
        <w:ind w:left="0" w:firstLine="0"/>
        <w:jc w:val="both"/>
      </w:pPr>
      <w:r>
        <w:t>Po použití si umyte ruky.</w:t>
      </w:r>
    </w:p>
    <w:p w:rsidR="00625BA8" w:rsidRDefault="00625BA8" w:rsidP="00625BA8">
      <w:pPr>
        <w:ind w:left="0" w:firstLine="0"/>
        <w:jc w:val="both"/>
      </w:pPr>
      <w:r w:rsidRPr="006F7F5A">
        <w:t xml:space="preserve"> V prípade náhodného požitia jednej alebo viacerých tabliet vyhľadať</w:t>
      </w:r>
      <w:r>
        <w:t xml:space="preserve"> ihneď</w:t>
      </w:r>
      <w:r w:rsidRPr="006F7F5A">
        <w:t xml:space="preserve"> lekársku pomoc a ukázať písomnú informáciu pre používateľov alebo obal lekárovi.</w:t>
      </w:r>
    </w:p>
    <w:p w:rsidR="00625BA8" w:rsidRDefault="00625BA8" w:rsidP="00625BA8">
      <w:pPr>
        <w:ind w:left="0" w:firstLine="0"/>
      </w:pPr>
    </w:p>
    <w:p w:rsidR="00625BA8" w:rsidRDefault="00625BA8" w:rsidP="00625BA8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625BA8" w:rsidRDefault="00625BA8" w:rsidP="00625BA8"/>
    <w:p w:rsidR="00625BA8" w:rsidRPr="00043568" w:rsidRDefault="00625BA8" w:rsidP="00625BA8">
      <w:pPr>
        <w:ind w:left="0" w:firstLine="0"/>
        <w:jc w:val="both"/>
        <w:rPr>
          <w:szCs w:val="22"/>
        </w:rPr>
      </w:pPr>
      <w:r w:rsidRPr="00043568">
        <w:rPr>
          <w:szCs w:val="22"/>
        </w:rPr>
        <w:t>Príležitostne bolo zaznamenané zvracanie a hnačka. Tieto účinky sú v zásade prechodného charakteru</w:t>
      </w:r>
    </w:p>
    <w:p w:rsidR="00625BA8" w:rsidRPr="00043568" w:rsidRDefault="00625BA8" w:rsidP="00625BA8">
      <w:pPr>
        <w:ind w:left="0" w:firstLine="0"/>
        <w:jc w:val="both"/>
        <w:rPr>
          <w:szCs w:val="22"/>
        </w:rPr>
      </w:pPr>
      <w:r w:rsidRPr="00043568">
        <w:rPr>
          <w:szCs w:val="22"/>
        </w:rPr>
        <w:t>a po zastavení liečby sa ukončia.</w:t>
      </w:r>
      <w:r w:rsidRPr="00043568">
        <w:t xml:space="preserve"> </w:t>
      </w:r>
      <w:r w:rsidRPr="00043568">
        <w:rPr>
          <w:szCs w:val="22"/>
        </w:rPr>
        <w:t>U psov, ktorým bola podaná odporúčaná liečebná dávka, boli vo veľmi zriedkavých prípadoch hlásené poruchy obličiek a / alebo pečene. U liečených psov boli zriedkavo hlásené poruchy nervového systému.</w:t>
      </w:r>
    </w:p>
    <w:p w:rsidR="00625BA8" w:rsidRPr="00043568" w:rsidRDefault="00625BA8" w:rsidP="00625BA8">
      <w:pPr>
        <w:ind w:left="0" w:firstLine="0"/>
        <w:jc w:val="both"/>
        <w:rPr>
          <w:szCs w:val="22"/>
        </w:rPr>
      </w:pPr>
      <w:r w:rsidRPr="00043568">
        <w:rPr>
          <w:szCs w:val="22"/>
        </w:rPr>
        <w:t>Ak sa objavia nežiaduce účinky ako zvracanie, opakovaná hnačka, prítomnosť krvi vo výkaloch, náhla</w:t>
      </w:r>
    </w:p>
    <w:p w:rsidR="00625BA8" w:rsidRPr="00043568" w:rsidRDefault="00625BA8" w:rsidP="00625BA8">
      <w:pPr>
        <w:ind w:left="0" w:firstLine="0"/>
        <w:jc w:val="both"/>
        <w:rPr>
          <w:szCs w:val="22"/>
        </w:rPr>
      </w:pPr>
      <w:r w:rsidRPr="00043568">
        <w:rPr>
          <w:szCs w:val="22"/>
        </w:rPr>
        <w:t xml:space="preserve">strata hmotnosti, </w:t>
      </w:r>
      <w:proofErr w:type="spellStart"/>
      <w:r w:rsidRPr="00043568">
        <w:rPr>
          <w:szCs w:val="22"/>
        </w:rPr>
        <w:t>anorexia</w:t>
      </w:r>
      <w:proofErr w:type="spellEnd"/>
      <w:r w:rsidRPr="00043568">
        <w:rPr>
          <w:szCs w:val="22"/>
        </w:rPr>
        <w:t>, letargia, zníženie obličkových a pečeňových biochemických parametrov,</w:t>
      </w:r>
    </w:p>
    <w:p w:rsidR="00625BA8" w:rsidRDefault="00625BA8" w:rsidP="00625BA8">
      <w:pPr>
        <w:ind w:left="0" w:firstLine="0"/>
        <w:jc w:val="both"/>
        <w:rPr>
          <w:szCs w:val="22"/>
        </w:rPr>
      </w:pPr>
      <w:r w:rsidRPr="00043568">
        <w:rPr>
          <w:szCs w:val="22"/>
        </w:rPr>
        <w:t>používanie lieku je potrebné zast</w:t>
      </w:r>
      <w:r>
        <w:rPr>
          <w:szCs w:val="22"/>
        </w:rPr>
        <w:t>aviť a vyhľadať pomoc veterinárneho lekára</w:t>
      </w:r>
      <w:r w:rsidRPr="00043568">
        <w:rPr>
          <w:szCs w:val="22"/>
        </w:rPr>
        <w:t xml:space="preserve">. </w:t>
      </w:r>
      <w:r>
        <w:rPr>
          <w:szCs w:val="22"/>
        </w:rPr>
        <w:t>Tak ako pri iných NSAID sa môžu v</w:t>
      </w:r>
      <w:r w:rsidRPr="00043568">
        <w:rPr>
          <w:szCs w:val="22"/>
        </w:rPr>
        <w:t xml:space="preserve">yskytnúť </w:t>
      </w:r>
      <w:r>
        <w:rPr>
          <w:szCs w:val="22"/>
        </w:rPr>
        <w:t xml:space="preserve">závažné nepriaznivé účinky, ktoré vo </w:t>
      </w:r>
      <w:r w:rsidRPr="00043568">
        <w:rPr>
          <w:szCs w:val="22"/>
        </w:rPr>
        <w:t>veľmi zriedkavých prípadoch môžu byť smrteľné.</w:t>
      </w:r>
    </w:p>
    <w:p w:rsidR="00625BA8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  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  <w:r w:rsidRPr="0080396E">
        <w:rPr>
          <w:szCs w:val="22"/>
        </w:rPr>
        <w:t xml:space="preserve"> </w:t>
      </w:r>
    </w:p>
    <w:p w:rsidR="00625BA8" w:rsidRPr="00C44D51" w:rsidRDefault="00625BA8" w:rsidP="00625BA8"/>
    <w:p w:rsidR="00625BA8" w:rsidRDefault="00E2699D" w:rsidP="00625BA8">
      <w:r>
        <w:rPr>
          <w:b/>
        </w:rPr>
        <w:t>4.7</w:t>
      </w:r>
      <w:r>
        <w:rPr>
          <w:b/>
        </w:rPr>
        <w:tab/>
        <w:t>Použitie počas gravidity,</w:t>
      </w:r>
      <w:r w:rsidR="00625BA8">
        <w:rPr>
          <w:b/>
        </w:rPr>
        <w:t> laktácie, znášky</w:t>
      </w:r>
    </w:p>
    <w:p w:rsidR="00625BA8" w:rsidRPr="00C44D51" w:rsidRDefault="00625BA8" w:rsidP="00625BA8"/>
    <w:p w:rsidR="00625BA8" w:rsidRDefault="00625BA8" w:rsidP="00625BA8"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625BA8" w:rsidRDefault="00625BA8" w:rsidP="00625BA8">
      <w:r>
        <w:t xml:space="preserve">Laboratórne štúdie u králikov preukázali </w:t>
      </w:r>
      <w:proofErr w:type="spellStart"/>
      <w:r>
        <w:t>maternotoxické</w:t>
      </w:r>
      <w:proofErr w:type="spellEnd"/>
      <w:r>
        <w:t xml:space="preserve"> a </w:t>
      </w:r>
      <w:proofErr w:type="spellStart"/>
      <w:r>
        <w:t>fetotoxické</w:t>
      </w:r>
      <w:proofErr w:type="spellEnd"/>
      <w:r>
        <w:t xml:space="preserve"> účinky pri podávaní dávky</w:t>
      </w:r>
    </w:p>
    <w:p w:rsidR="00625BA8" w:rsidRDefault="00625BA8" w:rsidP="00625BA8">
      <w:r>
        <w:t>približne rovnakej, aká je odporúčaná na liečbu psov.</w:t>
      </w:r>
    </w:p>
    <w:p w:rsidR="00625BA8" w:rsidRDefault="00625BA8" w:rsidP="00625BA8">
      <w:pPr>
        <w:ind w:left="0" w:firstLine="0"/>
      </w:pPr>
    </w:p>
    <w:p w:rsidR="00625BA8" w:rsidRDefault="00625BA8" w:rsidP="00625BA8">
      <w:r>
        <w:rPr>
          <w:b/>
        </w:rPr>
        <w:t>4.8</w:t>
      </w:r>
      <w:r>
        <w:rPr>
          <w:b/>
        </w:rPr>
        <w:tab/>
      </w:r>
      <w:r w:rsidRPr="00807EC4">
        <w:rPr>
          <w:b/>
          <w:szCs w:val="22"/>
        </w:rPr>
        <w:t>Liekové interakcie a iné formy vzájomného pôsobenia</w:t>
      </w:r>
    </w:p>
    <w:p w:rsidR="00625BA8" w:rsidRDefault="00625BA8" w:rsidP="00625BA8"/>
    <w:p w:rsidR="00625BA8" w:rsidRDefault="00625BA8" w:rsidP="00625BA8">
      <w:pPr>
        <w:jc w:val="both"/>
      </w:pPr>
      <w:r>
        <w:t>Predchádzajúca liečba inými protizápalovými látkami môže vyústiť do ďalších alebo zvýšených</w:t>
      </w:r>
    </w:p>
    <w:p w:rsidR="00625BA8" w:rsidRDefault="00625BA8" w:rsidP="00625BA8">
      <w:pPr>
        <w:jc w:val="both"/>
      </w:pPr>
      <w:r>
        <w:t>vedľajších účinkov. Z tohto dôvodu má byť zabezpečené obdobie bez podávania takýchto liekov</w:t>
      </w:r>
    </w:p>
    <w:p w:rsidR="00625BA8" w:rsidRDefault="00625BA8" w:rsidP="00625BA8">
      <w:pPr>
        <w:jc w:val="both"/>
      </w:pPr>
      <w:r>
        <w:t xml:space="preserve">najmenej 24 hodín pred zahájením liečby </w:t>
      </w:r>
      <w:proofErr w:type="spellStart"/>
      <w:r>
        <w:t>Firodylom</w:t>
      </w:r>
      <w:proofErr w:type="spellEnd"/>
      <w:r>
        <w:t>. V období bez liečby však treba brať do úvahy</w:t>
      </w:r>
    </w:p>
    <w:p w:rsidR="00625BA8" w:rsidRDefault="00625BA8" w:rsidP="00625BA8">
      <w:pPr>
        <w:jc w:val="both"/>
      </w:pPr>
      <w:proofErr w:type="spellStart"/>
      <w:r>
        <w:t>farmakokinetické</w:t>
      </w:r>
      <w:proofErr w:type="spellEnd"/>
      <w:r>
        <w:t xml:space="preserve"> vlastnosti liekov používaných predtým.</w:t>
      </w:r>
    </w:p>
    <w:p w:rsidR="00625BA8" w:rsidRDefault="00625BA8" w:rsidP="00625BA8">
      <w:pPr>
        <w:ind w:left="0" w:firstLine="0"/>
        <w:jc w:val="both"/>
      </w:pPr>
      <w:r>
        <w:t xml:space="preserve">Tento veterinárny liek nesmie byť podávaný spolu s inými </w:t>
      </w:r>
      <w:proofErr w:type="spellStart"/>
      <w:r>
        <w:t>NSAIDs</w:t>
      </w:r>
      <w:proofErr w:type="spellEnd"/>
      <w:r>
        <w:t xml:space="preserve"> alebo </w:t>
      </w:r>
      <w:proofErr w:type="spellStart"/>
      <w:r>
        <w:t>glukokortikosteroidmi</w:t>
      </w:r>
      <w:proofErr w:type="spellEnd"/>
      <w:r>
        <w:t>.</w:t>
      </w:r>
    </w:p>
    <w:p w:rsidR="00625BA8" w:rsidRDefault="00625BA8" w:rsidP="00625BA8">
      <w:pPr>
        <w:jc w:val="both"/>
      </w:pPr>
      <w:r>
        <w:t xml:space="preserve">U zvierat, ktorým sa podávajú </w:t>
      </w:r>
      <w:proofErr w:type="spellStart"/>
      <w:r>
        <w:t>nesteroidné</w:t>
      </w:r>
      <w:proofErr w:type="spellEnd"/>
      <w:r>
        <w:t xml:space="preserve"> protizápalové lieky, môžu </w:t>
      </w:r>
      <w:proofErr w:type="spellStart"/>
      <w:r>
        <w:t>kortikosteroidy</w:t>
      </w:r>
      <w:proofErr w:type="spellEnd"/>
      <w:r>
        <w:t xml:space="preserve"> spôsobiť</w:t>
      </w:r>
    </w:p>
    <w:p w:rsidR="00625BA8" w:rsidRDefault="00625BA8" w:rsidP="00625BA8">
      <w:pPr>
        <w:jc w:val="both"/>
      </w:pPr>
      <w:r>
        <w:t xml:space="preserve">zhoršenie </w:t>
      </w:r>
      <w:proofErr w:type="spellStart"/>
      <w:r>
        <w:t>gastrointestinálnej</w:t>
      </w:r>
      <w:proofErr w:type="spellEnd"/>
      <w:r>
        <w:t xml:space="preserve"> </w:t>
      </w:r>
      <w:proofErr w:type="spellStart"/>
      <w:r>
        <w:t>ulcerácie</w:t>
      </w:r>
      <w:proofErr w:type="spellEnd"/>
      <w:r>
        <w:t>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Sprievodná liečba molekulami vykazujúcimi účinok na </w:t>
      </w:r>
      <w:proofErr w:type="spellStart"/>
      <w:r>
        <w:rPr>
          <w:sz w:val="22"/>
          <w:szCs w:val="22"/>
        </w:rPr>
        <w:t>renálny</w:t>
      </w:r>
      <w:proofErr w:type="spellEnd"/>
      <w:r>
        <w:rPr>
          <w:sz w:val="22"/>
          <w:szCs w:val="22"/>
        </w:rPr>
        <w:t xml:space="preserve"> tok, napr. diuretiká alebo inhibítory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enzýmovej konverzie (ACE), má byť predmetom klinického sledovania. Je nutné vyhnúť sa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liekov pre zvýšené riziko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Pretože anestetiká môžu ovplyvniť </w:t>
      </w:r>
      <w:proofErr w:type="spellStart"/>
      <w:r>
        <w:rPr>
          <w:sz w:val="22"/>
          <w:szCs w:val="22"/>
        </w:rPr>
        <w:t>renálnu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perfúziu</w:t>
      </w:r>
      <w:proofErr w:type="spellEnd"/>
      <w:r>
        <w:rPr>
          <w:sz w:val="22"/>
          <w:szCs w:val="22"/>
        </w:rPr>
        <w:t xml:space="preserve">, je potrebné zvážiť použitie </w:t>
      </w:r>
      <w:proofErr w:type="spellStart"/>
      <w:r>
        <w:rPr>
          <w:sz w:val="22"/>
          <w:szCs w:val="22"/>
        </w:rPr>
        <w:t>parenterálnej</w:t>
      </w:r>
      <w:proofErr w:type="spellEnd"/>
      <w:r>
        <w:rPr>
          <w:sz w:val="22"/>
          <w:szCs w:val="22"/>
        </w:rPr>
        <w:t xml:space="preserve"> fluidnej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terapie počas chirurgického zákroku z dôvodu zníženia možných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komplikácií počas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perioperatívneho</w:t>
      </w:r>
      <w:proofErr w:type="spellEnd"/>
      <w:r>
        <w:rPr>
          <w:sz w:val="22"/>
          <w:szCs w:val="22"/>
        </w:rPr>
        <w:t xml:space="preserve"> používania </w:t>
      </w: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Súčasné používanie iných účinných látok, ktoré majú vysokú schopnosť väzby na proteíny, môže </w:t>
      </w:r>
    </w:p>
    <w:p w:rsidR="00625BA8" w:rsidRDefault="00625BA8" w:rsidP="00625BA8">
      <w:pPr>
        <w:jc w:val="both"/>
      </w:pPr>
      <w:r>
        <w:rPr>
          <w:szCs w:val="22"/>
        </w:rPr>
        <w:t xml:space="preserve">konkurovať </w:t>
      </w:r>
      <w:proofErr w:type="spellStart"/>
      <w:r>
        <w:rPr>
          <w:szCs w:val="22"/>
        </w:rPr>
        <w:t>firocoxibu</w:t>
      </w:r>
      <w:proofErr w:type="spellEnd"/>
      <w:r>
        <w:rPr>
          <w:szCs w:val="22"/>
        </w:rPr>
        <w:t xml:space="preserve"> pri naviazaní, čo môže viesť k toxickým účinkom.</w:t>
      </w:r>
    </w:p>
    <w:p w:rsidR="00625BA8" w:rsidRDefault="00625BA8" w:rsidP="00625BA8"/>
    <w:p w:rsidR="00625BA8" w:rsidRDefault="00625BA8" w:rsidP="00625BA8">
      <w:pPr>
        <w:rPr>
          <w:b/>
        </w:rPr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625BA8" w:rsidRDefault="00625BA8" w:rsidP="00625BA8"/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Perorálne. </w:t>
      </w:r>
    </w:p>
    <w:p w:rsidR="00625BA8" w:rsidRDefault="00625BA8" w:rsidP="00625BA8">
      <w:pPr>
        <w:pStyle w:val="Default"/>
        <w:rPr>
          <w:sz w:val="22"/>
          <w:szCs w:val="22"/>
        </w:rPr>
      </w:pPr>
    </w:p>
    <w:p w:rsidR="00625BA8" w:rsidRPr="00967C33" w:rsidRDefault="00625BA8" w:rsidP="00625BA8">
      <w:pPr>
        <w:pStyle w:val="Default"/>
        <w:rPr>
          <w:sz w:val="22"/>
          <w:szCs w:val="22"/>
          <w:u w:val="single"/>
        </w:rPr>
      </w:pPr>
      <w:proofErr w:type="spellStart"/>
      <w:r w:rsidRPr="00967C33">
        <w:rPr>
          <w:sz w:val="22"/>
          <w:szCs w:val="22"/>
          <w:u w:val="single"/>
        </w:rPr>
        <w:t>Osteoartritída</w:t>
      </w:r>
      <w:proofErr w:type="spellEnd"/>
      <w:r w:rsidRPr="00967C33">
        <w:rPr>
          <w:sz w:val="22"/>
          <w:szCs w:val="22"/>
          <w:u w:val="single"/>
        </w:rPr>
        <w:t xml:space="preserve">: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Podať 5 mg/kg ž.hm. jedenkrát denne ako je uvedené v tabuľke.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Trvanie liečby bude závisieť na pozorovanom účinku. Nakoľko vykonané pokusy nepresiahli 90 dní,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dlhodobé podávanie musí byť starostlivo uvážené a pod pravidelným veterinárnym dohľadom. </w:t>
      </w:r>
    </w:p>
    <w:p w:rsidR="00625BA8" w:rsidRDefault="00625BA8" w:rsidP="00625BA8">
      <w:pPr>
        <w:pStyle w:val="Default"/>
        <w:rPr>
          <w:sz w:val="22"/>
          <w:szCs w:val="22"/>
          <w:u w:val="single"/>
        </w:rPr>
      </w:pPr>
    </w:p>
    <w:p w:rsidR="00625BA8" w:rsidRPr="00967C33" w:rsidRDefault="00625BA8" w:rsidP="00625BA8">
      <w:pPr>
        <w:pStyle w:val="Default"/>
        <w:rPr>
          <w:sz w:val="22"/>
          <w:szCs w:val="22"/>
          <w:u w:val="single"/>
        </w:rPr>
      </w:pPr>
      <w:r w:rsidRPr="00967C33">
        <w:rPr>
          <w:sz w:val="22"/>
          <w:szCs w:val="22"/>
          <w:u w:val="single"/>
        </w:rPr>
        <w:t xml:space="preserve">Zmiernenie bolesti pooperačných stavov: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Podať 5 mg/kg ž.hm. jedenkrát denne ako je uvedené v tabuľke po dobu 3 dní, ak je to potrebné. Prvá </w:t>
      </w:r>
    </w:p>
    <w:p w:rsidR="00625BA8" w:rsidRDefault="00625BA8" w:rsidP="00625BA8">
      <w:pPr>
        <w:ind w:left="0" w:firstLine="0"/>
        <w:jc w:val="both"/>
        <w:rPr>
          <w:szCs w:val="22"/>
        </w:rPr>
      </w:pPr>
      <w:r>
        <w:rPr>
          <w:szCs w:val="22"/>
        </w:rPr>
        <w:t>dávka by mala byť podaná približne 2 hodiny pred zákrokom.</w:t>
      </w:r>
      <w:r w:rsidRPr="00967C33">
        <w:t xml:space="preserve"> </w:t>
      </w:r>
      <w:r w:rsidRPr="00967C33">
        <w:rPr>
          <w:szCs w:val="22"/>
        </w:rPr>
        <w:t xml:space="preserve">Po ortopedickej chirurgii a v závislosti od pozorovanej odpovede sa v liečbe s použitím rovnakého denného dávkovacieho režimu môže pokračovať po prvých 3 dňoch </w:t>
      </w:r>
      <w:r>
        <w:rPr>
          <w:szCs w:val="22"/>
        </w:rPr>
        <w:t>podľa zváženia</w:t>
      </w:r>
      <w:r w:rsidRPr="00967C33">
        <w:rPr>
          <w:szCs w:val="22"/>
        </w:rPr>
        <w:t xml:space="preserve"> ošetrujúceho veterinárneho lekára.</w:t>
      </w:r>
    </w:p>
    <w:p w:rsidR="00625BA8" w:rsidRDefault="00625BA8" w:rsidP="00625BA8">
      <w:pPr>
        <w:rPr>
          <w:szCs w:val="22"/>
        </w:rPr>
      </w:pPr>
    </w:p>
    <w:tbl>
      <w:tblPr>
        <w:tblW w:w="8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007"/>
        <w:gridCol w:w="2008"/>
        <w:gridCol w:w="2529"/>
      </w:tblGrid>
      <w:tr w:rsidR="00625BA8" w:rsidRPr="0040246C" w:rsidTr="00AA357E">
        <w:trPr>
          <w:jc w:val="center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:rsidR="00625BA8" w:rsidRPr="0043278F" w:rsidRDefault="00625BA8" w:rsidP="00AA357E">
            <w:pPr>
              <w:pStyle w:val="Normal1"/>
              <w:rPr>
                <w:b/>
              </w:rPr>
            </w:pPr>
            <w:proofErr w:type="spellStart"/>
            <w:r w:rsidRPr="0043278F">
              <w:rPr>
                <w:b/>
              </w:rPr>
              <w:t>Živá</w:t>
            </w:r>
            <w:proofErr w:type="spellEnd"/>
            <w:r w:rsidRPr="0043278F">
              <w:rPr>
                <w:b/>
              </w:rPr>
              <w:t xml:space="preserve"> </w:t>
            </w:r>
            <w:proofErr w:type="spellStart"/>
            <w:r w:rsidRPr="0043278F">
              <w:rPr>
                <w:b/>
              </w:rPr>
              <w:t>hmotnost</w:t>
            </w:r>
            <w:proofErr w:type="spellEnd"/>
            <w:r w:rsidRPr="0043278F">
              <w:rPr>
                <w:b/>
              </w:rPr>
              <w:t xml:space="preserve"> (kg)</w:t>
            </w:r>
          </w:p>
        </w:tc>
        <w:tc>
          <w:tcPr>
            <w:tcW w:w="4015" w:type="dxa"/>
            <w:gridSpan w:val="2"/>
            <w:shd w:val="clear" w:color="auto" w:fill="F2F2F2"/>
          </w:tcPr>
          <w:p w:rsidR="00625BA8" w:rsidRPr="0043278F" w:rsidRDefault="00625BA8" w:rsidP="00AA357E">
            <w:pPr>
              <w:pStyle w:val="Normal1"/>
              <w:jc w:val="center"/>
              <w:rPr>
                <w:b/>
              </w:rPr>
            </w:pPr>
            <w:proofErr w:type="spellStart"/>
            <w:r w:rsidRPr="0043278F">
              <w:rPr>
                <w:b/>
              </w:rPr>
              <w:t>Počet</w:t>
            </w:r>
            <w:proofErr w:type="spellEnd"/>
            <w:r w:rsidRPr="0043278F">
              <w:rPr>
                <w:b/>
              </w:rPr>
              <w:t xml:space="preserve"> tablet</w:t>
            </w:r>
          </w:p>
        </w:tc>
        <w:tc>
          <w:tcPr>
            <w:tcW w:w="2529" w:type="dxa"/>
            <w:vMerge w:val="restart"/>
            <w:shd w:val="clear" w:color="auto" w:fill="F2F2F2"/>
          </w:tcPr>
          <w:p w:rsidR="00625BA8" w:rsidRPr="0040246C" w:rsidRDefault="00625BA8" w:rsidP="00AA357E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mg/kg - </w:t>
            </w:r>
            <w:proofErr w:type="spellStart"/>
            <w:r>
              <w:rPr>
                <w:b/>
              </w:rPr>
              <w:t>rozmedzie</w:t>
            </w:r>
            <w:proofErr w:type="spellEnd"/>
          </w:p>
        </w:tc>
      </w:tr>
      <w:tr w:rsidR="00625BA8" w:rsidRPr="001149D3" w:rsidTr="00AA357E">
        <w:trPr>
          <w:jc w:val="center"/>
        </w:trPr>
        <w:tc>
          <w:tcPr>
            <w:tcW w:w="215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5BA8" w:rsidRPr="001149D3" w:rsidRDefault="00625BA8" w:rsidP="00AA357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:rsidR="00625BA8" w:rsidRPr="001149D3" w:rsidRDefault="00625BA8" w:rsidP="00AA357E">
            <w:pPr>
              <w:pStyle w:val="Normal1"/>
            </w:pPr>
            <w:r w:rsidRPr="001149D3">
              <w:t>62</w:t>
            </w:r>
            <w:r>
              <w:t>,</w:t>
            </w:r>
            <w:r w:rsidRPr="001149D3">
              <w:t>5 mg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625BA8" w:rsidRPr="001149D3" w:rsidRDefault="00625BA8" w:rsidP="00AA357E">
            <w:pPr>
              <w:pStyle w:val="Normal1"/>
            </w:pPr>
            <w:r w:rsidRPr="001149D3">
              <w:t>250 mg</w:t>
            </w:r>
          </w:p>
        </w:tc>
        <w:tc>
          <w:tcPr>
            <w:tcW w:w="2529" w:type="dxa"/>
            <w:vMerge/>
            <w:tcBorders>
              <w:bottom w:val="single" w:sz="4" w:space="0" w:color="000000"/>
            </w:tcBorders>
          </w:tcPr>
          <w:p w:rsidR="00625BA8" w:rsidRPr="001149D3" w:rsidRDefault="00625BA8" w:rsidP="00AA357E">
            <w:pPr>
              <w:pStyle w:val="Normal1"/>
              <w:rPr>
                <w:b/>
              </w:rPr>
            </w:pP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1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2 – 6</w:t>
            </w:r>
            <w:r>
              <w:t>,</w:t>
            </w:r>
            <w:r w:rsidRPr="0040246C">
              <w:t>2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5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 xml:space="preserve"> </w:t>
            </w:r>
            <w:r w:rsidRPr="00F70AC3">
              <w:t>0</w:t>
            </w:r>
            <w:r>
              <w:t xml:space="preserve"> – </w:t>
            </w:r>
            <w:r w:rsidRPr="00F70AC3">
              <w:t>9</w:t>
            </w:r>
            <w:r>
              <w:t>,</w:t>
            </w:r>
            <w:r w:rsidRPr="00F70AC3">
              <w:t>8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6</w:t>
            </w:r>
            <w:r>
              <w:t>,</w:t>
            </w:r>
            <w:r w:rsidRPr="0040246C">
              <w:t>3 – 9</w:t>
            </w:r>
            <w:r>
              <w:t>,</w:t>
            </w:r>
            <w:r w:rsidRPr="0040246C">
              <w:t>3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7</w:t>
            </w:r>
            <w:r>
              <w:t>,</w:t>
            </w:r>
            <w:r w:rsidRPr="00F70AC3">
              <w:t>4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9</w:t>
            </w:r>
            <w:r>
              <w:t>,</w:t>
            </w:r>
            <w:r w:rsidRPr="0040246C">
              <w:t>4 – 12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12</w:t>
            </w:r>
            <w:r>
              <w:t>,</w:t>
            </w:r>
            <w:r w:rsidRPr="0040246C">
              <w:t xml:space="preserve">6 – </w:t>
            </w:r>
            <w:r>
              <w:t>15,5</w:t>
            </w:r>
            <w:r w:rsidRPr="0040246C"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1,25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625BA8" w:rsidRPr="00625BA8" w:rsidRDefault="00625BA8" w:rsidP="00AA357E">
            <w:pPr>
              <w:pStyle w:val="Normal1"/>
            </w:pPr>
            <w:r w:rsidRPr="00625BA8">
              <w:rPr>
                <w:bCs/>
              </w:rPr>
              <w:t>15,6 – 18,5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1,5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625BA8" w:rsidRPr="00625BA8" w:rsidRDefault="00625BA8" w:rsidP="00AA357E">
            <w:pPr>
              <w:pStyle w:val="Normal1"/>
            </w:pPr>
            <w:r w:rsidRPr="00625BA8">
              <w:rPr>
                <w:bCs/>
              </w:rPr>
              <w:t xml:space="preserve">18,6 </w:t>
            </w:r>
            <w:r w:rsidRPr="0040246C">
              <w:t>–</w:t>
            </w:r>
            <w:r w:rsidRPr="00625BA8">
              <w:rPr>
                <w:bCs/>
              </w:rPr>
              <w:t xml:space="preserve"> 21,5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1,75</w:t>
            </w: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9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625BA8" w:rsidRPr="00625BA8" w:rsidRDefault="00625BA8" w:rsidP="00AA357E">
            <w:pPr>
              <w:pStyle w:val="Normal1"/>
            </w:pPr>
            <w:r w:rsidRPr="00625BA8">
              <w:rPr>
                <w:bCs/>
              </w:rPr>
              <w:t xml:space="preserve">21,6 </w:t>
            </w:r>
            <w:r w:rsidRPr="0040246C">
              <w:t>–</w:t>
            </w:r>
            <w:r w:rsidRPr="00625BA8">
              <w:rPr>
                <w:bCs/>
              </w:rPr>
              <w:t xml:space="preserve"> 25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0,5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25</w:t>
            </w:r>
            <w:r>
              <w:t>,</w:t>
            </w:r>
            <w:r w:rsidRPr="0040246C">
              <w:t>1 – 37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7</w:t>
            </w:r>
            <w:r>
              <w:t>,</w:t>
            </w:r>
            <w:r w:rsidRPr="00F70AC3">
              <w:t>5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37</w:t>
            </w:r>
            <w:r>
              <w:t>,</w:t>
            </w:r>
            <w:r w:rsidRPr="0040246C">
              <w:t xml:space="preserve">6 – 50 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50</w:t>
            </w:r>
            <w:r>
              <w:t>,</w:t>
            </w:r>
            <w:r w:rsidRPr="0040246C">
              <w:t>1 – 62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62</w:t>
            </w:r>
            <w:r>
              <w:t>,</w:t>
            </w:r>
            <w:r w:rsidRPr="0040246C">
              <w:t>6 – 75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5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75,1 – 87,5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1,75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 xml:space="preserve">87,6 </w:t>
            </w:r>
            <w:r w:rsidRPr="0040246C">
              <w:t>–</w:t>
            </w:r>
            <w:r>
              <w:t xml:space="preserve"> 100</w:t>
            </w:r>
          </w:p>
        </w:tc>
        <w:tc>
          <w:tcPr>
            <w:tcW w:w="2007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2</w:t>
            </w:r>
          </w:p>
        </w:tc>
        <w:tc>
          <w:tcPr>
            <w:tcW w:w="2529" w:type="dxa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7</w:t>
            </w:r>
          </w:p>
        </w:tc>
      </w:tr>
    </w:tbl>
    <w:p w:rsidR="00625BA8" w:rsidRPr="00967C33" w:rsidRDefault="00625BA8" w:rsidP="00625BA8">
      <w:pPr>
        <w:pStyle w:val="Default"/>
        <w:tabs>
          <w:tab w:val="left" w:pos="1452"/>
        </w:tabs>
        <w:rPr>
          <w:sz w:val="22"/>
          <w:szCs w:val="22"/>
        </w:rPr>
      </w:pPr>
    </w:p>
    <w:p w:rsidR="00625BA8" w:rsidRPr="003843CD" w:rsidRDefault="00625BA8" w:rsidP="00625BA8">
      <w:pPr>
        <w:pStyle w:val="Default"/>
        <w:jc w:val="both"/>
        <w:rPr>
          <w:sz w:val="22"/>
          <w:szCs w:val="22"/>
        </w:rPr>
      </w:pPr>
      <w:r w:rsidRPr="003843CD">
        <w:rPr>
          <w:rFonts w:eastAsia="Calibri"/>
          <w:sz w:val="22"/>
          <w:szCs w:val="22"/>
        </w:rPr>
        <w:t xml:space="preserve">Žuvacie tablety </w:t>
      </w:r>
      <w:r w:rsidRPr="003843CD">
        <w:rPr>
          <w:bCs/>
          <w:sz w:val="22"/>
          <w:szCs w:val="22"/>
        </w:rPr>
        <w:t>sú ochutené a zvieratá ich zvyčajne prijímajú spontánne</w:t>
      </w:r>
      <w:r w:rsidRPr="003843CD">
        <w:rPr>
          <w:sz w:val="22"/>
          <w:szCs w:val="22"/>
        </w:rPr>
        <w:t xml:space="preserve"> (76% prípadov u študovaných zvierat). </w:t>
      </w:r>
      <w:r w:rsidRPr="003843CD">
        <w:rPr>
          <w:rFonts w:eastAsia="Calibri"/>
          <w:sz w:val="22"/>
          <w:szCs w:val="22"/>
        </w:rPr>
        <w:t>Žuvacie tablety sa</w:t>
      </w:r>
      <w:r>
        <w:rPr>
          <w:bCs/>
          <w:sz w:val="22"/>
          <w:szCs w:val="22"/>
        </w:rPr>
        <w:t xml:space="preserve"> môžu podávať</w:t>
      </w:r>
      <w:r w:rsidRPr="003843CD">
        <w:rPr>
          <w:bCs/>
          <w:sz w:val="22"/>
          <w:szCs w:val="22"/>
        </w:rPr>
        <w:t xml:space="preserve"> </w:t>
      </w:r>
      <w:r w:rsidRPr="003843CD">
        <w:rPr>
          <w:sz w:val="22"/>
          <w:szCs w:val="22"/>
        </w:rPr>
        <w:t>priamo do úst psa.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 w:rsidRPr="003843CD">
        <w:rPr>
          <w:sz w:val="22"/>
          <w:szCs w:val="22"/>
        </w:rPr>
        <w:t>Tablety sa môžu podávať s jedlom alebo bez jedla.</w:t>
      </w:r>
      <w:r>
        <w:rPr>
          <w:sz w:val="22"/>
          <w:szCs w:val="22"/>
        </w:rPr>
        <w:t xml:space="preserve">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Pokyny </w:t>
      </w:r>
      <w:r w:rsidRPr="003E253D">
        <w:rPr>
          <w:sz w:val="22"/>
          <w:szCs w:val="22"/>
        </w:rPr>
        <w:t>na roz</w:t>
      </w:r>
      <w:r>
        <w:rPr>
          <w:sz w:val="22"/>
          <w:szCs w:val="22"/>
        </w:rPr>
        <w:t>lomenie</w:t>
      </w:r>
      <w:r w:rsidRPr="003E253D">
        <w:rPr>
          <w:sz w:val="22"/>
          <w:szCs w:val="22"/>
        </w:rPr>
        <w:t xml:space="preserve"> tablety: položte</w:t>
      </w:r>
      <w:r>
        <w:rPr>
          <w:sz w:val="22"/>
          <w:szCs w:val="22"/>
        </w:rPr>
        <w:t xml:space="preserve"> tabletu</w:t>
      </w:r>
      <w:r w:rsidRPr="003E253D">
        <w:rPr>
          <w:sz w:val="22"/>
          <w:szCs w:val="22"/>
        </w:rPr>
        <w:t xml:space="preserve"> na rovný povrch </w:t>
      </w:r>
      <w:r>
        <w:rPr>
          <w:sz w:val="22"/>
          <w:szCs w:val="22"/>
        </w:rPr>
        <w:t>ryhovanou časťou dole k povrchu</w:t>
      </w:r>
      <w:r w:rsidRPr="003E253D">
        <w:rPr>
          <w:sz w:val="22"/>
          <w:szCs w:val="22"/>
        </w:rPr>
        <w:t xml:space="preserve"> (konvex</w:t>
      </w:r>
      <w:r>
        <w:rPr>
          <w:sz w:val="22"/>
          <w:szCs w:val="22"/>
        </w:rPr>
        <w:t xml:space="preserve">nou stranou </w:t>
      </w:r>
      <w:r w:rsidRPr="003E253D">
        <w:rPr>
          <w:sz w:val="22"/>
          <w:szCs w:val="22"/>
        </w:rPr>
        <w:t xml:space="preserve">hore). </w:t>
      </w:r>
      <w:r>
        <w:rPr>
          <w:sz w:val="22"/>
          <w:szCs w:val="22"/>
        </w:rPr>
        <w:t>Ľahkým vertikálnym tlakom š</w:t>
      </w:r>
      <w:r w:rsidRPr="003E253D">
        <w:rPr>
          <w:sz w:val="22"/>
          <w:szCs w:val="22"/>
        </w:rPr>
        <w:t xml:space="preserve">pičkou </w:t>
      </w:r>
      <w:r>
        <w:rPr>
          <w:sz w:val="22"/>
          <w:szCs w:val="22"/>
        </w:rPr>
        <w:t>palca</w:t>
      </w:r>
      <w:r w:rsidRPr="003E253D">
        <w:rPr>
          <w:sz w:val="22"/>
          <w:szCs w:val="22"/>
        </w:rPr>
        <w:t xml:space="preserve"> na stred tablety</w:t>
      </w:r>
      <w:r>
        <w:rPr>
          <w:sz w:val="22"/>
          <w:szCs w:val="22"/>
        </w:rPr>
        <w:t xml:space="preserve"> rozlomíte tabletu po šírke </w:t>
      </w:r>
      <w:r w:rsidRPr="003E253D">
        <w:rPr>
          <w:sz w:val="22"/>
          <w:szCs w:val="22"/>
        </w:rPr>
        <w:t xml:space="preserve">na polovice. </w:t>
      </w:r>
      <w:r>
        <w:rPr>
          <w:sz w:val="22"/>
          <w:szCs w:val="22"/>
        </w:rPr>
        <w:t>Ak chcete tabletu rozdeliť na</w:t>
      </w:r>
      <w:r w:rsidRPr="003E253D">
        <w:rPr>
          <w:sz w:val="22"/>
          <w:szCs w:val="22"/>
        </w:rPr>
        <w:t xml:space="preserve"> štvrtiny, mierny</w:t>
      </w:r>
      <w:r>
        <w:rPr>
          <w:sz w:val="22"/>
          <w:szCs w:val="22"/>
        </w:rPr>
        <w:t>m</w:t>
      </w:r>
      <w:r w:rsidRPr="003E253D">
        <w:rPr>
          <w:sz w:val="22"/>
          <w:szCs w:val="22"/>
        </w:rPr>
        <w:t xml:space="preserve"> tlak</w:t>
      </w:r>
      <w:r>
        <w:rPr>
          <w:sz w:val="22"/>
          <w:szCs w:val="22"/>
        </w:rPr>
        <w:t xml:space="preserve">om palca na stred jednej polovice ju rozlomíte </w:t>
      </w:r>
      <w:r w:rsidRPr="003E253D">
        <w:rPr>
          <w:sz w:val="22"/>
          <w:szCs w:val="22"/>
        </w:rPr>
        <w:t>na dve časti.</w:t>
      </w:r>
    </w:p>
    <w:p w:rsidR="00625BA8" w:rsidRDefault="00625BA8" w:rsidP="00625BA8"/>
    <w:p w:rsidR="00625BA8" w:rsidRDefault="00625BA8" w:rsidP="00625BA8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625BA8" w:rsidRDefault="00625BA8" w:rsidP="00625BA8"/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psov vo veku 10 týždňov na začiatku liečby pri dennej dávke rovnajúcej sa alebo väčšej ako 25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mg/kg /deň ( 5 krát väčšej ako odporúčaná dávka ) po dobu 3 mesiacov boli pozorované nasledujúce </w:t>
      </w:r>
    </w:p>
    <w:p w:rsidR="00625BA8" w:rsidRDefault="00625BA8" w:rsidP="00625BA8">
      <w:pPr>
        <w:pStyle w:val="Default"/>
        <w:pageBreakBefore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príznaky toxicity: úbytok živej hmotnosti, slabá chuť do jedla, zmeny na pečeni (nahromadenie tuku),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mozgu (</w:t>
      </w:r>
      <w:proofErr w:type="spellStart"/>
      <w:r>
        <w:rPr>
          <w:sz w:val="22"/>
          <w:szCs w:val="22"/>
        </w:rPr>
        <w:t>vakuolizácia</w:t>
      </w:r>
      <w:proofErr w:type="spellEnd"/>
      <w:r>
        <w:rPr>
          <w:sz w:val="22"/>
          <w:szCs w:val="22"/>
        </w:rPr>
        <w:t xml:space="preserve">), dvanástniku (vredy) a smrť. Podobné klinické symptómy boli pozorované pri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dávkovaní rovnakom alebo vyššom ako 15 mg/kg/deň (3 krát vyššom ako je odporúčaná dávka) po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dobu šesť mesiacov, aj keď vážnosť a častosť príznakov boli nižšie a neobjavili sa vredy na </w:t>
      </w:r>
    </w:p>
    <w:p w:rsidR="00625BA8" w:rsidRDefault="00625BA8" w:rsidP="00625BA8">
      <w:pPr>
        <w:pStyle w:val="Default"/>
        <w:jc w:val="both"/>
        <w:rPr>
          <w:szCs w:val="22"/>
        </w:rPr>
      </w:pPr>
      <w:r>
        <w:rPr>
          <w:sz w:val="22"/>
          <w:szCs w:val="22"/>
        </w:rPr>
        <w:t>dvanástniku.</w:t>
      </w:r>
      <w:r w:rsidRPr="00F73ECF">
        <w:rPr>
          <w:szCs w:val="22"/>
        </w:rPr>
        <w:t xml:space="preserve">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štúdiách na bezpečnosť lieku u cieľových zvierat vymizli klinické príznaky toxicity u niektorých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psov po prerušení liečby.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psov vo veku sedem mesiacov na začiatku liečby sa po podaní dávky rovnajúcej sa alebo vyššej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25 mg/kg/deň (5 krát vyššej ako je odporúčaná dávka) počas šiestich mesiacov sa objavili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vedľajšie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účinky, t.j. bolo pozorované zvracanie.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Štúdie na predávkovanie sa neuskutočnili na zvieratách starších ako 14 mesiacov veku. </w:t>
      </w:r>
    </w:p>
    <w:p w:rsidR="00625BA8" w:rsidRDefault="00625BA8" w:rsidP="00625BA8">
      <w:pPr>
        <w:jc w:val="both"/>
      </w:pPr>
      <w:r>
        <w:rPr>
          <w:szCs w:val="22"/>
        </w:rPr>
        <w:t>Ak sa objavia klinické symptómy z predávkovania, prerušiť liečbu.</w:t>
      </w:r>
    </w:p>
    <w:p w:rsidR="00625BA8" w:rsidRDefault="00625BA8" w:rsidP="00625BA8">
      <w:pPr>
        <w:ind w:left="0" w:firstLine="0"/>
      </w:pPr>
    </w:p>
    <w:p w:rsidR="00625BA8" w:rsidRDefault="00625BA8" w:rsidP="00625BA8">
      <w:r>
        <w:rPr>
          <w:b/>
        </w:rPr>
        <w:t>4.11</w:t>
      </w:r>
      <w:r>
        <w:rPr>
          <w:b/>
        </w:rPr>
        <w:tab/>
        <w:t>Ochranná  lehota</w:t>
      </w:r>
    </w:p>
    <w:p w:rsidR="00625BA8" w:rsidRDefault="00625BA8" w:rsidP="00625BA8">
      <w:pPr>
        <w:ind w:left="0" w:firstLine="0"/>
      </w:pPr>
    </w:p>
    <w:p w:rsidR="00625BA8" w:rsidRDefault="00625BA8" w:rsidP="00625BA8">
      <w:r>
        <w:t>Netýka sa.</w:t>
      </w:r>
    </w:p>
    <w:p w:rsidR="00625BA8" w:rsidRDefault="00625BA8" w:rsidP="00625BA8">
      <w:pPr>
        <w:ind w:left="0" w:firstLine="0"/>
      </w:pPr>
    </w:p>
    <w:p w:rsidR="00625BA8" w:rsidRDefault="00625BA8" w:rsidP="00625BA8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625BA8" w:rsidRDefault="00625BA8" w:rsidP="00625BA8"/>
    <w:p w:rsidR="00625BA8" w:rsidRDefault="00625BA8" w:rsidP="00625BA8">
      <w:pPr>
        <w:ind w:left="0" w:firstLine="0"/>
      </w:pPr>
      <w:proofErr w:type="spellStart"/>
      <w:r>
        <w:t>Farmakoterapeutická</w:t>
      </w:r>
      <w:proofErr w:type="spellEnd"/>
      <w:r>
        <w:t xml:space="preserve"> skupina: </w:t>
      </w:r>
      <w:r>
        <w:rPr>
          <w:szCs w:val="22"/>
        </w:rPr>
        <w:t xml:space="preserve">Protizápalové a </w:t>
      </w:r>
      <w:proofErr w:type="spellStart"/>
      <w:r>
        <w:rPr>
          <w:szCs w:val="22"/>
        </w:rPr>
        <w:t>antireumatické</w:t>
      </w:r>
      <w:proofErr w:type="spellEnd"/>
      <w:r>
        <w:rPr>
          <w:szCs w:val="22"/>
        </w:rPr>
        <w:t xml:space="preserve"> lieky, </w:t>
      </w:r>
      <w:proofErr w:type="spellStart"/>
      <w:r>
        <w:rPr>
          <w:szCs w:val="22"/>
        </w:rPr>
        <w:t>nesteroidy</w:t>
      </w:r>
      <w:proofErr w:type="spellEnd"/>
      <w:r>
        <w:rPr>
          <w:szCs w:val="22"/>
        </w:rPr>
        <w:t>.</w:t>
      </w:r>
    </w:p>
    <w:p w:rsidR="00625BA8" w:rsidRDefault="00625BA8" w:rsidP="00625BA8">
      <w:pPr>
        <w:ind w:left="0" w:firstLine="0"/>
      </w:pPr>
      <w:proofErr w:type="spellStart"/>
      <w:r>
        <w:t>ATCvet</w:t>
      </w:r>
      <w:proofErr w:type="spellEnd"/>
      <w:r>
        <w:t xml:space="preserve"> kód: </w:t>
      </w:r>
      <w:r w:rsidRPr="00F73ECF">
        <w:t>QM01AH90</w:t>
      </w:r>
    </w:p>
    <w:p w:rsidR="00625BA8" w:rsidRDefault="00625BA8" w:rsidP="00625BA8"/>
    <w:p w:rsidR="00625BA8" w:rsidRDefault="00625BA8" w:rsidP="00625BA8">
      <w:pPr>
        <w:rPr>
          <w:b/>
        </w:rPr>
      </w:pPr>
      <w:r>
        <w:rPr>
          <w:b/>
        </w:rPr>
        <w:t xml:space="preserve">5.1 </w:t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625BA8" w:rsidRDefault="00625BA8" w:rsidP="00625BA8">
      <w:pPr>
        <w:rPr>
          <w:b/>
        </w:rPr>
      </w:pP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nesteroidný</w:t>
      </w:r>
      <w:proofErr w:type="spellEnd"/>
      <w:r>
        <w:rPr>
          <w:sz w:val="22"/>
          <w:szCs w:val="22"/>
        </w:rPr>
        <w:t xml:space="preserve"> protizápalový liek (NSAID) patriaci do </w:t>
      </w:r>
      <w:proofErr w:type="spellStart"/>
      <w:r>
        <w:rPr>
          <w:sz w:val="22"/>
          <w:szCs w:val="22"/>
        </w:rPr>
        <w:t>koxibovej</w:t>
      </w:r>
      <w:proofErr w:type="spellEnd"/>
      <w:r>
        <w:rPr>
          <w:sz w:val="22"/>
          <w:szCs w:val="22"/>
        </w:rPr>
        <w:t xml:space="preserve"> skupiny, ktorý pôsobí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selektívnou inhibíciou syntézy </w:t>
      </w:r>
      <w:proofErr w:type="spellStart"/>
      <w:r>
        <w:rPr>
          <w:sz w:val="22"/>
          <w:szCs w:val="22"/>
        </w:rPr>
        <w:t>prostaglandínu</w:t>
      </w:r>
      <w:proofErr w:type="spellEnd"/>
      <w:r>
        <w:rPr>
          <w:sz w:val="22"/>
          <w:szCs w:val="22"/>
        </w:rPr>
        <w:t xml:space="preserve"> prostredníctvom cyklooxygenázy-2 (COX-2).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Cyklooxygenáza</w:t>
      </w:r>
      <w:proofErr w:type="spellEnd"/>
      <w:r>
        <w:rPr>
          <w:sz w:val="22"/>
          <w:szCs w:val="22"/>
        </w:rPr>
        <w:t xml:space="preserve"> je zodpovedná za tvorbu </w:t>
      </w:r>
      <w:proofErr w:type="spellStart"/>
      <w:r>
        <w:rPr>
          <w:sz w:val="22"/>
          <w:szCs w:val="22"/>
        </w:rPr>
        <w:t>prostaglandínov</w:t>
      </w:r>
      <w:proofErr w:type="spellEnd"/>
      <w:r>
        <w:rPr>
          <w:sz w:val="22"/>
          <w:szCs w:val="22"/>
        </w:rPr>
        <w:t xml:space="preserve">. U </w:t>
      </w:r>
      <w:proofErr w:type="spellStart"/>
      <w:r>
        <w:rPr>
          <w:sz w:val="22"/>
          <w:szCs w:val="22"/>
        </w:rPr>
        <w:t>izoformy</w:t>
      </w:r>
      <w:proofErr w:type="spellEnd"/>
      <w:r>
        <w:rPr>
          <w:sz w:val="22"/>
          <w:szCs w:val="22"/>
        </w:rPr>
        <w:t xml:space="preserve"> COX-2 bolo preukázané, že je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indukovaná protizápalovými podnetmi, a predpokladá sa, že je primárne zodpovedná za syntézu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prostanoidových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mediátorov</w:t>
      </w:r>
      <w:proofErr w:type="spellEnd"/>
      <w:r>
        <w:rPr>
          <w:sz w:val="22"/>
          <w:szCs w:val="22"/>
        </w:rPr>
        <w:t xml:space="preserve"> bolesti, zápalu a horúčky. Preto sa </w:t>
      </w:r>
      <w:proofErr w:type="spellStart"/>
      <w:r>
        <w:rPr>
          <w:sz w:val="22"/>
          <w:szCs w:val="22"/>
        </w:rPr>
        <w:t>koxiby</w:t>
      </w:r>
      <w:proofErr w:type="spellEnd"/>
      <w:r>
        <w:rPr>
          <w:sz w:val="22"/>
          <w:szCs w:val="22"/>
        </w:rPr>
        <w:t xml:space="preserve"> vyznačujú analgetickými,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protizápalovými a </w:t>
      </w:r>
      <w:proofErr w:type="spellStart"/>
      <w:r>
        <w:rPr>
          <w:sz w:val="22"/>
          <w:szCs w:val="22"/>
        </w:rPr>
        <w:t>antipyretickými</w:t>
      </w:r>
      <w:proofErr w:type="spellEnd"/>
      <w:r>
        <w:rPr>
          <w:sz w:val="22"/>
          <w:szCs w:val="22"/>
        </w:rPr>
        <w:t xml:space="preserve"> vlastnosťami. COX-2 je tiež zapojený v ovulácii, implantácii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uzavretí </w:t>
      </w:r>
      <w:proofErr w:type="spellStart"/>
      <w:r>
        <w:rPr>
          <w:sz w:val="22"/>
          <w:szCs w:val="22"/>
        </w:rPr>
        <w:t>arteriózneho</w:t>
      </w:r>
      <w:proofErr w:type="spellEnd"/>
      <w:r>
        <w:rPr>
          <w:sz w:val="22"/>
          <w:szCs w:val="22"/>
        </w:rPr>
        <w:t xml:space="preserve"> kanálika a pri funkciách centrálneho nervového systému (vyvolanie horúčky,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vnímanie bolesti a kognitívna funkcia). Vo vzorke plnej krvi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u psov vykazuje </w:t>
      </w: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380-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násobne vyššiu </w:t>
      </w:r>
      <w:proofErr w:type="spellStart"/>
      <w:r>
        <w:rPr>
          <w:sz w:val="22"/>
          <w:szCs w:val="22"/>
        </w:rPr>
        <w:t>selektivitu</w:t>
      </w:r>
      <w:proofErr w:type="spellEnd"/>
      <w:r>
        <w:rPr>
          <w:sz w:val="22"/>
          <w:szCs w:val="22"/>
        </w:rPr>
        <w:t xml:space="preserve"> pre COX-2 než pre COX-1. Koncentrácia </w:t>
      </w:r>
      <w:proofErr w:type="spellStart"/>
      <w:r>
        <w:rPr>
          <w:sz w:val="22"/>
          <w:szCs w:val="22"/>
        </w:rPr>
        <w:t>firocoxibu</w:t>
      </w:r>
      <w:proofErr w:type="spellEnd"/>
      <w:r>
        <w:rPr>
          <w:sz w:val="22"/>
          <w:szCs w:val="22"/>
        </w:rPr>
        <w:t xml:space="preserve"> potrebná na inhibíciu </w:t>
      </w:r>
    </w:p>
    <w:p w:rsidR="00625BA8" w:rsidRDefault="00625BA8" w:rsidP="00625BA8">
      <w:pPr>
        <w:jc w:val="both"/>
        <w:rPr>
          <w:b/>
        </w:rPr>
      </w:pPr>
      <w:r>
        <w:rPr>
          <w:szCs w:val="22"/>
        </w:rPr>
        <w:t>50% enzýmu COX-2 (t.j. IC</w:t>
      </w:r>
      <w:r>
        <w:rPr>
          <w:sz w:val="14"/>
          <w:szCs w:val="14"/>
        </w:rPr>
        <w:t>50</w:t>
      </w:r>
      <w:r>
        <w:rPr>
          <w:szCs w:val="22"/>
        </w:rPr>
        <w:t xml:space="preserve">) je 0,16 (± 0,05) </w:t>
      </w:r>
      <w:proofErr w:type="spellStart"/>
      <w:r>
        <w:rPr>
          <w:szCs w:val="22"/>
        </w:rPr>
        <w:t>μM</w:t>
      </w:r>
      <w:proofErr w:type="spellEnd"/>
      <w:r>
        <w:rPr>
          <w:szCs w:val="22"/>
        </w:rPr>
        <w:t>, zatiaľ čo IC</w:t>
      </w:r>
      <w:r>
        <w:rPr>
          <w:sz w:val="14"/>
          <w:szCs w:val="14"/>
        </w:rPr>
        <w:t xml:space="preserve">50 </w:t>
      </w:r>
      <w:r>
        <w:rPr>
          <w:szCs w:val="22"/>
        </w:rPr>
        <w:t xml:space="preserve">pre COX-1 je 56 (± 7) </w:t>
      </w:r>
      <w:proofErr w:type="spellStart"/>
      <w:r>
        <w:rPr>
          <w:szCs w:val="22"/>
        </w:rPr>
        <w:t>μM</w:t>
      </w:r>
      <w:proofErr w:type="spellEnd"/>
      <w:r>
        <w:rPr>
          <w:szCs w:val="22"/>
        </w:rPr>
        <w:t>.</w:t>
      </w:r>
    </w:p>
    <w:p w:rsidR="00625BA8" w:rsidRPr="00C44D51" w:rsidRDefault="00625BA8" w:rsidP="00625BA8">
      <w:pPr>
        <w:jc w:val="both"/>
      </w:pPr>
    </w:p>
    <w:p w:rsidR="00625BA8" w:rsidRDefault="00625BA8" w:rsidP="00625BA8">
      <w:pPr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625BA8" w:rsidRDefault="00625BA8" w:rsidP="00625BA8"/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Následne po perorálnom podaní u psov v odporúčanej dávke 5 mg/kg ž.hm. je </w:t>
      </w: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rýchlo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absorbovaný a čas maximálnej koncentrácie (</w:t>
      </w:r>
      <w:proofErr w:type="spellStart"/>
      <w:r>
        <w:rPr>
          <w:sz w:val="22"/>
          <w:szCs w:val="22"/>
        </w:rPr>
        <w:t>T</w:t>
      </w:r>
      <w:r>
        <w:rPr>
          <w:sz w:val="14"/>
          <w:szCs w:val="14"/>
        </w:rPr>
        <w:t>max</w:t>
      </w:r>
      <w:proofErr w:type="spellEnd"/>
      <w:r>
        <w:rPr>
          <w:sz w:val="22"/>
          <w:szCs w:val="22"/>
        </w:rPr>
        <w:t xml:space="preserve">) je 4,09 (± 5,34) hodín. Vrcholová koncentrácia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</w:t>
      </w:r>
      <w:r>
        <w:rPr>
          <w:sz w:val="14"/>
          <w:szCs w:val="14"/>
        </w:rPr>
        <w:t>max</w:t>
      </w:r>
      <w:proofErr w:type="spellEnd"/>
      <w:r>
        <w:rPr>
          <w:sz w:val="14"/>
          <w:szCs w:val="14"/>
        </w:rPr>
        <w:t>)</w:t>
      </w:r>
      <w:r>
        <w:rPr>
          <w:sz w:val="22"/>
          <w:szCs w:val="22"/>
        </w:rPr>
        <w:t xml:space="preserve">) je 0,80 (± 0,42)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/ml (množstvo ekvivalentné približne 1,5 </w:t>
      </w:r>
      <w:proofErr w:type="spellStart"/>
      <w:r>
        <w:rPr>
          <w:sz w:val="22"/>
          <w:szCs w:val="22"/>
        </w:rPr>
        <w:t>μM</w:t>
      </w:r>
      <w:proofErr w:type="spellEnd"/>
      <w:r>
        <w:rPr>
          <w:sz w:val="22"/>
          <w:szCs w:val="22"/>
        </w:rPr>
        <w:t xml:space="preserve">), </w:t>
      </w:r>
      <w:r w:rsidRPr="00952093">
        <w:rPr>
          <w:sz w:val="22"/>
          <w:szCs w:val="22"/>
        </w:rPr>
        <w:t xml:space="preserve">plazmatické koncentrácie v čase môžu vykazovať </w:t>
      </w:r>
      <w:proofErr w:type="spellStart"/>
      <w:r w:rsidRPr="00952093">
        <w:rPr>
          <w:sz w:val="22"/>
          <w:szCs w:val="22"/>
        </w:rPr>
        <w:t>bimodálne</w:t>
      </w:r>
      <w:proofErr w:type="spellEnd"/>
      <w:r w:rsidRPr="00952093">
        <w:rPr>
          <w:sz w:val="22"/>
          <w:szCs w:val="22"/>
        </w:rPr>
        <w:t xml:space="preserve"> rozdelenie s potenciálnym </w:t>
      </w:r>
      <w:proofErr w:type="spellStart"/>
      <w:r w:rsidRPr="00952093">
        <w:rPr>
          <w:sz w:val="22"/>
          <w:szCs w:val="22"/>
        </w:rPr>
        <w:t>entero-pečeňovým</w:t>
      </w:r>
      <w:proofErr w:type="spellEnd"/>
      <w:r w:rsidRPr="00952093">
        <w:rPr>
          <w:sz w:val="22"/>
          <w:szCs w:val="22"/>
        </w:rPr>
        <w:t xml:space="preserve"> cyklom,</w:t>
      </w:r>
      <w:r>
        <w:rPr>
          <w:sz w:val="22"/>
          <w:szCs w:val="22"/>
        </w:rPr>
        <w:t xml:space="preserve"> plocha pod krivkou (AUC 0- 24) je 10,24 (± 3,41)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 x hod/ml a orálna </w:t>
      </w:r>
      <w:proofErr w:type="spellStart"/>
      <w:r>
        <w:rPr>
          <w:sz w:val="22"/>
          <w:szCs w:val="22"/>
        </w:rPr>
        <w:t>biodostupnosť</w:t>
      </w:r>
      <w:proofErr w:type="spellEnd"/>
      <w:r>
        <w:rPr>
          <w:sz w:val="22"/>
          <w:szCs w:val="22"/>
        </w:rPr>
        <w:t xml:space="preserve"> je 36,9 (± 20,4)%. Terminálny polčas (t</w:t>
      </w:r>
      <w:r>
        <w:rPr>
          <w:sz w:val="14"/>
          <w:szCs w:val="14"/>
        </w:rPr>
        <w:t xml:space="preserve">1/2 </w:t>
      </w:r>
      <w:r>
        <w:rPr>
          <w:sz w:val="22"/>
          <w:szCs w:val="22"/>
        </w:rPr>
        <w:t xml:space="preserve">) je 6,77 (± 2,79) hodín (harmonický priemer 5,90 h). </w:t>
      </w: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je približne z 96% viazaný na plazmatické bielkoviny. Vyrovnaná hladina po viacnásobných perorálnych podaniach je dosiahnutá treťou dennou dávkou.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je metabolizovaný prevažne </w:t>
      </w:r>
      <w:proofErr w:type="spellStart"/>
      <w:r>
        <w:rPr>
          <w:sz w:val="22"/>
          <w:szCs w:val="22"/>
        </w:rPr>
        <w:t>dealkyláciou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glukuronidáciou</w:t>
      </w:r>
      <w:proofErr w:type="spellEnd"/>
      <w:r>
        <w:rPr>
          <w:sz w:val="22"/>
          <w:szCs w:val="22"/>
        </w:rPr>
        <w:t xml:space="preserve"> v pečeni. Eliminácia je hlavne </w:t>
      </w:r>
    </w:p>
    <w:p w:rsidR="00625BA8" w:rsidRDefault="00625BA8" w:rsidP="00625BA8">
      <w:pPr>
        <w:jc w:val="both"/>
        <w:rPr>
          <w:szCs w:val="22"/>
        </w:rPr>
      </w:pPr>
      <w:r>
        <w:rPr>
          <w:szCs w:val="22"/>
        </w:rPr>
        <w:t xml:space="preserve">žlčou a </w:t>
      </w:r>
      <w:proofErr w:type="spellStart"/>
      <w:r>
        <w:rPr>
          <w:szCs w:val="22"/>
        </w:rPr>
        <w:t>gastrointestinálnym</w:t>
      </w:r>
      <w:proofErr w:type="spellEnd"/>
      <w:r>
        <w:rPr>
          <w:szCs w:val="22"/>
        </w:rPr>
        <w:t xml:space="preserve"> traktom.</w:t>
      </w:r>
    </w:p>
    <w:p w:rsidR="00625BA8" w:rsidRDefault="00625BA8" w:rsidP="00625BA8">
      <w:pPr>
        <w:ind w:left="0" w:firstLine="0"/>
      </w:pPr>
    </w:p>
    <w:p w:rsidR="00625BA8" w:rsidRDefault="00625BA8" w:rsidP="00625BA8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625BA8" w:rsidRPr="00C44D51" w:rsidRDefault="00625BA8" w:rsidP="00625BA8"/>
    <w:p w:rsidR="00625BA8" w:rsidRDefault="00625BA8" w:rsidP="00625BA8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625BA8" w:rsidRDefault="00625BA8" w:rsidP="00625BA8">
      <w:pPr>
        <w:rPr>
          <w:b/>
        </w:rPr>
      </w:pPr>
    </w:p>
    <w:p w:rsidR="00625BA8" w:rsidRPr="00952093" w:rsidRDefault="00625BA8" w:rsidP="00625BA8">
      <w:proofErr w:type="spellStart"/>
      <w:r w:rsidRPr="00952093">
        <w:t>Monohydrát</w:t>
      </w:r>
      <w:proofErr w:type="spellEnd"/>
      <w:r w:rsidRPr="00952093">
        <w:t xml:space="preserve"> laktózy</w:t>
      </w:r>
    </w:p>
    <w:p w:rsidR="00625BA8" w:rsidRPr="00952093" w:rsidRDefault="00625BA8" w:rsidP="00625BA8">
      <w:r w:rsidRPr="00952093">
        <w:t>Mikrokryštalická celulóza</w:t>
      </w:r>
    </w:p>
    <w:p w:rsidR="00625BA8" w:rsidRPr="00952093" w:rsidRDefault="00625BA8" w:rsidP="00625BA8">
      <w:proofErr w:type="spellStart"/>
      <w:r w:rsidRPr="00952093">
        <w:t>Hyprolóza</w:t>
      </w:r>
      <w:proofErr w:type="spellEnd"/>
    </w:p>
    <w:p w:rsidR="00625BA8" w:rsidRPr="00952093" w:rsidRDefault="00625BA8" w:rsidP="00625BA8">
      <w:proofErr w:type="spellStart"/>
      <w:r w:rsidRPr="00952093">
        <w:t>Kroskarmelóza</w:t>
      </w:r>
      <w:proofErr w:type="spellEnd"/>
    </w:p>
    <w:p w:rsidR="00625BA8" w:rsidRPr="00952093" w:rsidRDefault="00625BA8" w:rsidP="00625BA8">
      <w:proofErr w:type="spellStart"/>
      <w:r w:rsidRPr="00952093">
        <w:t>Magnéziumstearát</w:t>
      </w:r>
      <w:proofErr w:type="spellEnd"/>
    </w:p>
    <w:p w:rsidR="00625BA8" w:rsidRDefault="00625BA8" w:rsidP="00625BA8">
      <w:r w:rsidRPr="00952093">
        <w:lastRenderedPageBreak/>
        <w:t>Koloidný oxid kremičitý</w:t>
      </w:r>
    </w:p>
    <w:p w:rsidR="00625BA8" w:rsidRDefault="00625BA8" w:rsidP="00625BA8">
      <w:r w:rsidRPr="000760C1">
        <w:t>Kvasnice</w:t>
      </w:r>
    </w:p>
    <w:p w:rsidR="00625BA8" w:rsidRPr="00952093" w:rsidRDefault="00625BA8" w:rsidP="00625BA8">
      <w:r>
        <w:t>Kuracia príchuť</w:t>
      </w:r>
    </w:p>
    <w:p w:rsidR="00625BA8" w:rsidRDefault="00625BA8" w:rsidP="00625BA8"/>
    <w:p w:rsidR="00625BA8" w:rsidRDefault="00625BA8" w:rsidP="00625BA8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</w:p>
    <w:p w:rsidR="00625BA8" w:rsidRDefault="00625BA8" w:rsidP="00625BA8"/>
    <w:p w:rsidR="00625BA8" w:rsidRDefault="00625BA8" w:rsidP="00625BA8">
      <w:r>
        <w:t>Neuplatňujú sa.</w:t>
      </w:r>
      <w:r w:rsidRPr="00C37430">
        <w:t xml:space="preserve"> </w:t>
      </w:r>
    </w:p>
    <w:p w:rsidR="00625BA8" w:rsidRDefault="00625BA8" w:rsidP="00625BA8">
      <w:pPr>
        <w:ind w:left="0" w:firstLine="0"/>
      </w:pPr>
    </w:p>
    <w:p w:rsidR="00625BA8" w:rsidRDefault="00625BA8" w:rsidP="00625BA8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r>
        <w:t>Čas použiteľnosti veterinárneho lieku za</w:t>
      </w:r>
      <w:r w:rsidR="00E2699D">
        <w:t>baleného v neporušenom obale: 3</w:t>
      </w:r>
      <w:r>
        <w:t xml:space="preserve"> roky.</w:t>
      </w:r>
    </w:p>
    <w:p w:rsidR="00625BA8" w:rsidRDefault="00625BA8" w:rsidP="00625BA8"/>
    <w:p w:rsidR="00625BA8" w:rsidRDefault="00625BA8" w:rsidP="00625BA8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625BA8" w:rsidRDefault="00625BA8" w:rsidP="00625BA8">
      <w:pPr>
        <w:ind w:left="0" w:firstLine="0"/>
      </w:pPr>
    </w:p>
    <w:p w:rsidR="00625BA8" w:rsidRDefault="00625BA8" w:rsidP="00625BA8">
      <w:r>
        <w:t>Tento veterinárny liek nevyžaduje žiadne zvláštne podmienky na uchovávanie.</w:t>
      </w:r>
    </w:p>
    <w:p w:rsidR="00625BA8" w:rsidRDefault="00625BA8" w:rsidP="00625BA8">
      <w:r>
        <w:rPr>
          <w:szCs w:val="20"/>
          <w:lang w:eastAsia="fr-FR"/>
        </w:rPr>
        <w:t xml:space="preserve">Všetky zvyšky tabliet sa majú uchovávať v pôvodných </w:t>
      </w:r>
      <w:proofErr w:type="spellStart"/>
      <w:r>
        <w:rPr>
          <w:szCs w:val="20"/>
          <w:lang w:eastAsia="fr-FR"/>
        </w:rPr>
        <w:t>blistroch</w:t>
      </w:r>
      <w:proofErr w:type="spellEnd"/>
      <w:r>
        <w:rPr>
          <w:szCs w:val="20"/>
          <w:lang w:eastAsia="fr-FR"/>
        </w:rPr>
        <w:t xml:space="preserve"> a spotrebovať do 4 dní.</w:t>
      </w:r>
    </w:p>
    <w:p w:rsidR="00625BA8" w:rsidRDefault="00625BA8" w:rsidP="00625BA8"/>
    <w:p w:rsidR="00625BA8" w:rsidRDefault="00625BA8" w:rsidP="00625BA8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r>
        <w:t xml:space="preserve">Hliníkový/PVC- Hliníkový- Polyamidový </w:t>
      </w:r>
      <w:proofErr w:type="spellStart"/>
      <w:r>
        <w:t>blister</w:t>
      </w:r>
      <w:proofErr w:type="spellEnd"/>
      <w:r>
        <w:t xml:space="preserve"> obsahujúci 12 tabliet.</w:t>
      </w:r>
    </w:p>
    <w:p w:rsidR="00625BA8" w:rsidRDefault="00625BA8" w:rsidP="00625BA8">
      <w:pPr>
        <w:ind w:left="0" w:firstLine="0"/>
      </w:pPr>
      <w:r>
        <w:t>Papierová škatuľka obsahujúca 12, 36, 96 a 120 tabliet.</w:t>
      </w:r>
    </w:p>
    <w:p w:rsidR="00625BA8" w:rsidRDefault="00625BA8" w:rsidP="00625BA8"/>
    <w:p w:rsidR="00625BA8" w:rsidRDefault="00625BA8" w:rsidP="00625BA8">
      <w:r>
        <w:t>Nie všetky veľkosti balenia sa musia uvádzať na trh.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625BA8" w:rsidRDefault="00625BA8" w:rsidP="00625BA8">
      <w:pPr>
        <w:ind w:left="0" w:firstLine="0"/>
        <w:rPr>
          <w:b/>
          <w:bCs/>
        </w:rPr>
      </w:pPr>
    </w:p>
    <w:p w:rsidR="00625BA8" w:rsidRPr="00473282" w:rsidRDefault="00625BA8" w:rsidP="00625BA8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 miestnymi požiadavkami.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625BA8" w:rsidRDefault="00625BA8" w:rsidP="00625BA8"/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CEVA ANIMAL HEALTH SLOVAKIA, s.r.o., 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Prievozská 5434/6A, 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821 09 Bratislava - mestská časť Ružinov, </w:t>
      </w:r>
    </w:p>
    <w:p w:rsidR="00921D36" w:rsidRP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>Slovenská republika</w:t>
      </w:r>
    </w:p>
    <w:p w:rsidR="00625BA8" w:rsidRPr="00C44D51" w:rsidRDefault="00625BA8" w:rsidP="00625BA8">
      <w:pPr>
        <w:ind w:left="0" w:firstLine="0"/>
        <w:rPr>
          <w:bCs/>
        </w:rPr>
      </w:pPr>
    </w:p>
    <w:p w:rsidR="00625BA8" w:rsidRDefault="00625BA8" w:rsidP="00625BA8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rPr>
          <w:bCs/>
        </w:rPr>
      </w:pPr>
      <w:r>
        <w:rPr>
          <w:bCs/>
        </w:rPr>
        <w:t>96/065/DC/19-S</w:t>
      </w:r>
    </w:p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625BA8" w:rsidRPr="00C44D51" w:rsidRDefault="00625BA8" w:rsidP="00625BA8">
      <w:pPr>
        <w:rPr>
          <w:bCs/>
        </w:rPr>
      </w:pPr>
    </w:p>
    <w:p w:rsidR="00712089" w:rsidRDefault="00712089" w:rsidP="00712089">
      <w:pPr>
        <w:rPr>
          <w:bCs/>
        </w:rPr>
      </w:pPr>
      <w:r>
        <w:rPr>
          <w:bCs/>
        </w:rPr>
        <w:t>Dátum prvej registrácie: 07/01/2020</w:t>
      </w:r>
    </w:p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625BA8" w:rsidRDefault="00625BA8" w:rsidP="00625BA8">
      <w:pPr>
        <w:ind w:left="0" w:firstLine="0"/>
      </w:pPr>
    </w:p>
    <w:p w:rsidR="00E2699D" w:rsidRDefault="001B1CE1" w:rsidP="00625BA8">
      <w:pPr>
        <w:ind w:left="0" w:firstLine="0"/>
      </w:pPr>
      <w:r>
        <w:t>10/2023</w:t>
      </w:r>
    </w:p>
    <w:p w:rsidR="00E2699D" w:rsidRPr="00C44D51" w:rsidRDefault="00E2699D" w:rsidP="00625BA8">
      <w:pPr>
        <w:ind w:left="0" w:firstLine="0"/>
        <w:rPr>
          <w:bCs/>
        </w:rPr>
      </w:pPr>
    </w:p>
    <w:p w:rsidR="00625BA8" w:rsidRDefault="00625BA8" w:rsidP="00625BA8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r>
        <w:t>Neuplatňuje sa.</w:t>
      </w:r>
    </w:p>
    <w:p w:rsidR="00625BA8" w:rsidRDefault="00625BA8" w:rsidP="00625BA8"/>
    <w:p w:rsidR="00625BA8" w:rsidRDefault="00625BA8" w:rsidP="00625BA8">
      <w:pPr>
        <w:ind w:left="0" w:firstLine="0"/>
      </w:pPr>
      <w:r>
        <w:t>Výdaj lieku je viazaný na veterinárny predpis.</w:t>
      </w:r>
    </w:p>
    <w:p w:rsidR="008D1CA3" w:rsidRDefault="008D1CA3" w:rsidP="00625BA8">
      <w:pPr>
        <w:ind w:left="0" w:firstLine="0"/>
      </w:pPr>
    </w:p>
    <w:p w:rsidR="00625BA8" w:rsidRDefault="00625BA8" w:rsidP="00625BA8">
      <w:pPr>
        <w:ind w:left="0" w:firstLine="0"/>
        <w:rPr>
          <w:b/>
          <w:bCs/>
        </w:rPr>
      </w:pPr>
    </w:p>
    <w:p w:rsidR="00625BA8" w:rsidRDefault="00625BA8" w:rsidP="00625BA8">
      <w:pPr>
        <w:ind w:left="0" w:firstLine="0"/>
        <w:rPr>
          <w:b/>
          <w:bCs/>
        </w:rPr>
      </w:pP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0" w:type="auto"/>
          </w:tcPr>
          <w:p w:rsidR="00625BA8" w:rsidRDefault="00625BA8" w:rsidP="00AA357E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ÚDAJE, KTORÉ MAJÚ BYŤ UVEDENÉ NA VONKAJŠOM OBALE</w:t>
            </w:r>
          </w:p>
          <w:p w:rsidR="00625BA8" w:rsidRDefault="00625BA8" w:rsidP="00AA357E">
            <w:pPr>
              <w:rPr>
                <w:bCs/>
              </w:rPr>
            </w:pPr>
          </w:p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Papierová škatuľka</w:t>
            </w:r>
          </w:p>
        </w:tc>
      </w:tr>
    </w:tbl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625BA8" w:rsidRDefault="00625BA8" w:rsidP="00625BA8"/>
    <w:p w:rsidR="00625BA8" w:rsidRDefault="00625BA8" w:rsidP="00625BA8">
      <w:pPr>
        <w:ind w:left="0" w:firstLine="0"/>
      </w:pPr>
      <w:proofErr w:type="spellStart"/>
      <w:r w:rsidRPr="00482C58">
        <w:t>Firodyl</w:t>
      </w:r>
      <w:proofErr w:type="spellEnd"/>
      <w:r w:rsidRPr="00482C58">
        <w:t xml:space="preserve"> 250 mg žuvacie tablety pre psov</w:t>
      </w: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625BA8" w:rsidRDefault="00625BA8" w:rsidP="00625BA8"/>
    <w:p w:rsidR="00625BA8" w:rsidRDefault="00625BA8" w:rsidP="00625BA8">
      <w:proofErr w:type="spellStart"/>
      <w:r w:rsidRPr="00482C58">
        <w:t>Firocoxib</w:t>
      </w:r>
      <w:proofErr w:type="spellEnd"/>
      <w:r w:rsidRPr="00482C58">
        <w:t xml:space="preserve">                                  250</w:t>
      </w:r>
      <w:r>
        <w:t xml:space="preserve"> </w:t>
      </w:r>
      <w:r w:rsidRPr="00482C58">
        <w:t>mg</w:t>
      </w: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625BA8" w:rsidRDefault="00625BA8" w:rsidP="00625BA8"/>
    <w:p w:rsidR="00625BA8" w:rsidRDefault="00625BA8" w:rsidP="00625BA8">
      <w:r w:rsidRPr="00482C58">
        <w:rPr>
          <w:highlight w:val="lightGray"/>
        </w:rPr>
        <w:t>Žuvacie tablety.</w:t>
      </w: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625BA8" w:rsidRDefault="00625BA8" w:rsidP="00625BA8">
      <w:pPr>
        <w:tabs>
          <w:tab w:val="left" w:pos="912"/>
        </w:tabs>
      </w:pPr>
      <w:r>
        <w:tab/>
      </w:r>
    </w:p>
    <w:p w:rsidR="00625BA8" w:rsidRDefault="00625BA8" w:rsidP="00625BA8">
      <w:pPr>
        <w:pStyle w:val="Normal1"/>
      </w:pPr>
      <w:r>
        <w:t xml:space="preserve">12 </w:t>
      </w:r>
      <w:proofErr w:type="spellStart"/>
      <w:r>
        <w:t>tabliet</w:t>
      </w:r>
      <w:proofErr w:type="spellEnd"/>
    </w:p>
    <w:p w:rsidR="00625BA8" w:rsidRDefault="00625BA8" w:rsidP="00625BA8">
      <w:pPr>
        <w:pStyle w:val="Normal1"/>
      </w:pPr>
      <w:r>
        <w:rPr>
          <w:highlight w:val="lightGray"/>
        </w:rPr>
        <w:t xml:space="preserve">36 </w:t>
      </w:r>
      <w:proofErr w:type="spellStart"/>
      <w:r>
        <w:rPr>
          <w:highlight w:val="lightGray"/>
        </w:rPr>
        <w:t>tabliet</w:t>
      </w:r>
      <w:proofErr w:type="spellEnd"/>
    </w:p>
    <w:p w:rsidR="00625BA8" w:rsidRDefault="00625BA8" w:rsidP="00625BA8">
      <w:pPr>
        <w:pStyle w:val="Normal1"/>
      </w:pPr>
      <w:r>
        <w:rPr>
          <w:highlight w:val="lightGray"/>
        </w:rPr>
        <w:t xml:space="preserve">96 </w:t>
      </w:r>
      <w:proofErr w:type="spellStart"/>
      <w:r>
        <w:rPr>
          <w:highlight w:val="lightGray"/>
        </w:rPr>
        <w:t>tabliet</w:t>
      </w:r>
      <w:proofErr w:type="spellEnd"/>
    </w:p>
    <w:p w:rsidR="00625BA8" w:rsidRDefault="00625BA8" w:rsidP="00625BA8">
      <w:pPr>
        <w:pStyle w:val="Normal1"/>
      </w:pPr>
      <w:r>
        <w:rPr>
          <w:highlight w:val="lightGray"/>
        </w:rPr>
        <w:t xml:space="preserve">120 </w:t>
      </w:r>
      <w:proofErr w:type="spellStart"/>
      <w:r>
        <w:rPr>
          <w:highlight w:val="lightGray"/>
        </w:rPr>
        <w:t>tabliet</w:t>
      </w:r>
      <w:proofErr w:type="spellEnd"/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625BA8" w:rsidRDefault="00625BA8" w:rsidP="00625BA8"/>
    <w:p w:rsidR="00625BA8" w:rsidRDefault="00625BA8" w:rsidP="00625BA8">
      <w:r w:rsidRPr="00482C58">
        <w:rPr>
          <w:highlight w:val="lightGray"/>
        </w:rPr>
        <w:t>Psy</w:t>
      </w: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625BA8" w:rsidRDefault="00625BA8" w:rsidP="00625BA8"/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625BA8" w:rsidRDefault="00625BA8" w:rsidP="00625BA8"/>
    <w:p w:rsidR="00625BA8" w:rsidRDefault="00625BA8" w:rsidP="00625BA8">
      <w:pPr>
        <w:ind w:left="0" w:firstLine="0"/>
      </w:pPr>
      <w:r>
        <w:t xml:space="preserve">Perorálne. </w:t>
      </w:r>
    </w:p>
    <w:p w:rsidR="00625BA8" w:rsidRDefault="00625BA8" w:rsidP="00625BA8">
      <w:r>
        <w:t>Pred použitím si prečítajte písomnú informáciu pre používateľov.</w:t>
      </w: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625BA8" w:rsidRDefault="00625BA8" w:rsidP="00625BA8">
      <w:pPr>
        <w:ind w:left="0" w:firstLine="0"/>
      </w:pP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625BA8" w:rsidRPr="00C44D51" w:rsidRDefault="00625BA8" w:rsidP="00625BA8">
      <w:pPr>
        <w:rPr>
          <w:bCs/>
        </w:rPr>
      </w:pPr>
    </w:p>
    <w:p w:rsidR="00625BA8" w:rsidRDefault="00625BA8" w:rsidP="00625BA8">
      <w:r w:rsidRPr="00482C58">
        <w:rPr>
          <w:highlight w:val="lightGray"/>
        </w:rPr>
        <w:t>Pred použitím si prečítajte písomnú informáciu pre používateľov.</w:t>
      </w: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072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072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625BA8" w:rsidRDefault="00625BA8" w:rsidP="00625BA8"/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625BA8" w:rsidRDefault="00625BA8" w:rsidP="00625BA8"/>
    <w:p w:rsidR="00625BA8" w:rsidRDefault="00625BA8" w:rsidP="00625BA8">
      <w:r>
        <w:t>Likvidácia: prečítajte si písomnú informáciu pre používateľov.</w:t>
      </w: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</w:t>
            </w:r>
            <w:r>
              <w:rPr>
                <w:b/>
                <w:bCs/>
              </w:rPr>
              <w:lastRenderedPageBreak/>
              <w:t xml:space="preserve">TÝKAJÚCE SA DODÁVKY A POUŽITIA, ak sa uplatňujú </w:t>
            </w:r>
          </w:p>
        </w:tc>
      </w:tr>
    </w:tbl>
    <w:p w:rsidR="00625BA8" w:rsidRDefault="00625BA8" w:rsidP="00625BA8"/>
    <w:p w:rsidR="00625BA8" w:rsidRDefault="00625BA8" w:rsidP="00625BA8">
      <w:r>
        <w:t>Len pre zvieratá. Výdaj lieku je viazaný  na veterinárny predpis.</w:t>
      </w: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625BA8" w:rsidRDefault="00625BA8" w:rsidP="00625BA8"/>
    <w:p w:rsidR="00625BA8" w:rsidRDefault="00625BA8" w:rsidP="00625BA8">
      <w:r>
        <w:t>Uchovávať mimo dohľadu a dosahu detí.</w:t>
      </w: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625BA8" w:rsidRDefault="00625BA8" w:rsidP="00625BA8"/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CEVA ANIMAL HEALTH SLOVAKIA, s.r.o., 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Prievozská 5434/6A, 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821 09 Bratislava - mestská časť Ružinov, </w:t>
      </w:r>
    </w:p>
    <w:p w:rsidR="00921D36" w:rsidRP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>Slovenská republika</w:t>
      </w:r>
    </w:p>
    <w:p w:rsidR="00625BA8" w:rsidRDefault="00625BA8" w:rsidP="00625BA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625BA8" w:rsidRDefault="00625BA8" w:rsidP="00625BA8"/>
    <w:p w:rsidR="00625BA8" w:rsidRDefault="00625BA8" w:rsidP="00625BA8">
      <w:r>
        <w:t>96/065/DC/19-S</w:t>
      </w:r>
    </w:p>
    <w:p w:rsidR="00625BA8" w:rsidRDefault="00625BA8" w:rsidP="00625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25BA8" w:rsidTr="00AA357E">
        <w:tc>
          <w:tcPr>
            <w:tcW w:w="907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625BA8" w:rsidRDefault="00625BA8" w:rsidP="00625BA8">
      <w:pPr>
        <w:rPr>
          <w:b/>
        </w:rPr>
      </w:pPr>
    </w:p>
    <w:p w:rsidR="00625BA8" w:rsidRDefault="00625BA8" w:rsidP="00625BA8">
      <w:r>
        <w:t>Šarža&gt;</w:t>
      </w:r>
      <w:r>
        <w:rPr>
          <w:szCs w:val="22"/>
        </w:rPr>
        <w:t>&lt;</w:t>
      </w: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&gt; </w:t>
      </w:r>
      <w:r>
        <w:t>{číslo}</w:t>
      </w:r>
    </w:p>
    <w:p w:rsidR="00625BA8" w:rsidRDefault="00625BA8" w:rsidP="00625BA8"/>
    <w:p w:rsidR="00625BA8" w:rsidRDefault="00625BA8" w:rsidP="00625BA8">
      <w:r>
        <w:br w:type="page"/>
      </w:r>
    </w:p>
    <w:p w:rsidR="00625BA8" w:rsidRDefault="00625BA8" w:rsidP="00625BA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5BA8" w:rsidTr="00AA357E">
        <w:tc>
          <w:tcPr>
            <w:tcW w:w="0" w:type="auto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BLISTROCH {DRUH/TYP}</w:t>
            </w:r>
          </w:p>
        </w:tc>
      </w:tr>
    </w:tbl>
    <w:p w:rsidR="00625BA8" w:rsidRDefault="00625BA8" w:rsidP="00625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25BA8" w:rsidTr="00AA357E">
        <w:tc>
          <w:tcPr>
            <w:tcW w:w="921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625BA8" w:rsidRDefault="00625BA8" w:rsidP="00625BA8">
      <w:pPr>
        <w:rPr>
          <w:bCs/>
        </w:rPr>
      </w:pPr>
    </w:p>
    <w:p w:rsidR="00625BA8" w:rsidRDefault="00625BA8" w:rsidP="00625BA8">
      <w:proofErr w:type="spellStart"/>
      <w:r w:rsidRPr="001258EF">
        <w:t>Firodyl</w:t>
      </w:r>
      <w:proofErr w:type="spellEnd"/>
      <w:r w:rsidRPr="001258EF">
        <w:t xml:space="preserve"> 250 mg žuvacie tablety pre psov</w:t>
      </w:r>
    </w:p>
    <w:p w:rsidR="00625BA8" w:rsidRDefault="00625BA8" w:rsidP="00625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25BA8" w:rsidTr="00AA357E">
        <w:tc>
          <w:tcPr>
            <w:tcW w:w="907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NÁZOV DRŽITEĽA ROZHODNUTIA O REGISTRÁCII </w:t>
            </w:r>
          </w:p>
        </w:tc>
      </w:tr>
    </w:tbl>
    <w:p w:rsidR="00625BA8" w:rsidRDefault="00625BA8" w:rsidP="00625BA8">
      <w:pPr>
        <w:ind w:left="0" w:firstLine="0"/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58F2CBF" wp14:editId="30B45FA6">
            <wp:simplePos x="0" y="0"/>
            <wp:positionH relativeFrom="margin">
              <wp:posOffset>243205</wp:posOffset>
            </wp:positionH>
            <wp:positionV relativeFrom="paragraph">
              <wp:posOffset>127000</wp:posOffset>
            </wp:positionV>
            <wp:extent cx="875665" cy="875665"/>
            <wp:effectExtent l="0" t="0" r="635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BA8" w:rsidRDefault="00625BA8" w:rsidP="00625BA8"/>
    <w:p w:rsidR="00625BA8" w:rsidRDefault="00625BA8" w:rsidP="00625BA8"/>
    <w:p w:rsidR="00625BA8" w:rsidRDefault="00625BA8" w:rsidP="00625BA8"/>
    <w:p w:rsidR="00625BA8" w:rsidRDefault="00625BA8" w:rsidP="00625BA8"/>
    <w:p w:rsidR="00625BA8" w:rsidRDefault="00625BA8" w:rsidP="00625BA8">
      <w:pPr>
        <w:ind w:left="0" w:firstLine="0"/>
      </w:pPr>
    </w:p>
    <w:p w:rsidR="00625BA8" w:rsidRDefault="00625BA8" w:rsidP="00625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25BA8" w:rsidTr="00AA357E">
        <w:tc>
          <w:tcPr>
            <w:tcW w:w="907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625BA8" w:rsidRDefault="00625BA8" w:rsidP="00625BA8"/>
    <w:p w:rsidR="00625BA8" w:rsidRDefault="00625BA8" w:rsidP="00625BA8">
      <w:r>
        <w:t>EXP {mesiac/rok}</w:t>
      </w:r>
    </w:p>
    <w:p w:rsidR="00625BA8" w:rsidRDefault="00625BA8" w:rsidP="00625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25BA8" w:rsidTr="00AA357E">
        <w:tc>
          <w:tcPr>
            <w:tcW w:w="907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625BA8" w:rsidRDefault="00625BA8" w:rsidP="00625BA8">
      <w:pPr>
        <w:ind w:left="0" w:firstLine="0"/>
      </w:pPr>
    </w:p>
    <w:p w:rsidR="00625BA8" w:rsidRDefault="00625BA8" w:rsidP="00625BA8">
      <w:r>
        <w:t>&lt;Šarža&gt;</w:t>
      </w:r>
      <w:r>
        <w:rPr>
          <w:szCs w:val="22"/>
        </w:rPr>
        <w:t>&lt;</w:t>
      </w: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&gt; </w:t>
      </w:r>
      <w:r>
        <w:t>{číslo}</w:t>
      </w:r>
    </w:p>
    <w:p w:rsidR="00625BA8" w:rsidRDefault="00625BA8" w:rsidP="00625BA8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25BA8" w:rsidTr="00AA357E">
        <w:tc>
          <w:tcPr>
            <w:tcW w:w="9250" w:type="dxa"/>
          </w:tcPr>
          <w:p w:rsidR="00625BA8" w:rsidRDefault="00625BA8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625BA8" w:rsidRDefault="00625BA8" w:rsidP="00625BA8">
      <w:pPr>
        <w:rPr>
          <w:bCs/>
        </w:rPr>
      </w:pPr>
    </w:p>
    <w:p w:rsidR="00625BA8" w:rsidRDefault="00625BA8" w:rsidP="00625BA8">
      <w:r>
        <w:t>Len pre zvieratá.</w:t>
      </w:r>
    </w:p>
    <w:p w:rsidR="00625BA8" w:rsidRDefault="00625BA8" w:rsidP="00625BA8"/>
    <w:p w:rsidR="00625BA8" w:rsidRPr="00615C4A" w:rsidRDefault="00625BA8" w:rsidP="00625BA8">
      <w:pPr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:rsidR="00625BA8" w:rsidRPr="00625BA8" w:rsidRDefault="00625BA8" w:rsidP="00625BA8">
      <w:pPr>
        <w:jc w:val="center"/>
        <w:rPr>
          <w:b/>
        </w:rPr>
      </w:pPr>
      <w:proofErr w:type="spellStart"/>
      <w:r w:rsidRPr="00625BA8">
        <w:rPr>
          <w:b/>
        </w:rPr>
        <w:t>Firodyl</w:t>
      </w:r>
      <w:proofErr w:type="spellEnd"/>
      <w:r w:rsidRPr="00625BA8">
        <w:rPr>
          <w:b/>
        </w:rPr>
        <w:t xml:space="preserve"> 250 mg žuvacie tablety pre psov</w:t>
      </w:r>
    </w:p>
    <w:p w:rsidR="00625BA8" w:rsidRDefault="00625BA8" w:rsidP="00625BA8"/>
    <w:p w:rsidR="00625BA8" w:rsidRDefault="00625BA8" w:rsidP="00625BA8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625BA8" w:rsidRDefault="00625BA8" w:rsidP="00625BA8"/>
    <w:p w:rsidR="00625BA8" w:rsidRDefault="00625BA8" w:rsidP="00625BA8">
      <w:pPr>
        <w:rPr>
          <w:b/>
          <w:bCs/>
          <w:u w:val="single"/>
        </w:rPr>
      </w:pPr>
      <w:r>
        <w:rPr>
          <w:u w:val="single"/>
        </w:rPr>
        <w:t>Držiteľ rozhodnutia o registrácii</w:t>
      </w:r>
      <w:r>
        <w:rPr>
          <w:b/>
          <w:bCs/>
          <w:u w:val="single"/>
        </w:rPr>
        <w:t>: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CEVA ANIMAL HEALTH SLOVAKIA, s.r.o., 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Prievozská 5434/6A, </w:t>
      </w:r>
    </w:p>
    <w:p w:rsid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 xml:space="preserve">821 09 Bratislava - mestská časť Ružinov, </w:t>
      </w:r>
    </w:p>
    <w:p w:rsidR="00921D36" w:rsidRPr="00921D36" w:rsidRDefault="00921D36" w:rsidP="00921D36">
      <w:pPr>
        <w:ind w:left="0" w:firstLine="0"/>
        <w:rPr>
          <w:lang w:bidi="sk-SK"/>
        </w:rPr>
      </w:pPr>
      <w:r w:rsidRPr="00921D36">
        <w:rPr>
          <w:lang w:bidi="sk-SK"/>
        </w:rPr>
        <w:t>Slovenská republika</w:t>
      </w:r>
    </w:p>
    <w:p w:rsidR="00625BA8" w:rsidRDefault="00625BA8" w:rsidP="00625BA8">
      <w:pPr>
        <w:rPr>
          <w:b/>
          <w:bCs/>
          <w:u w:val="single"/>
        </w:rPr>
      </w:pPr>
    </w:p>
    <w:p w:rsidR="00625BA8" w:rsidRDefault="00625BA8" w:rsidP="00625BA8">
      <w:pPr>
        <w:rPr>
          <w:u w:val="single"/>
        </w:rPr>
      </w:pPr>
      <w:r>
        <w:rPr>
          <w:u w:val="single"/>
        </w:rPr>
        <w:t>Výrobca zodpovedný za uvoľnenie šarže:</w:t>
      </w:r>
    </w:p>
    <w:p w:rsidR="00625BA8" w:rsidRPr="00502BA8" w:rsidRDefault="00625BA8" w:rsidP="00625BA8">
      <w:pPr>
        <w:pStyle w:val="Normal1"/>
        <w:rPr>
          <w:lang w:val="fr-FR"/>
        </w:rPr>
      </w:pPr>
      <w:r w:rsidRPr="00502BA8">
        <w:rPr>
          <w:lang w:val="fr-FR"/>
        </w:rPr>
        <w:t>Ceva Santé Animale</w:t>
      </w:r>
    </w:p>
    <w:p w:rsidR="00625BA8" w:rsidRPr="00502BA8" w:rsidRDefault="00625BA8" w:rsidP="00625BA8">
      <w:pPr>
        <w:pStyle w:val="Normal1"/>
        <w:rPr>
          <w:lang w:val="fr-FR"/>
        </w:rPr>
      </w:pPr>
      <w:r w:rsidRPr="00502BA8">
        <w:rPr>
          <w:lang w:val="fr-FR"/>
        </w:rPr>
        <w:t>Boulevard de la communication</w:t>
      </w:r>
    </w:p>
    <w:p w:rsidR="00625BA8" w:rsidRDefault="00625BA8" w:rsidP="00625BA8">
      <w:pPr>
        <w:pStyle w:val="Normal1"/>
      </w:pPr>
      <w:r>
        <w:t xml:space="preserve">Zone </w:t>
      </w:r>
      <w:proofErr w:type="spellStart"/>
      <w:r>
        <w:t>Autoroutière</w:t>
      </w:r>
      <w:proofErr w:type="spellEnd"/>
    </w:p>
    <w:p w:rsidR="00625BA8" w:rsidRDefault="00625BA8" w:rsidP="00625BA8">
      <w:pPr>
        <w:pStyle w:val="Normal1"/>
      </w:pPr>
      <w:r>
        <w:t>53950 LOUVERNE</w:t>
      </w:r>
    </w:p>
    <w:p w:rsidR="00625BA8" w:rsidRDefault="00625BA8" w:rsidP="00625BA8">
      <w:pPr>
        <w:pStyle w:val="Normal1"/>
      </w:pPr>
      <w:r>
        <w:t>FRANCÚZSKO</w:t>
      </w:r>
    </w:p>
    <w:p w:rsidR="00625BA8" w:rsidRDefault="00625BA8" w:rsidP="00625BA8">
      <w:pPr>
        <w:ind w:left="0" w:firstLine="0"/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625BA8" w:rsidRDefault="00625BA8" w:rsidP="00625BA8"/>
    <w:p w:rsidR="00625BA8" w:rsidRDefault="00625BA8" w:rsidP="00625BA8">
      <w:proofErr w:type="spellStart"/>
      <w:r w:rsidRPr="001258EF">
        <w:t>Firodyl</w:t>
      </w:r>
      <w:proofErr w:type="spellEnd"/>
      <w:r w:rsidRPr="001258EF">
        <w:t xml:space="preserve"> 250 mg žuvacie tablety pre psov</w:t>
      </w:r>
    </w:p>
    <w:p w:rsidR="00625BA8" w:rsidRDefault="00625BA8" w:rsidP="00625BA8"/>
    <w:p w:rsidR="00625BA8" w:rsidRDefault="00625BA8" w:rsidP="00625BA8">
      <w:pPr>
        <w:rPr>
          <w:rFonts w:ascii="Tahoma" w:hAnsi="Tahoma" w:cs="Tahoma"/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625BA8" w:rsidRDefault="00625BA8" w:rsidP="00625BA8"/>
    <w:p w:rsidR="00625BA8" w:rsidRDefault="00625BA8" w:rsidP="00625BA8">
      <w:r w:rsidRPr="00741522">
        <w:t xml:space="preserve">Každá tableta obsahuje: </w:t>
      </w:r>
    </w:p>
    <w:p w:rsidR="00625BA8" w:rsidRDefault="00625BA8" w:rsidP="00625BA8">
      <w:pPr>
        <w:rPr>
          <w:b/>
        </w:rPr>
      </w:pPr>
      <w:r>
        <w:rPr>
          <w:b/>
        </w:rPr>
        <w:t>Účinná látka:</w:t>
      </w:r>
    </w:p>
    <w:p w:rsidR="00625BA8" w:rsidRDefault="00625BA8" w:rsidP="00625BA8">
      <w:proofErr w:type="spellStart"/>
      <w:r w:rsidRPr="00741522">
        <w:t>Firocoxib</w:t>
      </w:r>
      <w:proofErr w:type="spellEnd"/>
      <w:r>
        <w:t xml:space="preserve">                                  250 mg</w:t>
      </w:r>
    </w:p>
    <w:p w:rsidR="00625BA8" w:rsidRDefault="00625BA8" w:rsidP="00625BA8"/>
    <w:p w:rsidR="00625BA8" w:rsidRDefault="00625BA8" w:rsidP="00625BA8">
      <w:r>
        <w:t>Béžové až svetlo hnedé, okrúhle, konvexné tablety s deliacou ryhou.</w:t>
      </w:r>
    </w:p>
    <w:p w:rsidR="00625BA8" w:rsidRDefault="00625BA8" w:rsidP="00625BA8">
      <w:pPr>
        <w:jc w:val="both"/>
        <w:rPr>
          <w:szCs w:val="22"/>
        </w:rPr>
      </w:pPr>
      <w:r>
        <w:rPr>
          <w:szCs w:val="22"/>
        </w:rPr>
        <w:t>Tabletu je možné rozdeliť na štyri rovnaké časti.</w:t>
      </w:r>
    </w:p>
    <w:p w:rsidR="00625BA8" w:rsidRPr="00C44D51" w:rsidRDefault="00625BA8" w:rsidP="00625BA8">
      <w:pPr>
        <w:ind w:left="0" w:firstLine="0"/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625BA8" w:rsidRDefault="00625BA8" w:rsidP="00625BA8">
      <w:pPr>
        <w:rPr>
          <w:b/>
          <w:bCs/>
        </w:rPr>
      </w:pPr>
    </w:p>
    <w:p w:rsidR="00625BA8" w:rsidRDefault="00625BA8" w:rsidP="00625BA8">
      <w:r>
        <w:t xml:space="preserve">Na zmiernenie bolesti a zápalu spojeného s </w:t>
      </w:r>
      <w:proofErr w:type="spellStart"/>
      <w:r>
        <w:t>osteoartritídou</w:t>
      </w:r>
      <w:proofErr w:type="spellEnd"/>
      <w:r>
        <w:t xml:space="preserve"> u psov.</w:t>
      </w:r>
    </w:p>
    <w:p w:rsidR="00625BA8" w:rsidRPr="001258EF" w:rsidRDefault="00625BA8" w:rsidP="00625BA8">
      <w:pPr>
        <w:ind w:left="0" w:firstLine="0"/>
      </w:pPr>
      <w:r>
        <w:t>Na zmiernenie bolesti pooperačných stavov a zápalu spojeného s operáciou mäkkých tkanív, ortopedickými operáciami a dentálnymi chirurgickými zákrokmi u psov.</w:t>
      </w:r>
    </w:p>
    <w:p w:rsidR="00625BA8" w:rsidRPr="00C44D51" w:rsidRDefault="00625BA8" w:rsidP="00625BA8">
      <w:pPr>
        <w:ind w:left="0" w:firstLine="0"/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ind w:left="0" w:firstLine="0"/>
      </w:pPr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625BA8" w:rsidRDefault="00625BA8" w:rsidP="00625BA8">
      <w:pPr>
        <w:ind w:left="0" w:firstLine="0"/>
      </w:pPr>
      <w:r>
        <w:t>Nepoužívať u zvierat mladších ako 10 týždňov a so živou hmotnosťou menej ako 3 kg.</w:t>
      </w:r>
    </w:p>
    <w:p w:rsidR="00625BA8" w:rsidRDefault="00625BA8" w:rsidP="00625BA8">
      <w:pPr>
        <w:ind w:left="0" w:firstLine="0"/>
      </w:pPr>
      <w:r>
        <w:t xml:space="preserve">Nepoužívať u zvierat trpiacich </w:t>
      </w:r>
      <w:proofErr w:type="spellStart"/>
      <w:r>
        <w:t>gastrointestinálnym</w:t>
      </w:r>
      <w:proofErr w:type="spellEnd"/>
      <w:r>
        <w:t xml:space="preserve"> krvácaním, krvnou </w:t>
      </w:r>
      <w:proofErr w:type="spellStart"/>
      <w:r>
        <w:t>dyskráziou</w:t>
      </w:r>
      <w:proofErr w:type="spellEnd"/>
    </w:p>
    <w:p w:rsidR="00625BA8" w:rsidRDefault="00625BA8" w:rsidP="00625BA8">
      <w:pPr>
        <w:ind w:left="0" w:firstLine="0"/>
      </w:pPr>
      <w:r>
        <w:t xml:space="preserve">alebo </w:t>
      </w:r>
      <w:proofErr w:type="spellStart"/>
      <w:r>
        <w:t>hemoragickými</w:t>
      </w:r>
      <w:proofErr w:type="spellEnd"/>
      <w:r>
        <w:t xml:space="preserve"> ochoreniami.</w:t>
      </w:r>
    </w:p>
    <w:p w:rsidR="00625BA8" w:rsidRDefault="00625BA8" w:rsidP="00625BA8">
      <w:pPr>
        <w:ind w:left="0" w:firstLine="0"/>
      </w:pPr>
      <w:r>
        <w:t xml:space="preserve">Nepoužívať súčasne s </w:t>
      </w:r>
      <w:proofErr w:type="spellStart"/>
      <w:r>
        <w:t>kortikosteroidmi</w:t>
      </w:r>
      <w:proofErr w:type="spellEnd"/>
      <w:r>
        <w:t xml:space="preserve"> a inými </w:t>
      </w:r>
      <w:proofErr w:type="spellStart"/>
      <w:r>
        <w:t>NSAIDs</w:t>
      </w:r>
      <w:proofErr w:type="spellEnd"/>
      <w:r>
        <w:t>.</w:t>
      </w:r>
    </w:p>
    <w:p w:rsidR="00625BA8" w:rsidRDefault="00625BA8" w:rsidP="00625BA8">
      <w:pPr>
        <w:ind w:left="0" w:firstLine="0"/>
      </w:pPr>
      <w:r>
        <w:t>Nepoužívať v prípadoch známej precitlivenosti na účinnú látku, alebo na niektorú z pomocných látok.</w:t>
      </w:r>
    </w:p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625BA8" w:rsidRDefault="00625BA8" w:rsidP="00625BA8">
      <w:pPr>
        <w:rPr>
          <w:bCs/>
        </w:rPr>
      </w:pPr>
    </w:p>
    <w:p w:rsidR="00625BA8" w:rsidRPr="00043568" w:rsidRDefault="00625BA8" w:rsidP="00625BA8">
      <w:pPr>
        <w:ind w:left="0" w:firstLine="0"/>
        <w:rPr>
          <w:szCs w:val="22"/>
        </w:rPr>
      </w:pPr>
      <w:r w:rsidRPr="00043568">
        <w:rPr>
          <w:szCs w:val="22"/>
        </w:rPr>
        <w:t>Príležitostne bolo zaznamenané zvracanie a hnačka. Tieto účinky sú v zásade prechodného charakteru</w:t>
      </w:r>
    </w:p>
    <w:p w:rsidR="00625BA8" w:rsidRPr="00043568" w:rsidRDefault="00625BA8" w:rsidP="00625BA8">
      <w:pPr>
        <w:ind w:left="0" w:firstLine="0"/>
        <w:rPr>
          <w:szCs w:val="22"/>
        </w:rPr>
      </w:pPr>
      <w:r w:rsidRPr="00043568">
        <w:rPr>
          <w:szCs w:val="22"/>
        </w:rPr>
        <w:t>a po zastavení liečby sa ukončia.</w:t>
      </w:r>
      <w:r w:rsidRPr="00043568">
        <w:t xml:space="preserve"> </w:t>
      </w:r>
      <w:r w:rsidRPr="00043568">
        <w:rPr>
          <w:szCs w:val="22"/>
        </w:rPr>
        <w:t>U psov, ktorým bola podaná odporúčaná liečebná dávka, boli vo veľmi zriedkavých prípadoch hlásené poruchy obličiek a / alebo pečene. U liečených psov boli zriedkavo hlásené poruchy nervového systému.</w:t>
      </w:r>
    </w:p>
    <w:p w:rsidR="00625BA8" w:rsidRPr="00043568" w:rsidRDefault="00625BA8" w:rsidP="00625BA8">
      <w:pPr>
        <w:ind w:left="0" w:firstLine="0"/>
        <w:rPr>
          <w:szCs w:val="22"/>
        </w:rPr>
      </w:pPr>
      <w:r w:rsidRPr="00043568">
        <w:rPr>
          <w:szCs w:val="22"/>
        </w:rPr>
        <w:t>Ak sa objavia nežiaduce účinky ako zvracanie, opakovaná hnačka, prítomnosť krvi vo výkaloch, náhla</w:t>
      </w:r>
    </w:p>
    <w:p w:rsidR="00625BA8" w:rsidRPr="00043568" w:rsidRDefault="00625BA8" w:rsidP="00625BA8">
      <w:pPr>
        <w:ind w:left="0" w:firstLine="0"/>
        <w:rPr>
          <w:szCs w:val="22"/>
        </w:rPr>
      </w:pPr>
      <w:r w:rsidRPr="00043568">
        <w:rPr>
          <w:szCs w:val="22"/>
        </w:rPr>
        <w:t xml:space="preserve">strata hmotnosti, </w:t>
      </w:r>
      <w:proofErr w:type="spellStart"/>
      <w:r w:rsidRPr="00043568">
        <w:rPr>
          <w:szCs w:val="22"/>
        </w:rPr>
        <w:t>anorexia</w:t>
      </w:r>
      <w:proofErr w:type="spellEnd"/>
      <w:r w:rsidRPr="00043568">
        <w:rPr>
          <w:szCs w:val="22"/>
        </w:rPr>
        <w:t>, letargia, zníženie obličkových a pečeňových biochemických parametrov,</w:t>
      </w:r>
    </w:p>
    <w:p w:rsidR="00625BA8" w:rsidRDefault="00625BA8" w:rsidP="00625BA8">
      <w:pPr>
        <w:ind w:left="0" w:firstLine="0"/>
        <w:rPr>
          <w:szCs w:val="22"/>
        </w:rPr>
      </w:pPr>
      <w:r w:rsidRPr="00043568">
        <w:rPr>
          <w:szCs w:val="22"/>
        </w:rPr>
        <w:lastRenderedPageBreak/>
        <w:t xml:space="preserve">používanie lieku je potrebné zastaviť a vyhľadať pomoc </w:t>
      </w:r>
      <w:r>
        <w:rPr>
          <w:szCs w:val="22"/>
        </w:rPr>
        <w:t>veterinárneho lekára</w:t>
      </w:r>
      <w:r w:rsidRPr="00043568">
        <w:rPr>
          <w:szCs w:val="22"/>
        </w:rPr>
        <w:t xml:space="preserve">. </w:t>
      </w:r>
      <w:r>
        <w:rPr>
          <w:szCs w:val="22"/>
        </w:rPr>
        <w:t>Tak ako pri iných NSAID sa môžu v</w:t>
      </w:r>
      <w:r w:rsidRPr="00043568">
        <w:rPr>
          <w:szCs w:val="22"/>
        </w:rPr>
        <w:t xml:space="preserve">yskytnúť </w:t>
      </w:r>
      <w:r>
        <w:rPr>
          <w:szCs w:val="22"/>
        </w:rPr>
        <w:t xml:space="preserve">závažné nepriaznivé účinky, ktoré vo </w:t>
      </w:r>
      <w:r w:rsidRPr="00043568">
        <w:rPr>
          <w:szCs w:val="22"/>
        </w:rPr>
        <w:t>veľmi zriedkavých prípadoch môžu byť smrteľné.</w:t>
      </w:r>
    </w:p>
    <w:p w:rsidR="00625BA8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menej časté (u viac ako 1 ale menej ako 10 z 1 000 liečených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625BA8" w:rsidRDefault="00625BA8" w:rsidP="00625BA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  <w:r w:rsidRPr="0080396E">
        <w:rPr>
          <w:szCs w:val="22"/>
        </w:rPr>
        <w:t xml:space="preserve"> </w:t>
      </w:r>
    </w:p>
    <w:p w:rsidR="00625BA8" w:rsidRDefault="00625BA8" w:rsidP="00625BA8">
      <w:pPr>
        <w:ind w:left="0" w:firstLine="0"/>
        <w:rPr>
          <w:bCs/>
        </w:rPr>
      </w:pPr>
    </w:p>
    <w:p w:rsidR="00625BA8" w:rsidRDefault="00625BA8" w:rsidP="00625BA8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625BA8" w:rsidRDefault="00625BA8" w:rsidP="00625BA8"/>
    <w:p w:rsidR="00625BA8" w:rsidRPr="00615C4A" w:rsidRDefault="00625BA8" w:rsidP="00625BA8">
      <w:pPr>
        <w:ind w:left="0" w:firstLine="0"/>
        <w:rPr>
          <w:i/>
          <w:iCs/>
          <w:color w:val="FF0000"/>
          <w:lang w:val="en-GB"/>
        </w:rPr>
      </w:pPr>
      <w:r>
        <w:rPr>
          <w:szCs w:val="22"/>
        </w:rPr>
        <w:t xml:space="preserve">Prípadne nežiaduce účinky môžete nahlásiť národnej kompetentnej autorite </w:t>
      </w:r>
      <w:r w:rsidRPr="0018625C">
        <w:rPr>
          <w:szCs w:val="22"/>
        </w:rPr>
        <w:t>{</w:t>
      </w:r>
      <w:r>
        <w:rPr>
          <w:szCs w:val="22"/>
        </w:rPr>
        <w:t>www.uskvbl.sk}</w:t>
      </w:r>
    </w:p>
    <w:p w:rsidR="00625BA8" w:rsidRPr="00A64C64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625BA8" w:rsidRDefault="00625BA8" w:rsidP="00625BA8">
      <w:pPr>
        <w:rPr>
          <w:b/>
          <w:bCs/>
        </w:rPr>
      </w:pPr>
    </w:p>
    <w:p w:rsidR="00625BA8" w:rsidRPr="001258EF" w:rsidRDefault="00625BA8" w:rsidP="00625BA8">
      <w:pPr>
        <w:rPr>
          <w:bCs/>
        </w:rPr>
      </w:pPr>
      <w:r w:rsidRPr="001258EF">
        <w:rPr>
          <w:bCs/>
        </w:rPr>
        <w:t>Psy.</w:t>
      </w:r>
    </w:p>
    <w:p w:rsidR="00625BA8" w:rsidRDefault="00625BA8" w:rsidP="00625BA8">
      <w:pPr>
        <w:ind w:left="0" w:firstLine="0"/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625BA8" w:rsidRDefault="00625BA8" w:rsidP="00625BA8">
      <w:pPr>
        <w:rPr>
          <w:bCs/>
        </w:rPr>
      </w:pPr>
    </w:p>
    <w:p w:rsidR="00625BA8" w:rsidRPr="003843CD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Perorálne.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Podať 5 mg/kg ž.hm. jedenkrát denne ako je uvedené v tabuľke. </w:t>
      </w:r>
    </w:p>
    <w:p w:rsidR="00625BA8" w:rsidRDefault="00625BA8" w:rsidP="00625BA8">
      <w:pPr>
        <w:pStyle w:val="Default"/>
        <w:rPr>
          <w:sz w:val="22"/>
          <w:szCs w:val="22"/>
        </w:rPr>
      </w:pPr>
      <w:r w:rsidRPr="003843CD">
        <w:rPr>
          <w:sz w:val="22"/>
          <w:szCs w:val="22"/>
        </w:rPr>
        <w:t>Na zmiernenie bolesti pooperačných stavov a zápalu môžu byť zvieratám podávané dávky približ</w:t>
      </w:r>
      <w:r>
        <w:rPr>
          <w:sz w:val="22"/>
          <w:szCs w:val="22"/>
        </w:rPr>
        <w:t xml:space="preserve">ne 2 hodiny pred </w:t>
      </w:r>
      <w:r w:rsidRPr="003843CD">
        <w:rPr>
          <w:sz w:val="22"/>
          <w:szCs w:val="22"/>
        </w:rPr>
        <w:t xml:space="preserve"> zákrokom, </w:t>
      </w:r>
      <w:r>
        <w:rPr>
          <w:sz w:val="22"/>
          <w:szCs w:val="22"/>
        </w:rPr>
        <w:t>po dobu</w:t>
      </w:r>
      <w:r w:rsidRPr="003843CD">
        <w:rPr>
          <w:sz w:val="22"/>
          <w:szCs w:val="22"/>
        </w:rPr>
        <w:t xml:space="preserve"> 3 </w:t>
      </w:r>
      <w:r>
        <w:rPr>
          <w:sz w:val="22"/>
          <w:szCs w:val="22"/>
        </w:rPr>
        <w:t>dní, ak je to potrebné.</w:t>
      </w:r>
    </w:p>
    <w:p w:rsidR="00625BA8" w:rsidRDefault="00625BA8" w:rsidP="00625BA8">
      <w:pPr>
        <w:ind w:left="0" w:firstLine="0"/>
        <w:rPr>
          <w:szCs w:val="22"/>
        </w:rPr>
      </w:pPr>
      <w:r w:rsidRPr="00967C33">
        <w:rPr>
          <w:szCs w:val="22"/>
        </w:rPr>
        <w:t xml:space="preserve">Po ortopedickej chirurgii a v závislosti od pozorovanej odpovede sa v liečbe s použitím rovnakého denného dávkovacieho režimu môže pokračovať po prvých 3 dňoch </w:t>
      </w:r>
      <w:r>
        <w:rPr>
          <w:szCs w:val="22"/>
        </w:rPr>
        <w:t>podľa zváženia</w:t>
      </w:r>
      <w:r w:rsidRPr="00967C33">
        <w:rPr>
          <w:szCs w:val="22"/>
        </w:rPr>
        <w:t xml:space="preserve"> ošetrujúceho veterinárneho lekára.</w:t>
      </w:r>
    </w:p>
    <w:p w:rsidR="00625BA8" w:rsidRDefault="00625BA8" w:rsidP="00625BA8">
      <w:pPr>
        <w:rPr>
          <w:szCs w:val="22"/>
        </w:rPr>
      </w:pPr>
    </w:p>
    <w:tbl>
      <w:tblPr>
        <w:tblW w:w="8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696"/>
        <w:gridCol w:w="1311"/>
        <w:gridCol w:w="1539"/>
        <w:gridCol w:w="469"/>
        <w:gridCol w:w="2382"/>
        <w:gridCol w:w="147"/>
      </w:tblGrid>
      <w:tr w:rsidR="00625BA8" w:rsidRPr="0040246C" w:rsidTr="00AA357E">
        <w:trPr>
          <w:gridAfter w:val="1"/>
          <w:wAfter w:w="147" w:type="dxa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A8" w:rsidRPr="00A80C22" w:rsidRDefault="00625BA8" w:rsidP="00AA357E">
            <w:pPr>
              <w:pStyle w:val="Normal1"/>
            </w:pPr>
            <w:proofErr w:type="spellStart"/>
            <w:r w:rsidRPr="00A80C22">
              <w:t>Živá</w:t>
            </w:r>
            <w:proofErr w:type="spellEnd"/>
            <w:r w:rsidRPr="00A80C22">
              <w:t xml:space="preserve"> </w:t>
            </w:r>
            <w:proofErr w:type="spellStart"/>
            <w:r w:rsidRPr="00A80C22">
              <w:t>hmotnost</w:t>
            </w:r>
            <w:proofErr w:type="spellEnd"/>
            <w:r w:rsidRPr="00A80C22">
              <w:t xml:space="preserve"> (kg)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5BA8" w:rsidRPr="00A80C22" w:rsidRDefault="00625BA8" w:rsidP="00AA357E">
            <w:pPr>
              <w:pStyle w:val="Normal1"/>
            </w:pPr>
            <w:proofErr w:type="spellStart"/>
            <w:r w:rsidRPr="00A80C22">
              <w:t>Počet</w:t>
            </w:r>
            <w:proofErr w:type="spellEnd"/>
            <w:r w:rsidRPr="00A80C22">
              <w:t xml:space="preserve"> tablet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5BA8" w:rsidRPr="00A80C22" w:rsidRDefault="00625BA8" w:rsidP="00AA357E">
            <w:pPr>
              <w:pStyle w:val="Normal1"/>
            </w:pPr>
            <w:r w:rsidRPr="00A80C22">
              <w:t xml:space="preserve">mg/kg - </w:t>
            </w:r>
            <w:proofErr w:type="spellStart"/>
            <w:r w:rsidRPr="00A80C22">
              <w:t>rozmedzie</w:t>
            </w:r>
            <w:proofErr w:type="spellEnd"/>
          </w:p>
        </w:tc>
      </w:tr>
      <w:tr w:rsidR="00625BA8" w:rsidRPr="001149D3" w:rsidTr="00AA357E">
        <w:trPr>
          <w:jc w:val="center"/>
        </w:trPr>
        <w:tc>
          <w:tcPr>
            <w:tcW w:w="21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5BA8" w:rsidRPr="001149D3" w:rsidRDefault="00625BA8" w:rsidP="00AA357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07" w:type="dxa"/>
            <w:gridSpan w:val="2"/>
            <w:tcBorders>
              <w:bottom w:val="single" w:sz="4" w:space="0" w:color="000000"/>
            </w:tcBorders>
          </w:tcPr>
          <w:p w:rsidR="00625BA8" w:rsidRPr="001149D3" w:rsidRDefault="00625BA8" w:rsidP="00AA357E">
            <w:pPr>
              <w:pStyle w:val="Normal1"/>
            </w:pPr>
            <w:r w:rsidRPr="001149D3">
              <w:t>62</w:t>
            </w:r>
            <w:r>
              <w:t>,</w:t>
            </w:r>
            <w:r w:rsidRPr="001149D3">
              <w:t>5 mg</w:t>
            </w:r>
          </w:p>
        </w:tc>
        <w:tc>
          <w:tcPr>
            <w:tcW w:w="2008" w:type="dxa"/>
            <w:gridSpan w:val="2"/>
            <w:tcBorders>
              <w:bottom w:val="single" w:sz="4" w:space="0" w:color="000000"/>
            </w:tcBorders>
          </w:tcPr>
          <w:p w:rsidR="00625BA8" w:rsidRPr="001149D3" w:rsidRDefault="00625BA8" w:rsidP="00AA357E">
            <w:pPr>
              <w:pStyle w:val="Normal1"/>
            </w:pPr>
            <w:r w:rsidRPr="001149D3">
              <w:t>250 mg</w:t>
            </w:r>
          </w:p>
        </w:tc>
        <w:tc>
          <w:tcPr>
            <w:tcW w:w="2529" w:type="dxa"/>
            <w:gridSpan w:val="2"/>
            <w:tcBorders>
              <w:bottom w:val="single" w:sz="4" w:space="0" w:color="000000"/>
            </w:tcBorders>
          </w:tcPr>
          <w:p w:rsidR="00625BA8" w:rsidRPr="001149D3" w:rsidRDefault="00625BA8" w:rsidP="00AA357E">
            <w:pPr>
              <w:pStyle w:val="Normal1"/>
              <w:rPr>
                <w:b/>
              </w:rPr>
            </w:pP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1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2 – 6</w:t>
            </w:r>
            <w:r>
              <w:t>,</w:t>
            </w:r>
            <w:r w:rsidRPr="0040246C">
              <w:t>2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5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 xml:space="preserve"> </w:t>
            </w:r>
            <w:r w:rsidRPr="00F70AC3">
              <w:t>0</w:t>
            </w:r>
            <w:r>
              <w:t xml:space="preserve"> – </w:t>
            </w:r>
            <w:r w:rsidRPr="00F70AC3">
              <w:t>9</w:t>
            </w:r>
            <w:r>
              <w:t>,</w:t>
            </w:r>
            <w:r w:rsidRPr="00F70AC3">
              <w:t>8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6</w:t>
            </w:r>
            <w:r>
              <w:t>,</w:t>
            </w:r>
            <w:r w:rsidRPr="0040246C">
              <w:t>3 – 9</w:t>
            </w:r>
            <w:r>
              <w:t>,</w:t>
            </w:r>
            <w:r w:rsidRPr="0040246C">
              <w:t>3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7</w:t>
            </w:r>
            <w:r>
              <w:t>,</w:t>
            </w:r>
            <w:r w:rsidRPr="00F70AC3">
              <w:t>4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9</w:t>
            </w:r>
            <w:r>
              <w:t>,</w:t>
            </w:r>
            <w:r w:rsidRPr="0040246C">
              <w:t>4 – 12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12</w:t>
            </w:r>
            <w:r>
              <w:t>,</w:t>
            </w:r>
            <w:r w:rsidRPr="0040246C">
              <w:t xml:space="preserve">6 – </w:t>
            </w:r>
            <w:r>
              <w:t>15,5</w:t>
            </w:r>
            <w:r w:rsidRPr="0040246C">
              <w:t xml:space="preserve"> 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1,25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F70AC3">
              <w:t>-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625BA8" w:rsidRPr="00625BA8" w:rsidRDefault="00625BA8" w:rsidP="00AA357E">
            <w:pPr>
              <w:pStyle w:val="Normal1"/>
            </w:pPr>
            <w:r w:rsidRPr="00625BA8">
              <w:rPr>
                <w:bCs/>
              </w:rPr>
              <w:t>15,6 – 18,5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1,5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625BA8" w:rsidRPr="00625BA8" w:rsidRDefault="00625BA8" w:rsidP="00AA357E">
            <w:pPr>
              <w:pStyle w:val="Normal1"/>
            </w:pPr>
            <w:r w:rsidRPr="00625BA8">
              <w:rPr>
                <w:bCs/>
              </w:rPr>
              <w:t xml:space="preserve">18,6 </w:t>
            </w:r>
            <w:r w:rsidRPr="0040246C">
              <w:t>–</w:t>
            </w:r>
            <w:r>
              <w:t xml:space="preserve"> </w:t>
            </w:r>
            <w:r w:rsidRPr="00625BA8">
              <w:rPr>
                <w:bCs/>
              </w:rPr>
              <w:t>21,5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1,75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9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625BA8" w:rsidRPr="00625BA8" w:rsidRDefault="00625BA8" w:rsidP="00AA357E">
            <w:pPr>
              <w:pStyle w:val="Normal1"/>
            </w:pPr>
            <w:r w:rsidRPr="00625BA8">
              <w:rPr>
                <w:bCs/>
              </w:rPr>
              <w:t xml:space="preserve">21,6 </w:t>
            </w:r>
            <w:r w:rsidRPr="0040246C">
              <w:t>–</w:t>
            </w:r>
            <w:r w:rsidRPr="00625BA8">
              <w:rPr>
                <w:bCs/>
              </w:rPr>
              <w:t xml:space="preserve"> 25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0,5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25</w:t>
            </w:r>
            <w:r>
              <w:t>,</w:t>
            </w:r>
            <w:r w:rsidRPr="0040246C">
              <w:t>1 – 37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7</w:t>
            </w:r>
            <w:r>
              <w:t>,</w:t>
            </w:r>
            <w:r w:rsidRPr="00F70AC3">
              <w:t>5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37</w:t>
            </w:r>
            <w:r>
              <w:t>,</w:t>
            </w:r>
            <w:r w:rsidRPr="0040246C">
              <w:t xml:space="preserve">6 – 50 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50</w:t>
            </w:r>
            <w:r>
              <w:t>,</w:t>
            </w:r>
            <w:r w:rsidRPr="0040246C">
              <w:t>1 – 62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62</w:t>
            </w:r>
            <w:r>
              <w:t>,</w:t>
            </w:r>
            <w:r w:rsidRPr="0040246C">
              <w:t>6 – 75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5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75,1 – 87,5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1,75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625BA8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 xml:space="preserve">87,6 </w:t>
            </w:r>
            <w:r w:rsidRPr="0040246C">
              <w:t>–</w:t>
            </w:r>
            <w:r>
              <w:t xml:space="preserve"> 100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</w:pPr>
            <w:r>
              <w:t>2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625BA8" w:rsidRPr="0040246C" w:rsidRDefault="00625BA8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7</w:t>
            </w:r>
          </w:p>
        </w:tc>
      </w:tr>
    </w:tbl>
    <w:p w:rsidR="00625BA8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pPr>
        <w:ind w:left="0" w:firstLine="0"/>
        <w:jc w:val="both"/>
      </w:pPr>
      <w:r>
        <w:t>Žuvacie tablety sú ochutené a zvieratá ich zvyčajne prijímajú spontánne (76% prípadov u študovaných zvierat). Žuvacie tablety sa môžu podávať priamo do úst psa.</w:t>
      </w:r>
    </w:p>
    <w:p w:rsidR="00625BA8" w:rsidRDefault="00625BA8" w:rsidP="00625BA8">
      <w:pPr>
        <w:jc w:val="both"/>
      </w:pPr>
      <w:r>
        <w:t>Tablety sa môžu podávať s jedlom alebo bez jedla.</w:t>
      </w:r>
    </w:p>
    <w:p w:rsidR="00625BA8" w:rsidRPr="00F70ACC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Pokyny </w:t>
      </w:r>
      <w:r w:rsidRPr="003E253D">
        <w:rPr>
          <w:sz w:val="22"/>
          <w:szCs w:val="22"/>
        </w:rPr>
        <w:t>na roz</w:t>
      </w:r>
      <w:r>
        <w:rPr>
          <w:sz w:val="22"/>
          <w:szCs w:val="22"/>
        </w:rPr>
        <w:t>lomenie</w:t>
      </w:r>
      <w:r w:rsidRPr="003E253D">
        <w:rPr>
          <w:sz w:val="22"/>
          <w:szCs w:val="22"/>
        </w:rPr>
        <w:t xml:space="preserve"> tablety: položte</w:t>
      </w:r>
      <w:r>
        <w:rPr>
          <w:sz w:val="22"/>
          <w:szCs w:val="22"/>
        </w:rPr>
        <w:t xml:space="preserve"> tabletu</w:t>
      </w:r>
      <w:r w:rsidRPr="003E253D">
        <w:rPr>
          <w:sz w:val="22"/>
          <w:szCs w:val="22"/>
        </w:rPr>
        <w:t xml:space="preserve"> na rovný povrch </w:t>
      </w:r>
      <w:r>
        <w:rPr>
          <w:sz w:val="22"/>
          <w:szCs w:val="22"/>
        </w:rPr>
        <w:t>ryhovanou časťou dole k povrchu</w:t>
      </w:r>
      <w:r w:rsidRPr="003E253D">
        <w:rPr>
          <w:sz w:val="22"/>
          <w:szCs w:val="22"/>
        </w:rPr>
        <w:t xml:space="preserve"> (konvex</w:t>
      </w:r>
      <w:r>
        <w:rPr>
          <w:sz w:val="22"/>
          <w:szCs w:val="22"/>
        </w:rPr>
        <w:t xml:space="preserve">nou stranou </w:t>
      </w:r>
      <w:r w:rsidRPr="003E253D">
        <w:rPr>
          <w:sz w:val="22"/>
          <w:szCs w:val="22"/>
        </w:rPr>
        <w:t xml:space="preserve">hore). </w:t>
      </w:r>
      <w:r>
        <w:rPr>
          <w:sz w:val="22"/>
          <w:szCs w:val="22"/>
        </w:rPr>
        <w:t>Ľahkým vertikálnym tlakom š</w:t>
      </w:r>
      <w:r w:rsidRPr="003E253D">
        <w:rPr>
          <w:sz w:val="22"/>
          <w:szCs w:val="22"/>
        </w:rPr>
        <w:t xml:space="preserve">pičkou </w:t>
      </w:r>
      <w:r>
        <w:rPr>
          <w:sz w:val="22"/>
          <w:szCs w:val="22"/>
        </w:rPr>
        <w:t>palca</w:t>
      </w:r>
      <w:r w:rsidRPr="003E253D">
        <w:rPr>
          <w:sz w:val="22"/>
          <w:szCs w:val="22"/>
        </w:rPr>
        <w:t xml:space="preserve"> na stred tablety</w:t>
      </w:r>
      <w:r>
        <w:rPr>
          <w:sz w:val="22"/>
          <w:szCs w:val="22"/>
        </w:rPr>
        <w:t xml:space="preserve"> rozlomíte tabletu po šírke </w:t>
      </w:r>
      <w:r w:rsidRPr="003E253D">
        <w:rPr>
          <w:sz w:val="22"/>
          <w:szCs w:val="22"/>
        </w:rPr>
        <w:t xml:space="preserve">na polovice. </w:t>
      </w:r>
      <w:r>
        <w:rPr>
          <w:sz w:val="22"/>
          <w:szCs w:val="22"/>
        </w:rPr>
        <w:t>Ak chcete tabletu rozdeliť na</w:t>
      </w:r>
      <w:r w:rsidRPr="003E253D">
        <w:rPr>
          <w:sz w:val="22"/>
          <w:szCs w:val="22"/>
        </w:rPr>
        <w:t xml:space="preserve"> štvrtiny, mierny</w:t>
      </w:r>
      <w:r>
        <w:rPr>
          <w:sz w:val="22"/>
          <w:szCs w:val="22"/>
        </w:rPr>
        <w:t>m</w:t>
      </w:r>
      <w:r w:rsidRPr="003E253D">
        <w:rPr>
          <w:sz w:val="22"/>
          <w:szCs w:val="22"/>
        </w:rPr>
        <w:t xml:space="preserve"> tlak</w:t>
      </w:r>
      <w:r>
        <w:rPr>
          <w:sz w:val="22"/>
          <w:szCs w:val="22"/>
        </w:rPr>
        <w:t xml:space="preserve">om palca na stred jednej polovice ju rozlomíte </w:t>
      </w:r>
      <w:r w:rsidRPr="003E253D">
        <w:rPr>
          <w:sz w:val="22"/>
          <w:szCs w:val="22"/>
        </w:rPr>
        <w:t>na dve časti.</w:t>
      </w:r>
    </w:p>
    <w:p w:rsidR="00625BA8" w:rsidRDefault="00625BA8" w:rsidP="00625BA8">
      <w:pPr>
        <w:jc w:val="both"/>
      </w:pPr>
      <w:r w:rsidRPr="00553BEF">
        <w:lastRenderedPageBreak/>
        <w:t>Neprekračujte odporúčanú dávku.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Trvanie liečby bude závisieť na pozorovanom účinku. Nakoľko vykonané pokusy nepresiahli 90 dní, </w:t>
      </w:r>
    </w:p>
    <w:p w:rsidR="00625BA8" w:rsidRDefault="00625BA8" w:rsidP="00625BA8">
      <w:pPr>
        <w:jc w:val="both"/>
      </w:pPr>
      <w:r>
        <w:rPr>
          <w:szCs w:val="22"/>
        </w:rPr>
        <w:t>dlhodobé podávanie musí byť starostlivo uvážené a pod pravidelným veterinárnym dohľadom.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</w:t>
      </w:r>
    </w:p>
    <w:p w:rsidR="00625BA8" w:rsidRDefault="00625BA8" w:rsidP="00625BA8">
      <w:pPr>
        <w:rPr>
          <w:bCs/>
        </w:rPr>
      </w:pPr>
    </w:p>
    <w:p w:rsidR="00625BA8" w:rsidRDefault="00625BA8" w:rsidP="00625BA8">
      <w:pPr>
        <w:rPr>
          <w:bCs/>
        </w:rPr>
      </w:pPr>
      <w:r w:rsidRPr="0088557D">
        <w:rPr>
          <w:bCs/>
        </w:rPr>
        <w:t>Netýka sa.</w:t>
      </w:r>
    </w:p>
    <w:p w:rsidR="00625BA8" w:rsidRDefault="00625BA8" w:rsidP="00625BA8">
      <w:pPr>
        <w:ind w:left="0" w:firstLine="0"/>
        <w:rPr>
          <w:bCs/>
        </w:rPr>
      </w:pPr>
    </w:p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625BA8" w:rsidRDefault="00625BA8" w:rsidP="00625BA8"/>
    <w:p w:rsidR="00625BA8" w:rsidRDefault="00625BA8" w:rsidP="00625BA8">
      <w:pPr>
        <w:jc w:val="both"/>
      </w:pPr>
      <w:r>
        <w:t>Uchovávať mimo dohľadu a dosahu detí.</w:t>
      </w:r>
    </w:p>
    <w:p w:rsidR="00625BA8" w:rsidRDefault="00625BA8" w:rsidP="00625BA8">
      <w:pPr>
        <w:ind w:left="0" w:firstLine="0"/>
        <w:jc w:val="both"/>
      </w:pPr>
      <w:r>
        <w:t>Tento veterinárny liek nevyžaduje žiadne zvláštne podmienky na uchovávanie.</w:t>
      </w:r>
    </w:p>
    <w:p w:rsidR="00625BA8" w:rsidRDefault="00625BA8" w:rsidP="00625BA8">
      <w:pPr>
        <w:tabs>
          <w:tab w:val="left" w:pos="567"/>
          <w:tab w:val="left" w:leader="dot" w:pos="8222"/>
          <w:tab w:val="left" w:pos="8505"/>
        </w:tabs>
        <w:jc w:val="both"/>
        <w:rPr>
          <w:szCs w:val="20"/>
          <w:lang w:eastAsia="fr-FR"/>
        </w:rPr>
      </w:pPr>
      <w:r>
        <w:rPr>
          <w:szCs w:val="20"/>
          <w:lang w:eastAsia="fr-FR"/>
        </w:rPr>
        <w:t xml:space="preserve">Všetky zvyšky tabliet sa majú uchovávať v pôvodných </w:t>
      </w:r>
      <w:proofErr w:type="spellStart"/>
      <w:r>
        <w:rPr>
          <w:szCs w:val="20"/>
          <w:lang w:eastAsia="fr-FR"/>
        </w:rPr>
        <w:t>blistroch</w:t>
      </w:r>
      <w:proofErr w:type="spellEnd"/>
      <w:r>
        <w:rPr>
          <w:szCs w:val="20"/>
          <w:lang w:eastAsia="fr-FR"/>
        </w:rPr>
        <w:t xml:space="preserve"> a spotrebovať do 4 dní. </w:t>
      </w:r>
    </w:p>
    <w:p w:rsidR="00625BA8" w:rsidRDefault="00625BA8" w:rsidP="00625BA8">
      <w:pPr>
        <w:tabs>
          <w:tab w:val="left" w:pos="567"/>
          <w:tab w:val="left" w:leader="dot" w:pos="8222"/>
          <w:tab w:val="left" w:pos="8505"/>
        </w:tabs>
        <w:jc w:val="both"/>
        <w:rPr>
          <w:szCs w:val="20"/>
          <w:lang w:eastAsia="fr-FR"/>
        </w:rPr>
      </w:pPr>
      <w:r w:rsidRPr="00003216">
        <w:rPr>
          <w:szCs w:val="20"/>
          <w:lang w:eastAsia="fr-FR"/>
        </w:rPr>
        <w:t xml:space="preserve">Nepoužívať tento veterinárny liek po dátume exspirácie uvedenom na škatuli po EXP. </w:t>
      </w:r>
    </w:p>
    <w:p w:rsidR="00625BA8" w:rsidRPr="00615C4A" w:rsidRDefault="00625BA8" w:rsidP="00625BA8">
      <w:pPr>
        <w:tabs>
          <w:tab w:val="left" w:pos="567"/>
          <w:tab w:val="left" w:leader="dot" w:pos="8222"/>
          <w:tab w:val="left" w:pos="8505"/>
        </w:tabs>
        <w:jc w:val="both"/>
        <w:rPr>
          <w:szCs w:val="20"/>
          <w:lang w:eastAsia="fr-FR"/>
        </w:rPr>
      </w:pPr>
      <w:r w:rsidRPr="00003216">
        <w:rPr>
          <w:szCs w:val="20"/>
          <w:lang w:eastAsia="fr-FR"/>
        </w:rPr>
        <w:t>Dátum exspirácie sa vzťahuje na posledný deň v uvedenom mesiaci.</w:t>
      </w:r>
    </w:p>
    <w:p w:rsidR="00625BA8" w:rsidRDefault="00625BA8" w:rsidP="00625BA8"/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625BA8" w:rsidRPr="00223FCD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rPr>
          <w:szCs w:val="22"/>
          <w:u w:val="single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 zvierat:</w:t>
      </w:r>
    </w:p>
    <w:p w:rsidR="00625BA8" w:rsidRDefault="00625BA8" w:rsidP="00625BA8">
      <w:pPr>
        <w:jc w:val="both"/>
      </w:pPr>
      <w:r>
        <w:t>Nakoľko</w:t>
      </w:r>
      <w:r w:rsidRPr="00E30CD0">
        <w:t xml:space="preserve"> sú tablety ochutené, mali by s</w:t>
      </w:r>
      <w:r>
        <w:t xml:space="preserve">a uchovávať na bezpečnom mieste, </w:t>
      </w:r>
      <w:r w:rsidRPr="00E30CD0">
        <w:t>mimo dosahu zvierat</w:t>
      </w:r>
      <w:r>
        <w:t>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Odporúčané dávkovanie, tak ako je uvedené v tabuľke, by sa nemalo prekročiť.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Použitie u veľmi mladých zvierat alebo u zvierat s podozrivým alebo potvrdeným zhoršením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obličkovej, srdcovej alebo pečeňovej funkcie môže zapríčiniť ďalšie riziko. Ak sa nedá takémuto </w:t>
      </w:r>
    </w:p>
    <w:p w:rsidR="00625BA8" w:rsidRDefault="00625BA8" w:rsidP="00625BA8">
      <w:pPr>
        <w:jc w:val="both"/>
        <w:rPr>
          <w:szCs w:val="22"/>
        </w:rPr>
      </w:pPr>
      <w:r>
        <w:rPr>
          <w:szCs w:val="22"/>
        </w:rPr>
        <w:t>použitiu vyhnúť, psy vyžadujú dôsledné veterinárne sledovanie.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Nepoužívať u dehydratovaných, </w:t>
      </w:r>
      <w:proofErr w:type="spellStart"/>
      <w:r>
        <w:rPr>
          <w:sz w:val="22"/>
          <w:szCs w:val="22"/>
        </w:rPr>
        <w:t>hypovolemických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hypotenzných</w:t>
      </w:r>
      <w:proofErr w:type="spellEnd"/>
      <w:r>
        <w:rPr>
          <w:sz w:val="22"/>
          <w:szCs w:val="22"/>
        </w:rPr>
        <w:t xml:space="preserve"> zvierat pre potenciálne riziko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zvýšenej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Malo by sa zabrániť 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liekov.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existuje riziko </w:t>
      </w:r>
      <w:proofErr w:type="spellStart"/>
      <w:r>
        <w:rPr>
          <w:sz w:val="22"/>
          <w:szCs w:val="22"/>
        </w:rPr>
        <w:t>gastrointestinálneho</w:t>
      </w:r>
      <w:proofErr w:type="spellEnd"/>
      <w:r>
        <w:rPr>
          <w:sz w:val="22"/>
          <w:szCs w:val="22"/>
        </w:rPr>
        <w:t xml:space="preserve"> krvácania alebo ak zviera predtým vykazovalo intoleranciu na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, používať tento liek pod prísnym veterinárnym dohľadom. </w:t>
      </w:r>
    </w:p>
    <w:p w:rsidR="00625BA8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F7F5A">
        <w:rPr>
          <w:sz w:val="22"/>
          <w:szCs w:val="22"/>
        </w:rPr>
        <w:t xml:space="preserve">o veľmi zriedkavých prípadoch </w:t>
      </w:r>
      <w:r>
        <w:rPr>
          <w:sz w:val="22"/>
          <w:szCs w:val="22"/>
        </w:rPr>
        <w:t>boli u</w:t>
      </w:r>
      <w:r w:rsidRPr="006F7F5A">
        <w:rPr>
          <w:sz w:val="22"/>
          <w:szCs w:val="22"/>
        </w:rPr>
        <w:t xml:space="preserve"> psov, ktorým bola podaná </w:t>
      </w:r>
      <w:r>
        <w:rPr>
          <w:sz w:val="22"/>
          <w:szCs w:val="22"/>
        </w:rPr>
        <w:t xml:space="preserve">odporúčaná liečebná dávka, hlásené </w:t>
      </w:r>
      <w:r w:rsidRPr="006F7F5A">
        <w:rPr>
          <w:sz w:val="22"/>
          <w:szCs w:val="22"/>
        </w:rPr>
        <w:t xml:space="preserve">poruchy obličiek a / alebo pečene. Je možné, že časť takýchto prípadov mala pred začatím liečby </w:t>
      </w:r>
      <w:proofErr w:type="spellStart"/>
      <w:r w:rsidRPr="006F7F5A">
        <w:rPr>
          <w:sz w:val="22"/>
          <w:szCs w:val="22"/>
        </w:rPr>
        <w:t>subklinické</w:t>
      </w:r>
      <w:proofErr w:type="spellEnd"/>
      <w:r w:rsidRPr="006F7F5A">
        <w:rPr>
          <w:sz w:val="22"/>
          <w:szCs w:val="22"/>
        </w:rPr>
        <w:t xml:space="preserve"> ochorenie obličiek alebo pečene. Preto sa pred a pravidelne počas podávania odporúča vhodné laboratórne testovanie na stanovenie základných </w:t>
      </w:r>
      <w:r>
        <w:rPr>
          <w:sz w:val="22"/>
          <w:szCs w:val="22"/>
        </w:rPr>
        <w:t xml:space="preserve">biochemických </w:t>
      </w:r>
      <w:r w:rsidRPr="006F7F5A">
        <w:rPr>
          <w:sz w:val="22"/>
          <w:szCs w:val="22"/>
        </w:rPr>
        <w:t>parametrov obličiek alebo pečene.</w:t>
      </w:r>
      <w:r>
        <w:rPr>
          <w:sz w:val="22"/>
          <w:szCs w:val="22"/>
        </w:rPr>
        <w:t xml:space="preserve"> </w:t>
      </w:r>
    </w:p>
    <w:p w:rsidR="00625BA8" w:rsidRPr="006F7F5A" w:rsidRDefault="00625BA8" w:rsidP="00625B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Liečbu je nutné prerušiť, ak sú pozorované akékoľvek z týchto príznakov: opakovaná hnačka, zvracanie, prítomnosť krvi vo výkaloch, náhla strata hmotnosti,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, letargia, zníženie obličkových a pečeňových biochemických parametrov.</w:t>
      </w:r>
    </w:p>
    <w:p w:rsidR="00625BA8" w:rsidRPr="00223FCD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rPr>
          <w:u w:val="single"/>
        </w:rPr>
      </w:pPr>
      <w:r w:rsidRPr="006007F1">
        <w:rPr>
          <w:u w:val="single"/>
        </w:rPr>
        <w:t>Osobitné bezpečnostné opatrenia, ktoré má urobiť osoba podávajúca liek zvieratám:</w:t>
      </w:r>
    </w:p>
    <w:p w:rsidR="00625BA8" w:rsidRDefault="00625BA8" w:rsidP="00625BA8">
      <w:pPr>
        <w:ind w:left="0" w:firstLine="0"/>
        <w:jc w:val="both"/>
      </w:pPr>
      <w:r w:rsidRPr="006F7F5A">
        <w:t xml:space="preserve">Tento </w:t>
      </w:r>
      <w:r>
        <w:t>veterinárny liek</w:t>
      </w:r>
      <w:r w:rsidRPr="006F7F5A">
        <w:t xml:space="preserve"> môže byť</w:t>
      </w:r>
      <w:r>
        <w:t xml:space="preserve"> </w:t>
      </w:r>
      <w:r w:rsidRPr="00003216">
        <w:t>po náhodnom požití</w:t>
      </w:r>
      <w:r w:rsidRPr="006F7F5A">
        <w:t xml:space="preserve"> škodlivý. </w:t>
      </w:r>
      <w:r>
        <w:t xml:space="preserve">Tablety podávať a </w:t>
      </w:r>
      <w:r w:rsidRPr="006F7F5A">
        <w:t>uchovávať mimo dohľadu a dosahu detí</w:t>
      </w:r>
      <w:r>
        <w:t>, aby sa zabránilo prístupu k veterinárnemu lieku</w:t>
      </w:r>
      <w:r w:rsidRPr="006F7F5A">
        <w:t xml:space="preserve">. Polovičné alebo </w:t>
      </w:r>
      <w:r>
        <w:t>rozštvrtené</w:t>
      </w:r>
      <w:r w:rsidRPr="006F7F5A">
        <w:t xml:space="preserve"> tablety </w:t>
      </w:r>
      <w:r>
        <w:t>vrá</w:t>
      </w:r>
      <w:r w:rsidRPr="006F7F5A">
        <w:t>ť</w:t>
      </w:r>
      <w:r>
        <w:t>te</w:t>
      </w:r>
      <w:r w:rsidRPr="006F7F5A">
        <w:t xml:space="preserve"> do </w:t>
      </w:r>
      <w:proofErr w:type="spellStart"/>
      <w:r w:rsidRPr="006F7F5A">
        <w:t>blistr</w:t>
      </w:r>
      <w:r>
        <w:t>u</w:t>
      </w:r>
      <w:proofErr w:type="spellEnd"/>
      <w:r>
        <w:t xml:space="preserve"> a vložte</w:t>
      </w:r>
      <w:r w:rsidRPr="006F7F5A">
        <w:t xml:space="preserve"> do </w:t>
      </w:r>
      <w:r>
        <w:t>papierovej škatuľky</w:t>
      </w:r>
      <w:r w:rsidRPr="006F7F5A">
        <w:t xml:space="preserve">. </w:t>
      </w:r>
    </w:p>
    <w:p w:rsidR="00625BA8" w:rsidRDefault="00625BA8" w:rsidP="00625BA8">
      <w:pPr>
        <w:ind w:left="0" w:firstLine="0"/>
        <w:jc w:val="both"/>
      </w:pPr>
      <w:r>
        <w:t xml:space="preserve">Laboratórne štúdie na potkanoch a králikoch preukázali, že </w:t>
      </w:r>
      <w:proofErr w:type="spellStart"/>
      <w:r>
        <w:t>firocoxib</w:t>
      </w:r>
      <w:proofErr w:type="spellEnd"/>
      <w:r>
        <w:t xml:space="preserve"> môže ovplyvniť reprodukciu a vyvolať </w:t>
      </w:r>
      <w:proofErr w:type="spellStart"/>
      <w:r>
        <w:t>malformácie</w:t>
      </w:r>
      <w:proofErr w:type="spellEnd"/>
      <w:r>
        <w:t xml:space="preserve"> plodov.</w:t>
      </w:r>
    </w:p>
    <w:p w:rsidR="00625BA8" w:rsidRDefault="00625BA8" w:rsidP="00625BA8">
      <w:pPr>
        <w:ind w:left="0" w:firstLine="0"/>
        <w:jc w:val="both"/>
      </w:pPr>
      <w:r>
        <w:t>Tehotné ženy alebo ženy, ktoré majú v úmysle otehotnieť, by mali podávať liek opatrne.</w:t>
      </w:r>
    </w:p>
    <w:p w:rsidR="00625BA8" w:rsidRDefault="00625BA8" w:rsidP="00625BA8">
      <w:pPr>
        <w:ind w:left="0" w:firstLine="0"/>
        <w:jc w:val="both"/>
      </w:pPr>
      <w:r>
        <w:t>Po použití si umyte ruky.</w:t>
      </w:r>
    </w:p>
    <w:p w:rsidR="00625BA8" w:rsidRPr="00553BEF" w:rsidRDefault="00625BA8" w:rsidP="00625BA8">
      <w:pPr>
        <w:ind w:left="0" w:firstLine="0"/>
        <w:jc w:val="both"/>
      </w:pPr>
      <w:r w:rsidRPr="006F7F5A">
        <w:t>V prípade náhodného požitia jednej alebo viacerých tabliet vyhľadať</w:t>
      </w:r>
      <w:r>
        <w:t xml:space="preserve"> ihneď</w:t>
      </w:r>
      <w:r w:rsidRPr="006F7F5A">
        <w:t xml:space="preserve"> lekársku pomoc a ukázať písomnú informáciu pre používateľov alebo obal lekárovi.</w:t>
      </w:r>
    </w:p>
    <w:p w:rsidR="00625BA8" w:rsidRDefault="00625BA8" w:rsidP="00625BA8">
      <w:pPr>
        <w:rPr>
          <w:szCs w:val="22"/>
        </w:rPr>
      </w:pPr>
      <w:r>
        <w:rPr>
          <w:szCs w:val="22"/>
        </w:rPr>
        <w:t xml:space="preserve"> </w:t>
      </w:r>
    </w:p>
    <w:p w:rsidR="00625BA8" w:rsidRDefault="00625BA8" w:rsidP="00625BA8">
      <w:pPr>
        <w:rPr>
          <w:szCs w:val="22"/>
        </w:rPr>
      </w:pPr>
      <w:r>
        <w:rPr>
          <w:szCs w:val="22"/>
          <w:u w:val="single"/>
        </w:rPr>
        <w:t>Gravidita a laktácia</w:t>
      </w:r>
      <w:r>
        <w:rPr>
          <w:szCs w:val="22"/>
        </w:rPr>
        <w:t>:</w:t>
      </w:r>
    </w:p>
    <w:p w:rsidR="00625BA8" w:rsidRDefault="00625BA8" w:rsidP="00625BA8"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625BA8" w:rsidRDefault="00625BA8" w:rsidP="00625BA8">
      <w:r>
        <w:t xml:space="preserve">Laboratórne štúdie u králikov preukázali </w:t>
      </w:r>
      <w:proofErr w:type="spellStart"/>
      <w:r>
        <w:t>maternotoxické</w:t>
      </w:r>
      <w:proofErr w:type="spellEnd"/>
      <w:r>
        <w:t xml:space="preserve"> a </w:t>
      </w:r>
      <w:proofErr w:type="spellStart"/>
      <w:r>
        <w:t>fetotoxické</w:t>
      </w:r>
      <w:proofErr w:type="spellEnd"/>
      <w:r>
        <w:t xml:space="preserve"> účinky pri podávaní dávky</w:t>
      </w:r>
    </w:p>
    <w:p w:rsidR="00625BA8" w:rsidRDefault="00625BA8" w:rsidP="00625BA8">
      <w:r>
        <w:t>približne rovnakej, aká je odporúčaná na liečbu psov.</w:t>
      </w:r>
    </w:p>
    <w:p w:rsidR="00625BA8" w:rsidRPr="005B04A8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rPr>
          <w:szCs w:val="22"/>
          <w:u w:val="single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625BA8" w:rsidRDefault="00625BA8" w:rsidP="00625BA8">
      <w:r>
        <w:t>Predchádzajúca liečba inými protizápalovými látkami môže vyústiť do ďalších alebo zvýšených</w:t>
      </w:r>
    </w:p>
    <w:p w:rsidR="00625BA8" w:rsidRDefault="00625BA8" w:rsidP="00625BA8">
      <w:r>
        <w:t>vedľajších účinkov. Z tohto dôvodu má byť zabezpečené obdobie bez podávania takýchto liekov</w:t>
      </w:r>
    </w:p>
    <w:p w:rsidR="00625BA8" w:rsidRDefault="00625BA8" w:rsidP="00625BA8">
      <w:r>
        <w:lastRenderedPageBreak/>
        <w:t xml:space="preserve">najmenej 24 hodín pred zahájením liečby </w:t>
      </w:r>
      <w:proofErr w:type="spellStart"/>
      <w:r>
        <w:t>Firodylom</w:t>
      </w:r>
      <w:proofErr w:type="spellEnd"/>
      <w:r>
        <w:t>. V období bez liečby však treba brať do úvahy</w:t>
      </w:r>
    </w:p>
    <w:p w:rsidR="00625BA8" w:rsidRDefault="00625BA8" w:rsidP="00625BA8">
      <w:proofErr w:type="spellStart"/>
      <w:r>
        <w:t>farmakokinetické</w:t>
      </w:r>
      <w:proofErr w:type="spellEnd"/>
      <w:r>
        <w:t xml:space="preserve"> vlastnosti liekov používaných predtým.</w:t>
      </w:r>
    </w:p>
    <w:p w:rsidR="00625BA8" w:rsidRDefault="00625BA8" w:rsidP="00625BA8">
      <w:pPr>
        <w:ind w:left="0" w:firstLine="0"/>
      </w:pPr>
      <w:r>
        <w:t xml:space="preserve">Tento veterinárny liek nesmie byť podávaný spolu s inými </w:t>
      </w:r>
      <w:proofErr w:type="spellStart"/>
      <w:r>
        <w:t>NSAIDs</w:t>
      </w:r>
      <w:proofErr w:type="spellEnd"/>
      <w:r>
        <w:t xml:space="preserve"> alebo </w:t>
      </w:r>
      <w:proofErr w:type="spellStart"/>
      <w:r>
        <w:t>glukokortikosteroidmi</w:t>
      </w:r>
      <w:proofErr w:type="spellEnd"/>
      <w:r>
        <w:t>.</w:t>
      </w:r>
    </w:p>
    <w:p w:rsidR="00625BA8" w:rsidRDefault="00625BA8" w:rsidP="00625BA8">
      <w:r>
        <w:t xml:space="preserve">U zvierat, ktorým sa podávajú </w:t>
      </w:r>
      <w:proofErr w:type="spellStart"/>
      <w:r>
        <w:t>nesteroidné</w:t>
      </w:r>
      <w:proofErr w:type="spellEnd"/>
      <w:r>
        <w:t xml:space="preserve"> protizápalové lieky, môžu </w:t>
      </w:r>
      <w:proofErr w:type="spellStart"/>
      <w:r>
        <w:t>kortikosteroidy</w:t>
      </w:r>
      <w:proofErr w:type="spellEnd"/>
      <w:r>
        <w:t xml:space="preserve"> spôsobiť</w:t>
      </w:r>
    </w:p>
    <w:p w:rsidR="00625BA8" w:rsidRDefault="00625BA8" w:rsidP="00625BA8">
      <w:r>
        <w:t xml:space="preserve">zhoršenie  </w:t>
      </w:r>
      <w:proofErr w:type="spellStart"/>
      <w:r>
        <w:t>gastrointestinálnej</w:t>
      </w:r>
      <w:proofErr w:type="spellEnd"/>
      <w:r>
        <w:t xml:space="preserve"> </w:t>
      </w:r>
      <w:proofErr w:type="spellStart"/>
      <w:r>
        <w:t>ulcerácie</w:t>
      </w:r>
      <w:proofErr w:type="spellEnd"/>
      <w:r>
        <w:t>.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Sprievodná liečba molekulami vykazujúcimi účinok na </w:t>
      </w:r>
      <w:proofErr w:type="spellStart"/>
      <w:r>
        <w:rPr>
          <w:sz w:val="22"/>
          <w:szCs w:val="22"/>
        </w:rPr>
        <w:t>renálny</w:t>
      </w:r>
      <w:proofErr w:type="spellEnd"/>
      <w:r>
        <w:rPr>
          <w:sz w:val="22"/>
          <w:szCs w:val="22"/>
        </w:rPr>
        <w:t xml:space="preserve"> tok, napr. diuretiká alebo inhibítory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enzýmovej konverzie (ACE), má byť predmetom klinického sledovania. Je nutné vyhnúť sa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liekov pre zvýšené riziko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Pretože anestetiká môžu ovplyvniť </w:t>
      </w:r>
      <w:proofErr w:type="spellStart"/>
      <w:r>
        <w:rPr>
          <w:sz w:val="22"/>
          <w:szCs w:val="22"/>
        </w:rPr>
        <w:t>renálnu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perfúziu</w:t>
      </w:r>
      <w:proofErr w:type="spellEnd"/>
      <w:r>
        <w:rPr>
          <w:sz w:val="22"/>
          <w:szCs w:val="22"/>
        </w:rPr>
        <w:t xml:space="preserve">, je potrebné zvážiť použitie </w:t>
      </w:r>
      <w:proofErr w:type="spellStart"/>
      <w:r>
        <w:rPr>
          <w:sz w:val="22"/>
          <w:szCs w:val="22"/>
        </w:rPr>
        <w:t>parenterálnej</w:t>
      </w:r>
      <w:proofErr w:type="spellEnd"/>
      <w:r>
        <w:rPr>
          <w:sz w:val="22"/>
          <w:szCs w:val="22"/>
        </w:rPr>
        <w:t xml:space="preserve"> fluidnej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terapie počas chirurgického zákroku z dôvodu zníženia možných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komplikácií počas </w:t>
      </w:r>
    </w:p>
    <w:p w:rsidR="00625BA8" w:rsidRDefault="00625BA8" w:rsidP="00625BA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perioperatívneho</w:t>
      </w:r>
      <w:proofErr w:type="spellEnd"/>
      <w:r>
        <w:rPr>
          <w:sz w:val="22"/>
          <w:szCs w:val="22"/>
        </w:rPr>
        <w:t xml:space="preserve"> používania </w:t>
      </w: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. </w:t>
      </w:r>
    </w:p>
    <w:p w:rsidR="00625BA8" w:rsidRDefault="00625BA8" w:rsidP="00625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Súčasné používanie iných účinných látok, ktoré majú vysokú schopnosť väzby na proteíny, môže </w:t>
      </w:r>
    </w:p>
    <w:p w:rsidR="00625BA8" w:rsidRDefault="00625BA8" w:rsidP="00625BA8">
      <w:r>
        <w:rPr>
          <w:szCs w:val="22"/>
        </w:rPr>
        <w:t xml:space="preserve">konkurovať </w:t>
      </w:r>
      <w:proofErr w:type="spellStart"/>
      <w:r>
        <w:rPr>
          <w:szCs w:val="22"/>
        </w:rPr>
        <w:t>firocoxibu</w:t>
      </w:r>
      <w:proofErr w:type="spellEnd"/>
      <w:r>
        <w:rPr>
          <w:szCs w:val="22"/>
        </w:rPr>
        <w:t xml:space="preserve"> pri naviazaní, čo môže viesť k toxickým účinkom.</w:t>
      </w:r>
    </w:p>
    <w:p w:rsidR="00625BA8" w:rsidRPr="00223FCD" w:rsidRDefault="00625BA8" w:rsidP="00625BA8">
      <w:pPr>
        <w:ind w:left="0" w:firstLine="0"/>
        <w:rPr>
          <w:szCs w:val="22"/>
        </w:rPr>
      </w:pPr>
    </w:p>
    <w:p w:rsidR="00625BA8" w:rsidRDefault="00625BA8" w:rsidP="00625BA8">
      <w:pPr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>)</w:t>
      </w:r>
      <w:r>
        <w:rPr>
          <w:szCs w:val="22"/>
        </w:rPr>
        <w:t>: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U psov vo veku 10 týždňov na začiatku liečby pri dennej dávke rovnajúcej sa alebo väčšej ako 25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mg/kg /deň (5 krát väčšej ako odporúčaná dávka ) po dobu 3 mesiacov boli pozorované nasledujúce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príznaky toxicity: úbytok živej hmotnosti, slabá chuť do jedla, zmeny na pečeni (nahromadenie tuku),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>mozgu (</w:t>
      </w:r>
      <w:proofErr w:type="spellStart"/>
      <w:r w:rsidRPr="008D02F1">
        <w:rPr>
          <w:szCs w:val="22"/>
        </w:rPr>
        <w:t>vakuolizácia</w:t>
      </w:r>
      <w:proofErr w:type="spellEnd"/>
      <w:r w:rsidRPr="008D02F1">
        <w:rPr>
          <w:szCs w:val="22"/>
        </w:rPr>
        <w:t xml:space="preserve"> ), dvanástniku (vredy) a smrť. Podobné klinické symptómy boli pozorované pri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dávkovaní rovnakom alebo vyššom ako 15 mg/kg/deň (3 krát vyššom ako je odporúčaná dávka) po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dobu šesť mesiacov, aj keď vážnosť a častosť príznakov boli nižšie a neobjavili sa vredy na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dvanástniku.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V štúdiách na bezpečnosť lieku u cieľových zvierat vymizli klinické príznaky toxicity u niektorých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psov po prerušení liečby.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U psov vo veku sedem mesiacov na začiatku liečby sa po podaní dávky rovnajúcej sa alebo vyššej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ako 25 mg/kg/deň (5 krát vyššej ako je odporúčaná dávka) počas šiestich mesiacov sa objavili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vedľajšie </w:t>
      </w:r>
      <w:proofErr w:type="spellStart"/>
      <w:r w:rsidRPr="008D02F1">
        <w:rPr>
          <w:szCs w:val="22"/>
        </w:rPr>
        <w:t>gastrointestinálne</w:t>
      </w:r>
      <w:proofErr w:type="spellEnd"/>
      <w:r w:rsidRPr="008D02F1">
        <w:rPr>
          <w:szCs w:val="22"/>
        </w:rPr>
        <w:t xml:space="preserve"> účinky, t.j. bolo pozorované zvracanie. </w:t>
      </w:r>
    </w:p>
    <w:p w:rsidR="00625BA8" w:rsidRPr="008D02F1" w:rsidRDefault="00625BA8" w:rsidP="00625BA8">
      <w:pPr>
        <w:jc w:val="both"/>
        <w:rPr>
          <w:szCs w:val="22"/>
        </w:rPr>
      </w:pPr>
      <w:r w:rsidRPr="008D02F1">
        <w:rPr>
          <w:szCs w:val="22"/>
        </w:rPr>
        <w:t xml:space="preserve">Štúdie na predávkovanie sa neuskutočnili na zvieratách starších ako 14 mesiacov veku. </w:t>
      </w:r>
    </w:p>
    <w:p w:rsidR="00625BA8" w:rsidRPr="00615C4A" w:rsidRDefault="00625BA8" w:rsidP="00625BA8">
      <w:pPr>
        <w:jc w:val="both"/>
        <w:rPr>
          <w:szCs w:val="22"/>
        </w:rPr>
      </w:pPr>
      <w:r w:rsidRPr="008D02F1">
        <w:rPr>
          <w:szCs w:val="22"/>
        </w:rPr>
        <w:t>Ak sa objavia klinické symptómy z predávkovania, prerušiť liečbu.</w:t>
      </w:r>
    </w:p>
    <w:p w:rsidR="00625BA8" w:rsidRDefault="00625BA8" w:rsidP="00625BA8"/>
    <w:p w:rsidR="00625BA8" w:rsidRDefault="00625BA8" w:rsidP="00625BA8">
      <w:pPr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625BA8" w:rsidRPr="00C44D51" w:rsidRDefault="00625BA8" w:rsidP="00625BA8">
      <w:pPr>
        <w:rPr>
          <w:bCs/>
        </w:rPr>
      </w:pPr>
    </w:p>
    <w:p w:rsidR="00625BA8" w:rsidRDefault="00625BA8" w:rsidP="00625BA8">
      <w:pPr>
        <w:ind w:left="0" w:firstLine="0"/>
      </w:pPr>
      <w:r w:rsidRPr="008D02F1">
        <w:t>Každý nepoužitý veterinárny liek alebo odpadové materiály z tohto veterinárneho lieku musia byť zlikvidované v súlade s  miestnymi požiadavkami.</w:t>
      </w:r>
    </w:p>
    <w:p w:rsidR="00625BA8" w:rsidRDefault="00625BA8" w:rsidP="00625BA8"/>
    <w:p w:rsidR="00625BA8" w:rsidRDefault="00625BA8" w:rsidP="00625BA8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625BA8" w:rsidRDefault="00625BA8" w:rsidP="00625BA8">
      <w:pPr>
        <w:ind w:left="0" w:firstLine="0"/>
      </w:pPr>
    </w:p>
    <w:p w:rsidR="001B1CE1" w:rsidRDefault="001B1CE1" w:rsidP="00625BA8">
      <w:pPr>
        <w:ind w:left="0" w:firstLine="0"/>
      </w:pPr>
      <w:r>
        <w:t>10/2023</w:t>
      </w:r>
      <w:bookmarkStart w:id="0" w:name="_GoBack"/>
      <w:bookmarkEnd w:id="0"/>
    </w:p>
    <w:p w:rsidR="00625BA8" w:rsidRDefault="00625BA8" w:rsidP="00625BA8"/>
    <w:p w:rsidR="00625BA8" w:rsidRDefault="00625BA8" w:rsidP="00625BA8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625BA8" w:rsidRDefault="00625BA8" w:rsidP="00625BA8"/>
    <w:p w:rsidR="00625BA8" w:rsidRDefault="00625BA8" w:rsidP="00625BA8">
      <w:r>
        <w:t>Papierová škatuľka obsahujúca 12, 36, 96 a 120 tabliet.</w:t>
      </w:r>
    </w:p>
    <w:p w:rsidR="00625BA8" w:rsidRDefault="00625BA8" w:rsidP="00625BA8">
      <w:r>
        <w:t>Nie všetky veľkosti balenia sa musia  uvádzať na trh.</w:t>
      </w:r>
    </w:p>
    <w:p w:rsidR="00625BA8" w:rsidRDefault="00625BA8" w:rsidP="00625BA8"/>
    <w:p w:rsidR="00625BA8" w:rsidRDefault="00625BA8" w:rsidP="00625BA8">
      <w:pPr>
        <w:ind w:left="0" w:firstLine="0"/>
        <w:rPr>
          <w:noProof/>
        </w:rPr>
      </w:pPr>
      <w:r>
        <w:t>Ak potrebujete akúkoľvek informáciu o tomto veterinárnom lieku, kontaktujte miestneho zástupcu držiteľa rozhodnutia o registrácii.</w:t>
      </w:r>
    </w:p>
    <w:p w:rsidR="00625BA8" w:rsidRDefault="00625BA8" w:rsidP="00625BA8">
      <w:pPr>
        <w:rPr>
          <w:noProof/>
        </w:rPr>
      </w:pPr>
    </w:p>
    <w:p w:rsidR="00625BA8" w:rsidRDefault="00625BA8" w:rsidP="00625BA8">
      <w:r>
        <w:t>Vý</w:t>
      </w:r>
      <w:r w:rsidR="002C57FC">
        <w:t>daj lieku je viazaný na veterinárny</w:t>
      </w:r>
      <w:r>
        <w:t xml:space="preserve"> predpis.</w:t>
      </w:r>
    </w:p>
    <w:p w:rsidR="005578FD" w:rsidRDefault="005578FD"/>
    <w:sectPr w:rsidR="005578FD"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C7" w:rsidRDefault="00C956C7" w:rsidP="00625BA8">
      <w:r>
        <w:separator/>
      </w:r>
    </w:p>
  </w:endnote>
  <w:endnote w:type="continuationSeparator" w:id="0">
    <w:p w:rsidR="00C956C7" w:rsidRDefault="00C956C7" w:rsidP="0062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C1" w:rsidRDefault="00982B3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760C1" w:rsidRDefault="001559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766245"/>
      <w:docPartObj>
        <w:docPartGallery w:val="Page Numbers (Bottom of Page)"/>
        <w:docPartUnique/>
      </w:docPartObj>
    </w:sdtPr>
    <w:sdtEndPr/>
    <w:sdtContent>
      <w:p w:rsidR="00625BA8" w:rsidRDefault="00625BA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9DD">
          <w:rPr>
            <w:noProof/>
          </w:rPr>
          <w:t>12</w:t>
        </w:r>
        <w:r>
          <w:fldChar w:fldCharType="end"/>
        </w:r>
      </w:p>
    </w:sdtContent>
  </w:sdt>
  <w:p w:rsidR="000760C1" w:rsidRDefault="001559DD">
    <w:pPr>
      <w:pStyle w:val="Pta"/>
      <w:jc w:val="center"/>
      <w:rPr>
        <w:rFonts w:ascii="Helvetica" w:hAnsi="Helvetica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C7" w:rsidRDefault="00C956C7" w:rsidP="00625BA8">
      <w:r>
        <w:separator/>
      </w:r>
    </w:p>
  </w:footnote>
  <w:footnote w:type="continuationSeparator" w:id="0">
    <w:p w:rsidR="00C956C7" w:rsidRDefault="00C956C7" w:rsidP="0062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A8"/>
    <w:rsid w:val="001559DD"/>
    <w:rsid w:val="001B1CE1"/>
    <w:rsid w:val="002C57FC"/>
    <w:rsid w:val="005578FD"/>
    <w:rsid w:val="00625BA8"/>
    <w:rsid w:val="00712089"/>
    <w:rsid w:val="008D1CA3"/>
    <w:rsid w:val="00921D36"/>
    <w:rsid w:val="00982B3B"/>
    <w:rsid w:val="00C956C7"/>
    <w:rsid w:val="00DB5BF0"/>
    <w:rsid w:val="00E2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BA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25B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5BA8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625BA8"/>
  </w:style>
  <w:style w:type="paragraph" w:styleId="Hlavika">
    <w:name w:val="header"/>
    <w:basedOn w:val="Normlny"/>
    <w:link w:val="HlavikaChar"/>
    <w:rsid w:val="00625BA8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25BA8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625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Normal1">
    <w:name w:val="Normal1"/>
    <w:rsid w:val="00625BA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lang w:val="en-US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B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BA8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BA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25B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5BA8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625BA8"/>
  </w:style>
  <w:style w:type="paragraph" w:styleId="Hlavika">
    <w:name w:val="header"/>
    <w:basedOn w:val="Normlny"/>
    <w:link w:val="HlavikaChar"/>
    <w:rsid w:val="00625BA8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25BA8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625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Normal1">
    <w:name w:val="Normal1"/>
    <w:rsid w:val="00625BA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lang w:val="en-US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B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BA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8</cp:revision>
  <cp:lastPrinted>2024-04-05T11:22:00Z</cp:lastPrinted>
  <dcterms:created xsi:type="dcterms:W3CDTF">2020-10-19T11:41:00Z</dcterms:created>
  <dcterms:modified xsi:type="dcterms:W3CDTF">2024-04-05T11:23:00Z</dcterms:modified>
</cp:coreProperties>
</file>