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DE" w:rsidRDefault="006E6FDE" w:rsidP="006E6FDE">
      <w:pPr>
        <w:tabs>
          <w:tab w:val="left" w:pos="85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276/R/22-S</w:t>
      </w:r>
    </w:p>
    <w:p w:rsidR="006E6FDE" w:rsidRDefault="006E6FDE" w:rsidP="006E6FDE">
      <w:pPr>
        <w:jc w:val="both"/>
        <w:outlineLvl w:val="0"/>
        <w:rPr>
          <w:b/>
          <w:sz w:val="22"/>
          <w:szCs w:val="22"/>
        </w:rPr>
      </w:pPr>
    </w:p>
    <w:p w:rsidR="006E6FDE" w:rsidRDefault="006E6FDE" w:rsidP="006E6FDE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PÍSOMNÁ INFORMÁCIA PRE POUŽÍVATEĽA </w:t>
      </w:r>
    </w:p>
    <w:p w:rsidR="006E6FDE" w:rsidRDefault="006E6FDE" w:rsidP="006E6FDE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Názov </w:t>
      </w:r>
      <w:proofErr w:type="spellStart"/>
      <w:r>
        <w:rPr>
          <w:b/>
          <w:sz w:val="22"/>
          <w:szCs w:val="22"/>
        </w:rPr>
        <w:t>vet</w:t>
      </w:r>
      <w:proofErr w:type="spellEnd"/>
      <w:r>
        <w:rPr>
          <w:b/>
          <w:sz w:val="22"/>
          <w:szCs w:val="22"/>
        </w:rPr>
        <w:t>. prípravku:</w:t>
      </w:r>
    </w:p>
    <w:p w:rsidR="006E6FDE" w:rsidRDefault="006E6FDE" w:rsidP="006E6FDE">
      <w:pPr>
        <w:tabs>
          <w:tab w:val="left" w:pos="2127"/>
          <w:tab w:val="left" w:pos="2552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eSHa</w:t>
      </w:r>
      <w:proofErr w:type="spellEnd"/>
      <w:r>
        <w:rPr>
          <w:b/>
          <w:sz w:val="22"/>
          <w:szCs w:val="22"/>
        </w:rPr>
        <w:t xml:space="preserve"> EXIT</w:t>
      </w:r>
    </w:p>
    <w:p w:rsidR="006E6FDE" w:rsidRDefault="006E6FDE" w:rsidP="006E6FDE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6E6FDE" w:rsidRDefault="006E6FDE" w:rsidP="006E6FDE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Zloženie:</w:t>
      </w:r>
    </w:p>
    <w:p w:rsidR="006E6FDE" w:rsidRDefault="006E6FDE" w:rsidP="006E6FDE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ml prípravku obsahuje: 6,3 mg </w:t>
      </w:r>
      <w:proofErr w:type="spellStart"/>
      <w:r>
        <w:rPr>
          <w:sz w:val="22"/>
          <w:szCs w:val="22"/>
        </w:rPr>
        <w:t>diaminoakridín</w:t>
      </w:r>
      <w:proofErr w:type="spellEnd"/>
      <w:r>
        <w:rPr>
          <w:sz w:val="22"/>
          <w:szCs w:val="22"/>
        </w:rPr>
        <w:t xml:space="preserve">, 0,31 mg </w:t>
      </w:r>
      <w:proofErr w:type="spellStart"/>
      <w:r>
        <w:rPr>
          <w:sz w:val="22"/>
          <w:szCs w:val="22"/>
        </w:rPr>
        <w:t>oxalát</w:t>
      </w:r>
      <w:proofErr w:type="spellEnd"/>
      <w:r>
        <w:rPr>
          <w:sz w:val="22"/>
          <w:szCs w:val="22"/>
        </w:rPr>
        <w:t xml:space="preserve"> malachitovej zelene, 0,79 mg </w:t>
      </w:r>
      <w:proofErr w:type="spellStart"/>
      <w:r>
        <w:rPr>
          <w:sz w:val="22"/>
          <w:szCs w:val="22"/>
          <w:shd w:val="clear" w:color="auto" w:fill="FFFFFF"/>
        </w:rPr>
        <w:t>metylrozanilíniumchlorid</w:t>
      </w:r>
      <w:proofErr w:type="spellEnd"/>
      <w:r>
        <w:rPr>
          <w:sz w:val="22"/>
          <w:szCs w:val="22"/>
        </w:rPr>
        <w:t xml:space="preserve">, 3,98 mg </w:t>
      </w:r>
      <w:proofErr w:type="spellStart"/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metyltioníniumchlorid</w:t>
      </w:r>
      <w:proofErr w:type="spellEnd"/>
      <w:r>
        <w:rPr>
          <w:sz w:val="22"/>
          <w:szCs w:val="22"/>
        </w:rPr>
        <w:t>.</w:t>
      </w:r>
    </w:p>
    <w:p w:rsidR="006E6FDE" w:rsidRDefault="006E6FDE" w:rsidP="006E6FDE">
      <w:pPr>
        <w:tabs>
          <w:tab w:val="left" w:pos="0"/>
          <w:tab w:val="left" w:pos="2127"/>
        </w:tabs>
        <w:jc w:val="both"/>
        <w:rPr>
          <w:sz w:val="6"/>
          <w:szCs w:val="6"/>
        </w:rPr>
      </w:pPr>
    </w:p>
    <w:p w:rsidR="006E6FDE" w:rsidRDefault="006E6FDE" w:rsidP="006E6FDE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Popis </w:t>
      </w:r>
      <w:proofErr w:type="spellStart"/>
      <w:r>
        <w:rPr>
          <w:b/>
          <w:sz w:val="22"/>
          <w:szCs w:val="22"/>
        </w:rPr>
        <w:t>vet</w:t>
      </w:r>
      <w:proofErr w:type="spellEnd"/>
      <w:r>
        <w:rPr>
          <w:b/>
          <w:sz w:val="22"/>
          <w:szCs w:val="22"/>
        </w:rPr>
        <w:t>. prípravku:</w:t>
      </w:r>
    </w:p>
    <w:p w:rsidR="006E6FDE" w:rsidRDefault="006E6FDE" w:rsidP="006E6FDE">
      <w:pPr>
        <w:tabs>
          <w:tab w:val="left" w:pos="2127"/>
          <w:tab w:val="left" w:pos="2410"/>
        </w:tabs>
        <w:ind w:left="2410" w:hanging="241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Číra tmavozelená kvapalina.</w:t>
      </w:r>
    </w:p>
    <w:p w:rsidR="006E6FDE" w:rsidRDefault="006E6FDE" w:rsidP="006E6FDE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6E6FDE" w:rsidRDefault="006E6FDE" w:rsidP="006E6FDE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Druh a kategória</w:t>
      </w:r>
      <w:r>
        <w:rPr>
          <w:b/>
          <w:sz w:val="22"/>
          <w:szCs w:val="22"/>
          <w:lang w:eastAsia="sk-SK"/>
        </w:rPr>
        <w:t xml:space="preserve"> zvierat:</w:t>
      </w:r>
      <w:r>
        <w:rPr>
          <w:b/>
          <w:sz w:val="22"/>
          <w:szCs w:val="22"/>
        </w:rPr>
        <w:t xml:space="preserve">  </w:t>
      </w:r>
    </w:p>
    <w:p w:rsidR="006E6FDE" w:rsidRDefault="006E6FDE" w:rsidP="006E6FDE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Akváriové ryby.</w:t>
      </w:r>
    </w:p>
    <w:p w:rsidR="006E6FDE" w:rsidRDefault="006E6FDE" w:rsidP="006E6FDE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6E6FDE" w:rsidRDefault="006E6FDE" w:rsidP="006E6FDE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Charakteristika: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Veterinárny prípravok určený na aplikáciu do akváriovej vody. Prípravok 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EXIT môže napomôcť pri ošetrení rýb postihnutých </w:t>
      </w:r>
      <w:proofErr w:type="spellStart"/>
      <w:r>
        <w:rPr>
          <w:iCs/>
          <w:sz w:val="22"/>
          <w:szCs w:val="22"/>
        </w:rPr>
        <w:t>ektoparazitmi</w:t>
      </w:r>
      <w:proofErr w:type="spellEnd"/>
      <w:r>
        <w:rPr>
          <w:iCs/>
          <w:sz w:val="22"/>
          <w:szCs w:val="22"/>
        </w:rPr>
        <w:t xml:space="preserve"> (</w:t>
      </w:r>
      <w:proofErr w:type="spellStart"/>
      <w:r>
        <w:rPr>
          <w:iCs/>
          <w:sz w:val="22"/>
          <w:szCs w:val="22"/>
        </w:rPr>
        <w:t>Ichthyophthirius</w:t>
      </w:r>
      <w:proofErr w:type="spellEnd"/>
      <w:r>
        <w:rPr>
          <w:iCs/>
          <w:sz w:val="22"/>
          <w:szCs w:val="22"/>
        </w:rPr>
        <w:t xml:space="preserve"> alebo </w:t>
      </w:r>
      <w:proofErr w:type="spellStart"/>
      <w:r>
        <w:rPr>
          <w:iCs/>
          <w:sz w:val="22"/>
          <w:szCs w:val="22"/>
        </w:rPr>
        <w:t>Oodinium</w:t>
      </w:r>
      <w:proofErr w:type="spellEnd"/>
      <w:r>
        <w:rPr>
          <w:iCs/>
          <w:sz w:val="22"/>
          <w:szCs w:val="22"/>
        </w:rPr>
        <w:t xml:space="preserve">). 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Ryby sa stávajú ľahkou obeťou predovšetkým tzv. „chovateľských ochorení“, ktorými rozumieme tiež ochorenia, ktoré sú nebezpečné najmä v nádržiach s veľmi hustým osídlením rýb a zlými životnými podmienkami. Tieto ochorenia sa vyskytujú aj vo voľnej prírode, kde však nie sú také nebezpečné, pretože v týchto podmienkach sú ryby viac izolované v dôsledku veľkých objemov vody. 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K takýmto pochoreniam patrí </w:t>
      </w:r>
      <w:proofErr w:type="spellStart"/>
      <w:r>
        <w:rPr>
          <w:iCs/>
          <w:sz w:val="22"/>
          <w:szCs w:val="22"/>
        </w:rPr>
        <w:t>Ichthyophthirius</w:t>
      </w:r>
      <w:proofErr w:type="spellEnd"/>
      <w:r>
        <w:rPr>
          <w:iCs/>
          <w:sz w:val="22"/>
          <w:szCs w:val="22"/>
        </w:rPr>
        <w:t xml:space="preserve"> („krupička“), ktorú akvaristi označujú aj ako </w:t>
      </w:r>
      <w:proofErr w:type="spellStart"/>
      <w:r>
        <w:rPr>
          <w:iCs/>
          <w:sz w:val="22"/>
          <w:szCs w:val="22"/>
        </w:rPr>
        <w:t>Ichthyo</w:t>
      </w:r>
      <w:proofErr w:type="spellEnd"/>
      <w:r>
        <w:rPr>
          <w:iCs/>
          <w:sz w:val="22"/>
          <w:szCs w:val="22"/>
        </w:rPr>
        <w:t xml:space="preserve"> a to vo všetkých formách</w:t>
      </w:r>
      <w:r>
        <w:rPr>
          <w:iCs/>
          <w:sz w:val="22"/>
          <w:szCs w:val="22"/>
          <w:lang w:val="en-US"/>
        </w:rPr>
        <w:t xml:space="preserve">; </w:t>
      </w:r>
      <w:r>
        <w:rPr>
          <w:iCs/>
          <w:sz w:val="22"/>
          <w:szCs w:val="22"/>
        </w:rPr>
        <w:t xml:space="preserve">ďalej k nim patrí tzv. </w:t>
      </w:r>
      <w:proofErr w:type="spellStart"/>
      <w:r>
        <w:rPr>
          <w:iCs/>
          <w:sz w:val="22"/>
          <w:szCs w:val="22"/>
        </w:rPr>
        <w:t>Oodinium</w:t>
      </w:r>
      <w:proofErr w:type="spellEnd"/>
      <w:r>
        <w:rPr>
          <w:iCs/>
          <w:sz w:val="22"/>
          <w:szCs w:val="22"/>
        </w:rPr>
        <w:t xml:space="preserve"> („zamatová choroba“), kedy sa na rybách objavuje v pokročilom štádiu veľmi jemná krupica. Obaja jednobunkový </w:t>
      </w:r>
      <w:proofErr w:type="spellStart"/>
      <w:r>
        <w:rPr>
          <w:iCs/>
          <w:sz w:val="22"/>
          <w:szCs w:val="22"/>
        </w:rPr>
        <w:t>ektoparaziti</w:t>
      </w:r>
      <w:proofErr w:type="spellEnd"/>
      <w:r>
        <w:rPr>
          <w:iCs/>
          <w:sz w:val="22"/>
          <w:szCs w:val="22"/>
        </w:rPr>
        <w:t xml:space="preserve"> sa množia delením. Z nových zárodkov sa vyvíjajú ďalšie parazity, tvoriace zhluky voľne plávajúce vo vode, ktoré napádajú ďalšie ryby. Prípravok 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EXIT napomáha znížiť množstvo tak materských pôvodcov ochorení  (na koži a plutvách), ako aj voľne plávajúcich jedincov. Prispieva k zlepšeniu </w:t>
      </w:r>
      <w:proofErr w:type="spellStart"/>
      <w:r>
        <w:rPr>
          <w:iCs/>
          <w:sz w:val="22"/>
          <w:szCs w:val="22"/>
        </w:rPr>
        <w:t>welfare</w:t>
      </w:r>
      <w:proofErr w:type="spellEnd"/>
      <w:r>
        <w:rPr>
          <w:iCs/>
          <w:sz w:val="22"/>
          <w:szCs w:val="22"/>
        </w:rPr>
        <w:t xml:space="preserve"> rýb taktiež pri výskyte odolných foriem, ako je napríklad anglicky nazývaný „</w:t>
      </w:r>
      <w:proofErr w:type="spellStart"/>
      <w:r>
        <w:rPr>
          <w:iCs/>
          <w:sz w:val="22"/>
          <w:szCs w:val="22"/>
        </w:rPr>
        <w:t>pepper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stip</w:t>
      </w:r>
      <w:proofErr w:type="spellEnd"/>
      <w:r>
        <w:rPr>
          <w:iCs/>
          <w:sz w:val="22"/>
          <w:szCs w:val="22"/>
        </w:rPr>
        <w:t xml:space="preserve">“. U niektorých foriem </w:t>
      </w:r>
      <w:proofErr w:type="spellStart"/>
      <w:r>
        <w:rPr>
          <w:iCs/>
          <w:sz w:val="22"/>
          <w:szCs w:val="22"/>
        </w:rPr>
        <w:t>Ichthio</w:t>
      </w:r>
      <w:proofErr w:type="spellEnd"/>
      <w:r>
        <w:rPr>
          <w:iCs/>
          <w:sz w:val="22"/>
          <w:szCs w:val="22"/>
        </w:rPr>
        <w:t xml:space="preserve"> sú známe veľmi odolné kmene, ktoré sa usídlia na rybách, spočiatku neškodia alebo prípadne ležia na dne nádrže ako cysty. Tieto formy však rýchlo spôsobia ďalšie nové ochorenia, </w:t>
      </w:r>
      <w:proofErr w:type="spellStart"/>
      <w:r>
        <w:rPr>
          <w:iCs/>
          <w:sz w:val="22"/>
          <w:szCs w:val="22"/>
        </w:rPr>
        <w:t>akonáhle</w:t>
      </w:r>
      <w:proofErr w:type="spellEnd"/>
      <w:r>
        <w:rPr>
          <w:iCs/>
          <w:sz w:val="22"/>
          <w:szCs w:val="22"/>
        </w:rPr>
        <w:t xml:space="preserve"> sa zhorší kvalita vody, alebo sa do akváriá vysadia nové oslabené ryby. Prípravok 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EXIT môže v takýchto prípadoch pomôcť znížiť riziko napadnutia rýb týmito parazitmi.  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Dávkovanie: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Pri dávkovaní prípravku obráťte fľaštičku hore dnom a stláčajte priesvitnú pipetu.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20 kvapiek = 1 ml.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6"/>
          <w:szCs w:val="6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1 deň: 20 kvapiek na 100 litrov vody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2. deň: 10 kvapiek na 100 litrov vody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3. deň 10 kvapiek na 100 litrov vody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6"/>
          <w:szCs w:val="6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U veľmi odolných kmeňov </w:t>
      </w:r>
      <w:proofErr w:type="spellStart"/>
      <w:r>
        <w:rPr>
          <w:iCs/>
          <w:sz w:val="22"/>
          <w:szCs w:val="22"/>
        </w:rPr>
        <w:t>Ichthyo</w:t>
      </w:r>
      <w:proofErr w:type="spellEnd"/>
      <w:r>
        <w:rPr>
          <w:iCs/>
          <w:sz w:val="22"/>
          <w:szCs w:val="22"/>
        </w:rPr>
        <w:t xml:space="preserve"> môžete dávkovanie predĺžiť na 4. a 5. deň, kedy sa dávkuje opäť po 10 kvapiek na 100 litrov vody.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Pokyny: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K aplikácii nie je potrebná separátna nádrž, ani zvyšovanie teploty alebo výmena vody.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Prípravok 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EXIT sa odbúrava samovoľne. Prípravok 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EXIT sa môže používať spolu s prípravkom 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2000 pri štandardnom dávkovaní. Tým sa dosiahne ešte širšie pôsobenie.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Filtrácia: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*  Pokračujte vo filtrácii cez filtračnú vatu, nie však cez adsorbujúce médiá ako je napr. aktívne uhlie.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* V priebehu aplikácie prípravku vyraďte z prevádzky </w:t>
      </w:r>
      <w:proofErr w:type="spellStart"/>
      <w:r>
        <w:rPr>
          <w:iCs/>
          <w:sz w:val="22"/>
          <w:szCs w:val="22"/>
        </w:rPr>
        <w:t>UV-sterilizátory</w:t>
      </w:r>
      <w:proofErr w:type="spellEnd"/>
      <w:r>
        <w:rPr>
          <w:iCs/>
          <w:sz w:val="22"/>
          <w:szCs w:val="22"/>
        </w:rPr>
        <w:t xml:space="preserve"> a </w:t>
      </w:r>
      <w:proofErr w:type="spellStart"/>
      <w:r>
        <w:rPr>
          <w:iCs/>
          <w:sz w:val="22"/>
          <w:szCs w:val="22"/>
        </w:rPr>
        <w:t>ionexové</w:t>
      </w:r>
      <w:proofErr w:type="spellEnd"/>
      <w:r>
        <w:rPr>
          <w:iCs/>
          <w:sz w:val="22"/>
          <w:szCs w:val="22"/>
        </w:rPr>
        <w:t xml:space="preserve"> živice, pretože môžu za určitých okolností ovplyvniť účinok použitého prípravku. 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10"/>
          <w:szCs w:val="10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Vzájomné interakcie s inými prípravkami:</w:t>
      </w:r>
    </w:p>
    <w:p w:rsidR="006E6FDE" w:rsidRDefault="006E6FDE" w:rsidP="006E6FDE">
      <w:pPr>
        <w:tabs>
          <w:tab w:val="left" w:pos="284"/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*  Rôzne kombinácie prípravkov používajte len vtedy, ak to výrobca odporúča.</w:t>
      </w:r>
    </w:p>
    <w:p w:rsidR="006E6FDE" w:rsidRDefault="006E6FDE" w:rsidP="006E6FDE">
      <w:pPr>
        <w:tabs>
          <w:tab w:val="left" w:pos="142"/>
          <w:tab w:val="left" w:pos="2127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>*</w:t>
      </w:r>
      <w:r>
        <w:rPr>
          <w:iCs/>
          <w:sz w:val="22"/>
          <w:szCs w:val="22"/>
        </w:rPr>
        <w:tab/>
        <w:t xml:space="preserve"> Oxidačné činidlá (peroxid vodíka), kondicionéry vody, </w:t>
      </w:r>
      <w:proofErr w:type="spellStart"/>
      <w:r>
        <w:rPr>
          <w:iCs/>
          <w:sz w:val="22"/>
          <w:szCs w:val="22"/>
        </w:rPr>
        <w:t>ionexové</w:t>
      </w:r>
      <w:proofErr w:type="spellEnd"/>
      <w:r>
        <w:rPr>
          <w:iCs/>
          <w:sz w:val="22"/>
          <w:szCs w:val="22"/>
        </w:rPr>
        <w:t xml:space="preserve"> živice a ultrafialové svetlo ovplyvňujú pôsobenie mnohých prípravkov v dôsledku rôznych procesov, ako je oxidácia, redukcia alebo adsorpcia. Po ukončení aplikácie vymeňte 30 až 50 % vody za vodu čistú.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Odporúčanie: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Po ošetrení rýb prípravkami 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EXIT a 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2000 odporúčame použiť prípravok 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OPTIMA (kombinácia stopových prvkov, minerálnych látok a vitamínov), stimuluje a rýchlo zvyšuje prirodzenú imunitu. 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Upozornenia:</w:t>
      </w:r>
      <w:r>
        <w:rPr>
          <w:iCs/>
          <w:sz w:val="22"/>
          <w:szCs w:val="22"/>
        </w:rPr>
        <w:t xml:space="preserve"> 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Uchovávajte mimo dohľadu a dosahu detí. Veterinárny prípravok. Určené len pre okrasné ryby. Veterinárny prípravok sa nesmie používať na ošetrenie rýb, vrátane ikier a plôdika určených na produkciu potravín. Dodržujte odporúčané dávkovanie. S prípravkom zaobchádzajte obozretne, vyvarujte sa kontaktu s očami alebo kožou. Po manipulácii si dôkladne umyte ruky. Fľaštičku s prípravkom uchovávajte v pôvodnom obale, spolu s písomnou informáciou. Nepoužívajte po uplynutí dátumu exspirácie.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6E6FDE" w:rsidRDefault="006E6FDE" w:rsidP="006E6FDE">
      <w:pPr>
        <w:tabs>
          <w:tab w:val="left" w:pos="1455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Spôsob uchovávania:</w:t>
      </w:r>
    </w:p>
    <w:p w:rsidR="006E6FDE" w:rsidRDefault="006E6FDE" w:rsidP="006E6FDE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Uchovávajte pri izbovej tepote. Chráňte pred mrazom.  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10"/>
          <w:szCs w:val="10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Veľkosť balenia: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20 ml na 2 000 litrov vody (180 ml, 500 ml, 1 000 ml).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6E6FDE" w:rsidRDefault="006E6FDE" w:rsidP="006E6FDE">
      <w:pPr>
        <w:tabs>
          <w:tab w:val="left" w:pos="1455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Označenie:</w:t>
      </w:r>
      <w:r>
        <w:rPr>
          <w:b/>
          <w:iCs/>
          <w:sz w:val="22"/>
          <w:szCs w:val="22"/>
        </w:rPr>
        <w:tab/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Len pre zvieratá. 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Bez predpisu veterinárneho lekára.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6E6FDE" w:rsidRDefault="006E6FDE" w:rsidP="006E6FDE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Výrobca:</w:t>
      </w:r>
    </w:p>
    <w:p w:rsidR="006E6FDE" w:rsidRDefault="006E6FDE" w:rsidP="006E6FDE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Sea-Horse</w:t>
      </w:r>
      <w:proofErr w:type="spellEnd"/>
      <w:r>
        <w:rPr>
          <w:sz w:val="22"/>
          <w:szCs w:val="22"/>
        </w:rPr>
        <w:t xml:space="preserve"> IPC B.V., </w:t>
      </w:r>
      <w:proofErr w:type="spellStart"/>
      <w:r>
        <w:rPr>
          <w:sz w:val="22"/>
          <w:szCs w:val="22"/>
        </w:rPr>
        <w:t>Kasteelastraat</w:t>
      </w:r>
      <w:proofErr w:type="spellEnd"/>
      <w:r>
        <w:rPr>
          <w:sz w:val="22"/>
          <w:szCs w:val="22"/>
        </w:rPr>
        <w:t xml:space="preserve"> 4-ABC, 062 23 </w:t>
      </w:r>
      <w:proofErr w:type="spellStart"/>
      <w:r>
        <w:rPr>
          <w:sz w:val="22"/>
          <w:szCs w:val="22"/>
        </w:rPr>
        <w:t>Maastricht-Borgharen</w:t>
      </w:r>
      <w:proofErr w:type="spellEnd"/>
      <w:r>
        <w:rPr>
          <w:sz w:val="22"/>
          <w:szCs w:val="22"/>
        </w:rPr>
        <w:t>, Holandsko.</w:t>
      </w:r>
    </w:p>
    <w:p w:rsidR="006E6FDE" w:rsidRDefault="006E6FDE" w:rsidP="006E6FDE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6E6FDE" w:rsidRDefault="006E6FDE" w:rsidP="006E6FDE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Držiteľ rozhodnutia o schválení:</w:t>
      </w:r>
    </w:p>
    <w:p w:rsidR="006E6FDE" w:rsidRDefault="006E6FDE" w:rsidP="006E6FDE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Jaroslav </w:t>
      </w:r>
      <w:proofErr w:type="spellStart"/>
      <w:r>
        <w:rPr>
          <w:bCs/>
          <w:sz w:val="22"/>
          <w:szCs w:val="22"/>
        </w:rPr>
        <w:t>Macenauer</w:t>
      </w:r>
      <w:proofErr w:type="spellEnd"/>
      <w:r>
        <w:rPr>
          <w:bCs/>
          <w:sz w:val="22"/>
          <w:szCs w:val="22"/>
        </w:rPr>
        <w:t>, Ing. – AKVARIUM , Gagarinova 385, 530 09 Pardubice, Česká republika,</w:t>
      </w:r>
    </w:p>
    <w:p w:rsidR="006E6FDE" w:rsidRDefault="006E6FDE" w:rsidP="006E6FDE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hyperlink r:id="rId5" w:history="1">
        <w:r>
          <w:rPr>
            <w:rStyle w:val="Hypertextovprepojenie"/>
            <w:bCs/>
            <w:sz w:val="22"/>
            <w:szCs w:val="22"/>
          </w:rPr>
          <w:t>www.macenauer.eu</w:t>
        </w:r>
      </w:hyperlink>
      <w:r>
        <w:rPr>
          <w:bCs/>
          <w:sz w:val="22"/>
          <w:szCs w:val="22"/>
        </w:rPr>
        <w:t>.</w:t>
      </w:r>
    </w:p>
    <w:p w:rsidR="006E6FDE" w:rsidRDefault="006E6FDE" w:rsidP="006E6FDE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Schvaľovacie číslo: 276/R/22-S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851"/>
        </w:tabs>
        <w:rPr>
          <w:b/>
          <w:bCs/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lastRenderedPageBreak/>
        <w:t>Príloha č. 2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276/R/22-S</w:t>
      </w:r>
    </w:p>
    <w:p w:rsidR="006E6FDE" w:rsidRDefault="006E6FDE" w:rsidP="006E6FDE">
      <w:pPr>
        <w:jc w:val="both"/>
        <w:outlineLvl w:val="0"/>
        <w:rPr>
          <w:b/>
          <w:sz w:val="22"/>
          <w:szCs w:val="22"/>
        </w:rPr>
      </w:pPr>
    </w:p>
    <w:p w:rsidR="006E6FDE" w:rsidRDefault="006E6FDE" w:rsidP="006E6FDE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vonkajší obal = papierová krabička</w:t>
      </w:r>
    </w:p>
    <w:p w:rsidR="006E6FDE" w:rsidRDefault="006E6FDE" w:rsidP="006E6FDE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Názov </w:t>
      </w:r>
      <w:proofErr w:type="spellStart"/>
      <w:r>
        <w:rPr>
          <w:b/>
          <w:sz w:val="22"/>
          <w:szCs w:val="22"/>
        </w:rPr>
        <w:t>vet</w:t>
      </w:r>
      <w:proofErr w:type="spellEnd"/>
      <w:r>
        <w:rPr>
          <w:b/>
          <w:sz w:val="22"/>
          <w:szCs w:val="22"/>
        </w:rPr>
        <w:t>. prípravku:</w:t>
      </w:r>
    </w:p>
    <w:p w:rsidR="006E6FDE" w:rsidRDefault="006E6FDE" w:rsidP="006E6FDE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eSHa</w:t>
      </w:r>
      <w:proofErr w:type="spellEnd"/>
      <w:r>
        <w:rPr>
          <w:b/>
          <w:sz w:val="22"/>
          <w:szCs w:val="22"/>
        </w:rPr>
        <w:t xml:space="preserve"> EXIT</w:t>
      </w:r>
    </w:p>
    <w:p w:rsidR="006E6FDE" w:rsidRDefault="006E6FDE" w:rsidP="006E6FDE">
      <w:pPr>
        <w:tabs>
          <w:tab w:val="left" w:pos="2127"/>
          <w:tab w:val="left" w:pos="2552"/>
        </w:tabs>
        <w:ind w:left="2410" w:hanging="2410"/>
        <w:jc w:val="both"/>
        <w:rPr>
          <w:b/>
          <w:sz w:val="10"/>
          <w:szCs w:val="10"/>
        </w:rPr>
      </w:pPr>
    </w:p>
    <w:p w:rsidR="006E6FDE" w:rsidRDefault="006E6FDE" w:rsidP="006E6FDE">
      <w:pPr>
        <w:tabs>
          <w:tab w:val="left" w:pos="2127"/>
          <w:tab w:val="left" w:pos="2552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  <w:r>
        <w:rPr>
          <w:b/>
          <w:sz w:val="22"/>
          <w:szCs w:val="22"/>
        </w:rPr>
        <w:t>20 ml  (180 ml, 500 ml, 1 000 ml)</w:t>
      </w:r>
    </w:p>
    <w:p w:rsidR="006E6FDE" w:rsidRDefault="006E6FDE" w:rsidP="006E6FDE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6E6FDE" w:rsidRDefault="006E6FDE" w:rsidP="006E6FDE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>Veterinárny prípravok určený na aplikáciu do akváriovej vody, ktorý môže napomôcť pri ošetrení rýb pri podozrení na výskyt vonkajších parazitov (napr. krupica).</w:t>
      </w:r>
    </w:p>
    <w:p w:rsidR="006E6FDE" w:rsidRDefault="006E6FDE" w:rsidP="006E6FDE">
      <w:pPr>
        <w:tabs>
          <w:tab w:val="left" w:pos="0"/>
          <w:tab w:val="left" w:pos="2127"/>
        </w:tabs>
        <w:jc w:val="both"/>
        <w:rPr>
          <w:sz w:val="10"/>
          <w:szCs w:val="10"/>
        </w:rPr>
      </w:pPr>
    </w:p>
    <w:p w:rsidR="006E6FDE" w:rsidRDefault="006E6FDE" w:rsidP="006E6FDE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Zloženie:</w:t>
      </w:r>
    </w:p>
    <w:p w:rsidR="006E6FDE" w:rsidRDefault="006E6FDE" w:rsidP="006E6FDE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ml prípravku obsahuje: 6,3 mg </w:t>
      </w:r>
      <w:proofErr w:type="spellStart"/>
      <w:r>
        <w:rPr>
          <w:sz w:val="22"/>
          <w:szCs w:val="22"/>
        </w:rPr>
        <w:t>diaminoakridín</w:t>
      </w:r>
      <w:proofErr w:type="spellEnd"/>
      <w:r>
        <w:rPr>
          <w:sz w:val="22"/>
          <w:szCs w:val="22"/>
        </w:rPr>
        <w:t xml:space="preserve">, 0,31 mg </w:t>
      </w:r>
      <w:proofErr w:type="spellStart"/>
      <w:r>
        <w:rPr>
          <w:sz w:val="22"/>
          <w:szCs w:val="22"/>
        </w:rPr>
        <w:t>oxalát</w:t>
      </w:r>
      <w:proofErr w:type="spellEnd"/>
      <w:r>
        <w:rPr>
          <w:sz w:val="22"/>
          <w:szCs w:val="22"/>
        </w:rPr>
        <w:t xml:space="preserve"> malachitovej zelene, 0,79 mg </w:t>
      </w:r>
      <w:proofErr w:type="spellStart"/>
      <w:r>
        <w:rPr>
          <w:sz w:val="22"/>
          <w:szCs w:val="22"/>
          <w:shd w:val="clear" w:color="auto" w:fill="FFFFFF"/>
        </w:rPr>
        <w:t>metylrozanilíniumchlorid</w:t>
      </w:r>
      <w:proofErr w:type="spellEnd"/>
      <w:r>
        <w:rPr>
          <w:sz w:val="22"/>
          <w:szCs w:val="22"/>
        </w:rPr>
        <w:t xml:space="preserve">, 3,98 mg </w:t>
      </w:r>
      <w:proofErr w:type="spellStart"/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metyltioníniumchlorid</w:t>
      </w:r>
      <w:proofErr w:type="spellEnd"/>
      <w:r>
        <w:rPr>
          <w:sz w:val="22"/>
          <w:szCs w:val="22"/>
        </w:rPr>
        <w:t>.</w:t>
      </w:r>
    </w:p>
    <w:p w:rsidR="006E6FDE" w:rsidRDefault="006E6FDE" w:rsidP="006E6FDE">
      <w:pPr>
        <w:tabs>
          <w:tab w:val="left" w:pos="0"/>
          <w:tab w:val="left" w:pos="2127"/>
        </w:tabs>
        <w:jc w:val="both"/>
        <w:rPr>
          <w:sz w:val="6"/>
          <w:szCs w:val="6"/>
        </w:rPr>
      </w:pPr>
    </w:p>
    <w:p w:rsidR="006E6FDE" w:rsidRDefault="006E6FDE" w:rsidP="006E6FDE">
      <w:pPr>
        <w:tabs>
          <w:tab w:val="left" w:pos="0"/>
          <w:tab w:val="left" w:pos="2127"/>
        </w:tabs>
        <w:jc w:val="both"/>
        <w:rPr>
          <w:sz w:val="10"/>
          <w:szCs w:val="10"/>
        </w:rPr>
      </w:pPr>
    </w:p>
    <w:p w:rsidR="006E6FDE" w:rsidRDefault="006E6FDE" w:rsidP="006E6FDE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>Pred použitím si prečítajte písomnú informáciu pre používateľa.</w:t>
      </w:r>
    </w:p>
    <w:p w:rsidR="006E6FDE" w:rsidRDefault="006E6FDE" w:rsidP="006E6FDE">
      <w:pPr>
        <w:tabs>
          <w:tab w:val="left" w:pos="0"/>
          <w:tab w:val="left" w:pos="2127"/>
        </w:tabs>
        <w:jc w:val="both"/>
        <w:rPr>
          <w:sz w:val="10"/>
          <w:szCs w:val="10"/>
        </w:rPr>
      </w:pPr>
    </w:p>
    <w:p w:rsidR="006E6FDE" w:rsidRDefault="006E6FDE" w:rsidP="006E6FDE">
      <w:pPr>
        <w:tabs>
          <w:tab w:val="left" w:pos="0"/>
          <w:tab w:val="left" w:pos="212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Spôsob uchovávania:</w:t>
      </w:r>
    </w:p>
    <w:p w:rsidR="006E6FDE" w:rsidRDefault="006E6FDE" w:rsidP="006E6FDE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Uchovávajte pri izbovej tepote. Chráňte pred mrazom. Uchovávajte mimo dohľadu a dosahu detí. </w:t>
      </w:r>
    </w:p>
    <w:p w:rsidR="006E6FDE" w:rsidRDefault="006E6FDE" w:rsidP="006E6FDE">
      <w:pPr>
        <w:tabs>
          <w:tab w:val="left" w:pos="0"/>
          <w:tab w:val="left" w:pos="2127"/>
        </w:tabs>
        <w:jc w:val="both"/>
        <w:rPr>
          <w:sz w:val="10"/>
          <w:szCs w:val="10"/>
        </w:rPr>
      </w:pPr>
    </w:p>
    <w:p w:rsidR="006E6FDE" w:rsidRDefault="006E6FDE" w:rsidP="006E6FDE">
      <w:pPr>
        <w:tabs>
          <w:tab w:val="left" w:pos="0"/>
          <w:tab w:val="left" w:pos="212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Len pre zvieratá.</w:t>
      </w:r>
    </w:p>
    <w:p w:rsidR="006E6FDE" w:rsidRDefault="006E6FDE" w:rsidP="006E6FDE">
      <w:pPr>
        <w:tabs>
          <w:tab w:val="left" w:pos="0"/>
          <w:tab w:val="left" w:pos="212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Bez predpisu veterinárneho lekára.</w:t>
      </w:r>
    </w:p>
    <w:p w:rsidR="006E6FDE" w:rsidRDefault="006E6FDE" w:rsidP="006E6FDE">
      <w:pPr>
        <w:tabs>
          <w:tab w:val="left" w:pos="0"/>
          <w:tab w:val="left" w:pos="2127"/>
        </w:tabs>
        <w:jc w:val="both"/>
        <w:rPr>
          <w:sz w:val="10"/>
          <w:szCs w:val="10"/>
        </w:rPr>
      </w:pPr>
    </w:p>
    <w:p w:rsidR="006E6FDE" w:rsidRDefault="006E6FDE" w:rsidP="006E6FDE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Výrobca:</w:t>
      </w:r>
    </w:p>
    <w:p w:rsidR="006E6FDE" w:rsidRDefault="006E6FDE" w:rsidP="006E6FDE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Sea-Horse</w:t>
      </w:r>
      <w:proofErr w:type="spellEnd"/>
      <w:r>
        <w:rPr>
          <w:sz w:val="22"/>
          <w:szCs w:val="22"/>
        </w:rPr>
        <w:t xml:space="preserve"> IPC B.V., </w:t>
      </w:r>
      <w:proofErr w:type="spellStart"/>
      <w:r>
        <w:rPr>
          <w:sz w:val="22"/>
          <w:szCs w:val="22"/>
        </w:rPr>
        <w:t>Kasteelastraat</w:t>
      </w:r>
      <w:proofErr w:type="spellEnd"/>
      <w:r>
        <w:rPr>
          <w:sz w:val="22"/>
          <w:szCs w:val="22"/>
        </w:rPr>
        <w:t xml:space="preserve"> 4-ABC, 062 23 </w:t>
      </w:r>
      <w:proofErr w:type="spellStart"/>
      <w:r>
        <w:rPr>
          <w:sz w:val="22"/>
          <w:szCs w:val="22"/>
        </w:rPr>
        <w:t>Maastricht-Borgharen</w:t>
      </w:r>
      <w:proofErr w:type="spellEnd"/>
      <w:r>
        <w:rPr>
          <w:sz w:val="22"/>
          <w:szCs w:val="22"/>
        </w:rPr>
        <w:t>, Holandsko.</w:t>
      </w:r>
    </w:p>
    <w:p w:rsidR="006E6FDE" w:rsidRDefault="006E6FDE" w:rsidP="006E6FDE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6E6FDE" w:rsidRDefault="006E6FDE" w:rsidP="006E6FDE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Držiteľ rozhodnutia o schválení:</w:t>
      </w:r>
    </w:p>
    <w:p w:rsidR="006E6FDE" w:rsidRDefault="006E6FDE" w:rsidP="006E6FDE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Jaroslav </w:t>
      </w:r>
      <w:proofErr w:type="spellStart"/>
      <w:r>
        <w:rPr>
          <w:bCs/>
          <w:sz w:val="22"/>
          <w:szCs w:val="22"/>
        </w:rPr>
        <w:t>Macenauer</w:t>
      </w:r>
      <w:proofErr w:type="spellEnd"/>
      <w:r>
        <w:rPr>
          <w:bCs/>
          <w:sz w:val="22"/>
          <w:szCs w:val="22"/>
        </w:rPr>
        <w:t>, Ing. – AKVARIUM , Gagarinova 385, 530 09 Pardubice, Česká republika.</w:t>
      </w:r>
    </w:p>
    <w:p w:rsidR="006E6FDE" w:rsidRDefault="006E6FDE" w:rsidP="006E6FDE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Schvaľovacie číslo: 276/R/22-S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EXSP., </w:t>
      </w:r>
      <w:proofErr w:type="spellStart"/>
      <w:r>
        <w:rPr>
          <w:iCs/>
          <w:sz w:val="22"/>
          <w:szCs w:val="22"/>
        </w:rPr>
        <w:t>ćíslo</w:t>
      </w:r>
      <w:proofErr w:type="spellEnd"/>
      <w:r>
        <w:rPr>
          <w:iCs/>
          <w:sz w:val="22"/>
          <w:szCs w:val="22"/>
        </w:rPr>
        <w:t xml:space="preserve"> šarže: viď obal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vnútorný obal = etiketa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Názov </w:t>
      </w:r>
      <w:proofErr w:type="spellStart"/>
      <w:r>
        <w:rPr>
          <w:b/>
          <w:sz w:val="22"/>
          <w:szCs w:val="22"/>
        </w:rPr>
        <w:t>vet</w:t>
      </w:r>
      <w:proofErr w:type="spellEnd"/>
      <w:r>
        <w:rPr>
          <w:b/>
          <w:sz w:val="22"/>
          <w:szCs w:val="22"/>
        </w:rPr>
        <w:t>. prípravku:</w:t>
      </w:r>
    </w:p>
    <w:p w:rsidR="006E6FDE" w:rsidRDefault="006E6FDE" w:rsidP="006E6FDE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eSHa</w:t>
      </w:r>
      <w:proofErr w:type="spellEnd"/>
      <w:r>
        <w:rPr>
          <w:b/>
          <w:sz w:val="22"/>
          <w:szCs w:val="22"/>
        </w:rPr>
        <w:t xml:space="preserve"> EXIT</w:t>
      </w:r>
    </w:p>
    <w:p w:rsidR="006E6FDE" w:rsidRDefault="006E6FDE" w:rsidP="006E6FDE">
      <w:pPr>
        <w:tabs>
          <w:tab w:val="left" w:pos="2127"/>
          <w:tab w:val="left" w:pos="2552"/>
        </w:tabs>
        <w:ind w:left="2410" w:hanging="2410"/>
        <w:jc w:val="both"/>
        <w:rPr>
          <w:b/>
          <w:sz w:val="10"/>
          <w:szCs w:val="10"/>
        </w:rPr>
      </w:pPr>
    </w:p>
    <w:p w:rsidR="006E6FDE" w:rsidRDefault="006E6FDE" w:rsidP="006E6FDE">
      <w:pPr>
        <w:tabs>
          <w:tab w:val="left" w:pos="2127"/>
          <w:tab w:val="left" w:pos="2552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  <w:r>
        <w:rPr>
          <w:b/>
          <w:sz w:val="22"/>
          <w:szCs w:val="22"/>
        </w:rPr>
        <w:t>20 ml  (180 ml, 500 ml, 1 000 ml)</w:t>
      </w:r>
    </w:p>
    <w:p w:rsidR="006E6FDE" w:rsidRDefault="006E6FDE" w:rsidP="006E6FDE">
      <w:pPr>
        <w:tabs>
          <w:tab w:val="left" w:pos="2127"/>
          <w:tab w:val="left" w:pos="2552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EXSP., číslo šarže: viď obal</w:t>
      </w:r>
    </w:p>
    <w:p w:rsidR="006E6FDE" w:rsidRDefault="006E6FDE" w:rsidP="006E6FDE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1210DC" w:rsidRDefault="001210DC"/>
    <w:sectPr w:rsidR="00121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FF"/>
    <w:rsid w:val="000F2AFF"/>
    <w:rsid w:val="001210DC"/>
    <w:rsid w:val="006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E6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6E6FDE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6E6F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E6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6E6FDE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6E6F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cenaue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4823</Characters>
  <Application>Microsoft Office Word</Application>
  <DocSecurity>0</DocSecurity>
  <Lines>40</Lines>
  <Paragraphs>11</Paragraphs>
  <ScaleCrop>false</ScaleCrop>
  <Company>ŠVPS SR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2023-10-13T06:46:00Z</dcterms:created>
  <dcterms:modified xsi:type="dcterms:W3CDTF">2023-10-13T06:46:00Z</dcterms:modified>
</cp:coreProperties>
</file>