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6" w:rsidRDefault="00B03276" w:rsidP="00B03276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277/R/22-S</w:t>
      </w:r>
    </w:p>
    <w:p w:rsidR="00B03276" w:rsidRDefault="00B03276" w:rsidP="00B03276">
      <w:pPr>
        <w:jc w:val="both"/>
        <w:outlineLvl w:val="0"/>
        <w:rPr>
          <w:b/>
          <w:sz w:val="22"/>
          <w:szCs w:val="22"/>
        </w:rPr>
      </w:pPr>
    </w:p>
    <w:p w:rsidR="00B03276" w:rsidRDefault="00B03276" w:rsidP="00B0327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2000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etakridín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laktát</w:t>
      </w:r>
      <w:proofErr w:type="spellEnd"/>
      <w:r>
        <w:rPr>
          <w:sz w:val="22"/>
          <w:szCs w:val="22"/>
        </w:rPr>
        <w:t xml:space="preserve"> 6,3 mg, Cu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 xml:space="preserve"> 3,2 mg, </w:t>
      </w:r>
      <w:proofErr w:type="spellStart"/>
      <w:r>
        <w:rPr>
          <w:sz w:val="22"/>
          <w:szCs w:val="22"/>
        </w:rPr>
        <w:t>metyloranž</w:t>
      </w:r>
      <w:proofErr w:type="spellEnd"/>
      <w:r>
        <w:rPr>
          <w:sz w:val="22"/>
          <w:szCs w:val="22"/>
        </w:rPr>
        <w:t xml:space="preserve"> 0,26 mg, </w:t>
      </w:r>
      <w:proofErr w:type="spellStart"/>
      <w:r>
        <w:rPr>
          <w:sz w:val="22"/>
          <w:szCs w:val="22"/>
        </w:rPr>
        <w:t>proflavín</w:t>
      </w:r>
      <w:proofErr w:type="spellEnd"/>
      <w:r>
        <w:rPr>
          <w:sz w:val="22"/>
          <w:szCs w:val="22"/>
        </w:rPr>
        <w:t xml:space="preserve"> 1 mg vo vodnom roztoku.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Číra tmavočervená kvapalina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 kategória</w:t>
      </w:r>
      <w:r>
        <w:rPr>
          <w:b/>
          <w:sz w:val="22"/>
          <w:szCs w:val="22"/>
          <w:lang w:eastAsia="sk-SK"/>
        </w:rPr>
        <w:t xml:space="preserve"> zvierat:</w:t>
      </w:r>
      <w:r>
        <w:rPr>
          <w:b/>
          <w:sz w:val="22"/>
          <w:szCs w:val="22"/>
        </w:rPr>
        <w:t xml:space="preserve">  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Tropické akváriové ryby.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Veterinárny prípravok určený na aplikáciu do akváriovej vody.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napomáha pri ošetrení rýb s príznakmi plesňových a bakteriálnych infekcií a prispieva k zlepšeniu stavu rýb, u ktorých sa vyskytli vonkajšie parazity. Veľkou prednosťou prípravku je schopnosť pomôcť zahojiť poranenia a ochrániť kožné vrstvy. Výhodou je, že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má široké spektrum použitia a napomáha k lepšiemu </w:t>
      </w:r>
      <w:proofErr w:type="spellStart"/>
      <w:r>
        <w:rPr>
          <w:iCs/>
          <w:sz w:val="22"/>
          <w:szCs w:val="22"/>
        </w:rPr>
        <w:t>welfare</w:t>
      </w:r>
      <w:proofErr w:type="spellEnd"/>
      <w:r>
        <w:rPr>
          <w:iCs/>
          <w:sz w:val="22"/>
          <w:szCs w:val="22"/>
        </w:rPr>
        <w:t xml:space="preserve"> rýb pri výskyte choroboplodných organizmov a nepriaznivých podmienok ako sú: plesne (biele alebo slabo sivé „chumáče“, či chumáčiky objavujúce sa okolo ústneho otvoru, plutiev alebo na tele), parazitárne prvoky (lokálne odfarbenie kože, zákaly plutiev, otieranie sa o rastliny, dekorácie či piesok), </w:t>
      </w:r>
      <w:proofErr w:type="spellStart"/>
      <w:r>
        <w:rPr>
          <w:iCs/>
          <w:sz w:val="22"/>
          <w:szCs w:val="22"/>
        </w:rPr>
        <w:t>vredovitosť</w:t>
      </w:r>
      <w:proofErr w:type="spellEnd"/>
      <w:r>
        <w:rPr>
          <w:iCs/>
          <w:sz w:val="22"/>
          <w:szCs w:val="22"/>
        </w:rPr>
        <w:t xml:space="preserve"> a otvorené poranenia, infekčná vodnatieľka, problémy so žiabrami, problémy s pohyblivosťou, začervenanie plutiev atď..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Dávkovanie: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Štandardná dávka (na 100 litrov):</w:t>
      </w:r>
    </w:p>
    <w:p w:rsidR="00B03276" w:rsidRDefault="00B03276" w:rsidP="00B03276">
      <w:pPr>
        <w:numPr>
          <w:ilvl w:val="0"/>
          <w:numId w:val="1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deň: 25 kvapiek</w:t>
      </w:r>
    </w:p>
    <w:p w:rsidR="00B03276" w:rsidRDefault="00B03276" w:rsidP="00B03276">
      <w:pPr>
        <w:numPr>
          <w:ilvl w:val="0"/>
          <w:numId w:val="1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deň: 12 kvapiek</w:t>
      </w:r>
    </w:p>
    <w:p w:rsidR="00B03276" w:rsidRDefault="00B03276" w:rsidP="00B03276">
      <w:pPr>
        <w:numPr>
          <w:ilvl w:val="0"/>
          <w:numId w:val="1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deň: 12 kvapiek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Na zníženie rizika:</w:t>
      </w:r>
      <w:r>
        <w:rPr>
          <w:iCs/>
          <w:sz w:val="22"/>
          <w:szCs w:val="22"/>
        </w:rPr>
        <w:t xml:space="preserve"> dávka 25 kvapiek na 100 litrov vody pri zakúpení nových rýb alebo rastlín, rovnaké dávkovanie je vhodné pri transporte rýb.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Extra silné dávkovanie:</w:t>
      </w:r>
      <w:r>
        <w:rPr>
          <w:iCs/>
          <w:sz w:val="22"/>
          <w:szCs w:val="22"/>
        </w:rPr>
        <w:t xml:space="preserve"> Dávkovanie sa môže zdvojnásobiť po dobu troch dní vo veľmi ťažkých prípadoch a najmä proti zaplesneniu ikier. V niektorých prípadoch je dobré pokračovať po dlhšie obdobie v dávkovaní uvedenom pre druhý a tretí deň.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Dávkovanie vo veľmi mäkkej vode:</w:t>
      </w:r>
      <w:r>
        <w:rPr>
          <w:iCs/>
          <w:sz w:val="22"/>
          <w:szCs w:val="22"/>
        </w:rPr>
        <w:t xml:space="preserve"> V mäkkej vode (nízky obsah uhličitanov) sa štandardné dávkovanie zvýši. Ak je </w:t>
      </w:r>
      <w:proofErr w:type="spellStart"/>
      <w:r>
        <w:rPr>
          <w:iCs/>
          <w:sz w:val="22"/>
          <w:szCs w:val="22"/>
        </w:rPr>
        <w:t>dGH</w:t>
      </w:r>
      <w:proofErr w:type="spellEnd"/>
      <w:r>
        <w:rPr>
          <w:iCs/>
          <w:sz w:val="22"/>
          <w:szCs w:val="22"/>
        </w:rPr>
        <w:t xml:space="preserve"> menšia ako 4°, potom sa dávkovanie po dobu troch dní zdvojnásobí oproti štandardnému dávkovaniu.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V prípade neočakávaných komplikácií vykonajte čiastočnú výmenu vody a kontaktujte Vášho predajcu. Jedna fľaštička prípravku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obsahuje 20 ml a stačí na trojdňovú kúru pre 800 litrov vody.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Aké iné opatrenia je potrebné dodržiavať pri aplikácii veterinárneho prípravku?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Výmena vody?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Obvykle nie je nutné vykonávať výmenu vody pred alebo po použití prípravku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2000. Avšak existuje niekoľko výnimiek:</w:t>
      </w:r>
    </w:p>
    <w:p w:rsidR="00B03276" w:rsidRDefault="00B03276" w:rsidP="00B03276">
      <w:pPr>
        <w:numPr>
          <w:ilvl w:val="0"/>
          <w:numId w:val="2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prípade zlej kvality vody.</w:t>
      </w:r>
    </w:p>
    <w:p w:rsidR="00B03276" w:rsidRDefault="00B03276" w:rsidP="00B03276">
      <w:pPr>
        <w:numPr>
          <w:ilvl w:val="0"/>
          <w:numId w:val="2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Ak sa blíži termín pravidelnej výmeny vody.</w:t>
      </w:r>
    </w:p>
    <w:p w:rsidR="00B03276" w:rsidRDefault="00B03276" w:rsidP="00B03276">
      <w:pPr>
        <w:numPr>
          <w:ilvl w:val="0"/>
          <w:numId w:val="2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Ak používate nejaký iný kondicionér vody.</w:t>
      </w:r>
    </w:p>
    <w:p w:rsidR="00B03276" w:rsidRDefault="00B03276" w:rsidP="00B03276">
      <w:pPr>
        <w:numPr>
          <w:ilvl w:val="0"/>
          <w:numId w:val="2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Ak ste práve použili alebo používate iné prípravky.</w:t>
      </w:r>
    </w:p>
    <w:p w:rsidR="00B03276" w:rsidRDefault="00B03276" w:rsidP="00B03276">
      <w:pPr>
        <w:tabs>
          <w:tab w:val="left" w:pos="284"/>
          <w:tab w:val="left" w:pos="2410"/>
        </w:tabs>
        <w:ind w:left="284"/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84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Filtrácia?</w:t>
      </w:r>
    </w:p>
    <w:p w:rsidR="00B03276" w:rsidRDefault="00B03276" w:rsidP="00B03276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Môžete pokračovať s filtráciou cez neadsorbujúce materiály, ako sú filtračná vata, piesok, štrk atď.. Vždy však vyraďte chemicky „aktívne“ filtračné médiá, ako je aktívne uhlie, odpojte UV sterilizátory, </w:t>
      </w:r>
      <w:proofErr w:type="spellStart"/>
      <w:r>
        <w:rPr>
          <w:iCs/>
          <w:sz w:val="22"/>
          <w:szCs w:val="22"/>
        </w:rPr>
        <w:t>ozonizátory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ionexy</w:t>
      </w:r>
      <w:proofErr w:type="spellEnd"/>
      <w:r>
        <w:rPr>
          <w:iCs/>
          <w:sz w:val="22"/>
          <w:szCs w:val="22"/>
        </w:rPr>
        <w:t xml:space="preserve">, atď., pretože by moli negatívne ovplyvňovať pôsobenie prípravku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2000. Filtračné zariadenie ponechajte v prevádzke nepretržite, alebo aspoň vzduchujte.  </w:t>
      </w:r>
    </w:p>
    <w:p w:rsidR="00B03276" w:rsidRDefault="00B03276" w:rsidP="00B03276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</w:p>
    <w:p w:rsidR="00B03276" w:rsidRDefault="00B03276" w:rsidP="00B03276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Vzájomná interakcia s inými prípravkami?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sa môže bezpečne používať spoločne s prípravkom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(vhodný ako doplnok pri podozrení na výskyt „krupičky“) pri štandardnom dávkovaní. Nikdy však nekombinujte rôzne prípravky, pokiaľ výrobca vyslovene neuvádza bezpečnosť spoločnej aplikácie a pôsobenia. V prípade, že pôsobenie prípravku nie je zrejmé a chceli by ste použiť iný prípravok, je potrebné najskôr filtrovať vodu cez aktívne uhlie, aby ste odstránili pôvodný prípravok alebo vymeniť vodu.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Ako udržať akváriové ryby v dobrej kondícii?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Pre zlepšenie stavu rýb aplikujte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OPTIMA, ktorý obsahuje stopové prvky, vitamíny a minerály, stimuluje a rýchlo zvyšuje prirodzenú imunitu. </w:t>
      </w:r>
    </w:p>
    <w:p w:rsidR="00B03276" w:rsidRDefault="00B03276" w:rsidP="00B03276">
      <w:pPr>
        <w:tabs>
          <w:tab w:val="left" w:pos="2127"/>
          <w:tab w:val="left" w:pos="2410"/>
        </w:tabs>
        <w:ind w:left="360"/>
        <w:jc w:val="both"/>
        <w:rPr>
          <w:iCs/>
          <w:sz w:val="10"/>
          <w:szCs w:val="10"/>
        </w:rPr>
      </w:pPr>
      <w:r>
        <w:rPr>
          <w:iCs/>
          <w:sz w:val="10"/>
          <w:szCs w:val="10"/>
        </w:rPr>
        <w:t xml:space="preserve"> 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UPOZORNENIA:</w:t>
      </w:r>
      <w:r>
        <w:rPr>
          <w:iCs/>
          <w:sz w:val="22"/>
          <w:szCs w:val="22"/>
        </w:rPr>
        <w:t xml:space="preserve"> 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Uchovávajte mimo dohľadu a dosahu detí. Veterinárny prípravok. Určené len pre okrasné ryby. Veterinárny prípravok sa nesmie používať na ošetrenie rýb, vrátane ikier a plôdika určených na produkciu potravín. Dodržujte odporúčané dávkovanie. S prípravkom zaobchádzajte obozretne, vyvarujte sa kontaktu s očami alebo kožou. Po použití si dôkladne umyte ruky. Fľaštičku s prípravkom uchovávajte v pôvodnom obale, spolu s písomnou informáciou. Nepoužívajte po uplynutí dátumu exspirácie.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uchovávania: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Veľkosť balenia: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20 ml na 800 litrov vody (180 ml, 500 ml, 1 000 ml).</w:t>
      </w:r>
    </w:p>
    <w:p w:rsidR="00B03276" w:rsidRDefault="00B03276" w:rsidP="00B03276">
      <w:pPr>
        <w:tabs>
          <w:tab w:val="left" w:pos="1455"/>
        </w:tabs>
        <w:jc w:val="both"/>
        <w:rPr>
          <w:b/>
          <w:iCs/>
          <w:sz w:val="10"/>
          <w:szCs w:val="10"/>
        </w:rPr>
      </w:pPr>
    </w:p>
    <w:p w:rsidR="00B03276" w:rsidRDefault="00B03276" w:rsidP="00B03276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Označenie:</w:t>
      </w:r>
      <w:r>
        <w:rPr>
          <w:b/>
          <w:iCs/>
          <w:sz w:val="22"/>
          <w:szCs w:val="22"/>
        </w:rPr>
        <w:tab/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Len pre zvieratá. 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Bez predpisu veterinárneho lekára.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republika,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hyperlink r:id="rId6" w:history="1">
        <w:r>
          <w:rPr>
            <w:rStyle w:val="Hypertextovprepojenie"/>
            <w:bCs/>
            <w:sz w:val="22"/>
            <w:szCs w:val="22"/>
          </w:rPr>
          <w:t>www.macenauer.eu</w:t>
        </w:r>
      </w:hyperlink>
      <w:r>
        <w:rPr>
          <w:bCs/>
          <w:sz w:val="22"/>
          <w:szCs w:val="22"/>
        </w:rPr>
        <w:t>.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277/R/22-S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sz w:val="18"/>
          <w:szCs w:val="18"/>
        </w:rPr>
      </w:pPr>
    </w:p>
    <w:p w:rsidR="00B03276" w:rsidRDefault="00B03276" w:rsidP="00B03276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>Príloha č. 2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277/R/22-S</w:t>
      </w:r>
    </w:p>
    <w:p w:rsidR="00B03276" w:rsidRDefault="00B03276" w:rsidP="00B03276">
      <w:pPr>
        <w:jc w:val="both"/>
        <w:outlineLvl w:val="0"/>
        <w:rPr>
          <w:b/>
          <w:sz w:val="22"/>
          <w:szCs w:val="22"/>
        </w:rPr>
      </w:pPr>
    </w:p>
    <w:p w:rsidR="00B03276" w:rsidRDefault="00B03276" w:rsidP="00B0327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krabička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2000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(180 ml, 500 ml, 1 000 ml)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Veterinárny prípravok určený na aplikáciu do akváriovej vody, ktorý môže napomôcť pri ošetrení rýb, pri podozrení na výskyt plesňových a bakteriálnych infekcií. 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etakridín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laktát</w:t>
      </w:r>
      <w:proofErr w:type="spellEnd"/>
      <w:r>
        <w:rPr>
          <w:sz w:val="22"/>
          <w:szCs w:val="22"/>
        </w:rPr>
        <w:t xml:space="preserve"> 6,3 mg, Cu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 xml:space="preserve"> 3,2 mg, </w:t>
      </w:r>
      <w:proofErr w:type="spellStart"/>
      <w:r>
        <w:rPr>
          <w:sz w:val="22"/>
          <w:szCs w:val="22"/>
        </w:rPr>
        <w:t>metyloranž</w:t>
      </w:r>
      <w:proofErr w:type="spellEnd"/>
      <w:r>
        <w:rPr>
          <w:sz w:val="22"/>
          <w:szCs w:val="22"/>
        </w:rPr>
        <w:t xml:space="preserve"> 0,26 mg, </w:t>
      </w:r>
      <w:proofErr w:type="spellStart"/>
      <w:r>
        <w:rPr>
          <w:sz w:val="22"/>
          <w:szCs w:val="22"/>
        </w:rPr>
        <w:t>proflavín</w:t>
      </w:r>
      <w:proofErr w:type="spellEnd"/>
      <w:r>
        <w:rPr>
          <w:sz w:val="22"/>
          <w:szCs w:val="22"/>
        </w:rPr>
        <w:t xml:space="preserve"> 1 mg vo vodnom roztoku.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používateľa.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Uchovávajte pri izbovej tepote. Chráňte pred mrazom. Uchovávajte mimo dohľadu a dosahu detí.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Len pre zvieratá.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Bez predpisu veterinárneho lekára.</w:t>
      </w:r>
    </w:p>
    <w:p w:rsidR="00B03276" w:rsidRDefault="00B03276" w:rsidP="00B0327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 xml:space="preserve">, Holandsko. 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republika.</w:t>
      </w:r>
    </w:p>
    <w:p w:rsidR="00B03276" w:rsidRDefault="00B03276" w:rsidP="00B03276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277/R/22-S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vnútorný obal = etiketa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2000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(180 ml, 500 ml, 1 000 ml)</w:t>
      </w:r>
    </w:p>
    <w:p w:rsidR="00B03276" w:rsidRDefault="00B03276" w:rsidP="00B03276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B03276" w:rsidRDefault="00B03276" w:rsidP="00B03276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1210DC" w:rsidRDefault="001210DC"/>
    <w:sectPr w:rsidR="001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E50"/>
    <w:multiLevelType w:val="hybridMultilevel"/>
    <w:tmpl w:val="FA482C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57C20"/>
    <w:multiLevelType w:val="hybridMultilevel"/>
    <w:tmpl w:val="A69058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4F"/>
    <w:rsid w:val="001210DC"/>
    <w:rsid w:val="0059514F"/>
    <w:rsid w:val="00B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032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03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enauer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Company>ŠVPS SR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2023-10-13T06:44:00Z</dcterms:created>
  <dcterms:modified xsi:type="dcterms:W3CDTF">2023-10-13T06:44:00Z</dcterms:modified>
</cp:coreProperties>
</file>