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DA" w:rsidRDefault="000141DA" w:rsidP="000141DA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b/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0141DA" w:rsidRPr="00474C50" w:rsidRDefault="000141DA" w:rsidP="000141DA">
      <w:pPr>
        <w:spacing w:line="240" w:lineRule="auto"/>
        <w:rPr>
          <w:szCs w:val="22"/>
        </w:rPr>
      </w:pPr>
      <w:r>
        <w:rPr>
          <w:b/>
        </w:rPr>
        <w:t>1.</w:t>
      </w:r>
      <w:r>
        <w:tab/>
      </w:r>
      <w:r>
        <w:rPr>
          <w:b/>
        </w:rPr>
        <w:t>NÁZOV VETERINÁRNEHO LIEKU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Elivec</w:t>
      </w:r>
      <w:proofErr w:type="spellEnd"/>
      <w:r>
        <w:t xml:space="preserve"> 5 mg/ml </w:t>
      </w:r>
      <w:proofErr w:type="spellStart"/>
      <w:r>
        <w:t>pour</w:t>
      </w:r>
      <w:proofErr w:type="spellEnd"/>
      <w:r>
        <w:t xml:space="preserve">-on roztok pre hovädzí dobytok 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spacing w:line="240" w:lineRule="auto"/>
        <w:rPr>
          <w:szCs w:val="22"/>
        </w:rPr>
      </w:pPr>
      <w:r>
        <w:rPr>
          <w:b/>
        </w:rPr>
        <w:t>2.</w:t>
      </w:r>
      <w:r>
        <w:tab/>
      </w:r>
      <w:r>
        <w:rPr>
          <w:b/>
        </w:rPr>
        <w:t>KVALITATÍVNE A KVANTITATÍVNE ZLOŽENIE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975CB4" w:rsidRDefault="000141DA" w:rsidP="000141DA">
      <w:pPr>
        <w:widowControl w:val="0"/>
        <w:jc w:val="both"/>
        <w:rPr>
          <w:snapToGrid w:val="0"/>
          <w:szCs w:val="22"/>
        </w:rPr>
      </w:pPr>
      <w:r>
        <w:t>1 ml roztoku obsahuje:</w:t>
      </w:r>
    </w:p>
    <w:p w:rsidR="000141DA" w:rsidRPr="00975CB4" w:rsidRDefault="000141DA" w:rsidP="000141DA">
      <w:pPr>
        <w:widowControl w:val="0"/>
        <w:jc w:val="both"/>
        <w:rPr>
          <w:snapToGrid w:val="0"/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Účinná látka: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Eprinomektín</w:t>
      </w:r>
      <w:proofErr w:type="spellEnd"/>
      <w:r>
        <w:tab/>
        <w:t>5,00 mg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iCs/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Pomocné látky: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Butylhydroxytoluén</w:t>
      </w:r>
      <w:proofErr w:type="spellEnd"/>
      <w:r>
        <w:t xml:space="preserve"> (E 321)</w:t>
      </w:r>
      <w:r>
        <w:tab/>
        <w:t xml:space="preserve">             0,10 mg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Racemický</w:t>
      </w:r>
      <w:proofErr w:type="spellEnd"/>
      <w:r>
        <w:t xml:space="preserve"> alfa-</w:t>
      </w:r>
      <w:proofErr w:type="spellStart"/>
      <w:r>
        <w:t>tokoferol</w:t>
      </w:r>
      <w:proofErr w:type="spellEnd"/>
      <w:r>
        <w:t xml:space="preserve"> (E 307)</w:t>
      </w:r>
      <w:r>
        <w:tab/>
        <w:t>0,06 mg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Úplný zoznam pomocných látok je uvedený v časti 6.1.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spacing w:line="240" w:lineRule="auto"/>
        <w:rPr>
          <w:szCs w:val="22"/>
        </w:rPr>
      </w:pPr>
      <w:r>
        <w:rPr>
          <w:b/>
        </w:rPr>
        <w:t>3.</w:t>
      </w:r>
      <w:r>
        <w:tab/>
      </w:r>
      <w:r>
        <w:rPr>
          <w:b/>
        </w:rPr>
        <w:t>LIEKOVÁ FORMA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Roztok na nalievanie na chrbát (</w:t>
      </w:r>
      <w:proofErr w:type="spellStart"/>
      <w:r>
        <w:t>pour</w:t>
      </w:r>
      <w:proofErr w:type="spellEnd"/>
      <w:r>
        <w:t>-on).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Svetložltý až žltý číry roztok.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spacing w:line="240" w:lineRule="auto"/>
        <w:rPr>
          <w:b/>
          <w:szCs w:val="22"/>
        </w:rPr>
      </w:pPr>
      <w:r>
        <w:rPr>
          <w:b/>
        </w:rPr>
        <w:t>4.</w:t>
      </w:r>
      <w:r>
        <w:tab/>
      </w:r>
      <w:r>
        <w:rPr>
          <w:b/>
        </w:rPr>
        <w:t>KLINICKÉ ÚDAJE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4.1</w:t>
      </w:r>
      <w:r>
        <w:tab/>
      </w:r>
      <w:r>
        <w:rPr>
          <w:b/>
        </w:rPr>
        <w:t>Cieľové druhy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Hovädzí dobytok (výkrmový a mliečny hovädzí dobytok).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4.2</w:t>
      </w:r>
      <w:r>
        <w:tab/>
      </w:r>
      <w:r>
        <w:rPr>
          <w:b/>
        </w:rPr>
        <w:t>Indikácie na použitie so špecifikovaním cieľových druhov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Liečba zamorenia nasledujúcim parazitmi citlivými na </w:t>
      </w:r>
      <w:proofErr w:type="spellStart"/>
      <w:r>
        <w:t>eprinomektín</w:t>
      </w:r>
      <w:proofErr w:type="spellEnd"/>
      <w:r>
        <w:t>: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Hovädzí dobytok: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1182"/>
        <w:gridCol w:w="1084"/>
        <w:gridCol w:w="1417"/>
      </w:tblGrid>
      <w:tr w:rsidR="000141DA" w:rsidRPr="00A31676" w:rsidTr="0037463C"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PARAZIT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DOSPELÉ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Vývojové štádiá L4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proofErr w:type="spellStart"/>
            <w:r>
              <w:t>Inhibované</w:t>
            </w:r>
            <w:proofErr w:type="spellEnd"/>
            <w:r>
              <w:t xml:space="preserve"> vývojové štádiá L4</w:t>
            </w:r>
          </w:p>
        </w:tc>
      </w:tr>
      <w:tr w:rsidR="000141DA" w:rsidRPr="00A31676" w:rsidTr="0037463C">
        <w:tc>
          <w:tcPr>
            <w:tcW w:w="44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rPr>
                <w:b/>
              </w:rPr>
              <w:t>Gastrointestinálne</w:t>
            </w:r>
            <w:proofErr w:type="spellEnd"/>
            <w:r>
              <w:rPr>
                <w:b/>
              </w:rPr>
              <w:t xml:space="preserve"> oblé červy</w:t>
            </w: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0141DA" w:rsidRPr="00A31676" w:rsidTr="0037463C">
        <w:tc>
          <w:tcPr>
            <w:tcW w:w="3402" w:type="dxa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rPr>
                <w:i/>
              </w:rPr>
              <w:t>Ostertagia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ostertagi</w:t>
            </w:r>
            <w:proofErr w:type="spellEnd"/>
            <w:r>
              <w:t xml:space="preserve"> 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rPr>
                <w:i/>
              </w:rPr>
              <w:t>Ostertagia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lyrata</w:t>
            </w:r>
            <w:proofErr w:type="spellEnd"/>
            <w:r>
              <w:t xml:space="preserve"> 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Haemonchus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placei</w:t>
            </w:r>
            <w:proofErr w:type="spellEnd"/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Trichostrongylus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axei</w:t>
            </w:r>
            <w:proofErr w:type="spellEnd"/>
          </w:p>
          <w:p w:rsidR="000141DA" w:rsidRPr="00CB4897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Trichostrongylus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colubriformis</w:t>
            </w:r>
            <w:proofErr w:type="spellEnd"/>
            <w:r>
              <w:rPr>
                <w:i/>
              </w:rPr>
              <w:t xml:space="preserve"> </w:t>
            </w:r>
          </w:p>
          <w:p w:rsidR="000141DA" w:rsidRPr="00CB4897" w:rsidRDefault="000141DA" w:rsidP="0037463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rPr>
                <w:i/>
              </w:rPr>
              <w:t>Cooperia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spp</w:t>
            </w:r>
            <w:proofErr w:type="spellEnd"/>
            <w:r>
              <w:rPr>
                <w:i/>
              </w:rPr>
              <w:t>.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Cooperia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oncophora</w:t>
            </w:r>
            <w:proofErr w:type="spellEnd"/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Cooperia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punctata</w:t>
            </w:r>
            <w:proofErr w:type="spellEnd"/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Cooperia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pectinata</w:t>
            </w:r>
            <w:proofErr w:type="spellEnd"/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Cooperia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surnabada</w:t>
            </w:r>
            <w:proofErr w:type="spellEnd"/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Bunostomum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phlebotomum</w:t>
            </w:r>
            <w:proofErr w:type="spellEnd"/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Nematodirus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helvetianus</w:t>
            </w:r>
            <w:proofErr w:type="spellEnd"/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Oesophagostomum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radiatum</w:t>
            </w:r>
            <w:proofErr w:type="spellEnd"/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rPr>
                <w:i/>
              </w:rPr>
              <w:t>Oesophagostomum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</w:t>
            </w:r>
            <w:proofErr w:type="spellEnd"/>
            <w:r>
              <w:t>.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rPr>
                <w:i/>
              </w:rPr>
              <w:t>Trichuris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discolor</w:t>
            </w:r>
            <w:proofErr w:type="spellEnd"/>
            <w: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0141DA" w:rsidRPr="00A31676" w:rsidTr="0037463C">
        <w:tc>
          <w:tcPr>
            <w:tcW w:w="3402" w:type="dxa"/>
            <w:shd w:val="clear" w:color="auto" w:fill="auto"/>
          </w:tcPr>
          <w:p w:rsidR="000141DA" w:rsidRDefault="000141DA" w:rsidP="0037463C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:rsidR="000141DA" w:rsidRPr="006647A6" w:rsidRDefault="000141DA" w:rsidP="0037463C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</w:rPr>
              <w:t>Pľúcne červy</w:t>
            </w:r>
          </w:p>
        </w:tc>
        <w:tc>
          <w:tcPr>
            <w:tcW w:w="1095" w:type="dxa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0141DA" w:rsidRPr="00A31676" w:rsidTr="0037463C">
        <w:tc>
          <w:tcPr>
            <w:tcW w:w="3402" w:type="dxa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Dictyocaulus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viviparus</w:t>
            </w:r>
            <w:proofErr w:type="spellEnd"/>
          </w:p>
        </w:tc>
        <w:tc>
          <w:tcPr>
            <w:tcW w:w="1095" w:type="dxa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90" w:type="dxa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1417" w:type="dxa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</w:tbl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- Strečky (parazitické štádiá): </w:t>
      </w:r>
    </w:p>
    <w:p w:rsidR="000141DA" w:rsidRPr="00952131" w:rsidRDefault="000141DA" w:rsidP="000141DA">
      <w:pPr>
        <w:tabs>
          <w:tab w:val="clear" w:pos="567"/>
        </w:tabs>
        <w:spacing w:line="240" w:lineRule="auto"/>
        <w:rPr>
          <w:i/>
          <w:szCs w:val="22"/>
        </w:rPr>
      </w:pPr>
      <w:proofErr w:type="spellStart"/>
      <w:r>
        <w:rPr>
          <w:i/>
        </w:rPr>
        <w:t>Hypoderma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bovis</w:t>
      </w:r>
      <w:proofErr w:type="spellEnd"/>
      <w:r>
        <w:rPr>
          <w:i/>
        </w:rPr>
        <w:t xml:space="preserve"> </w:t>
      </w:r>
    </w:p>
    <w:p w:rsidR="000141DA" w:rsidRPr="00952131" w:rsidRDefault="000141DA" w:rsidP="000141DA">
      <w:pPr>
        <w:tabs>
          <w:tab w:val="clear" w:pos="567"/>
        </w:tabs>
        <w:spacing w:line="240" w:lineRule="auto"/>
        <w:rPr>
          <w:i/>
          <w:szCs w:val="22"/>
        </w:rPr>
      </w:pPr>
      <w:proofErr w:type="spellStart"/>
      <w:r>
        <w:rPr>
          <w:i/>
        </w:rPr>
        <w:t>Hypoderma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lineatum</w:t>
      </w:r>
      <w:proofErr w:type="spellEnd"/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- Roztoče spôsobujúce svrab: </w:t>
      </w:r>
    </w:p>
    <w:p w:rsidR="000141DA" w:rsidRPr="00952131" w:rsidRDefault="000141DA" w:rsidP="000141DA">
      <w:pPr>
        <w:tabs>
          <w:tab w:val="clear" w:pos="567"/>
        </w:tabs>
        <w:spacing w:line="240" w:lineRule="auto"/>
        <w:rPr>
          <w:i/>
          <w:szCs w:val="22"/>
        </w:rPr>
      </w:pPr>
      <w:proofErr w:type="spellStart"/>
      <w:r>
        <w:rPr>
          <w:i/>
        </w:rPr>
        <w:t>Chorioptes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bovis</w:t>
      </w:r>
      <w:proofErr w:type="spellEnd"/>
    </w:p>
    <w:p w:rsidR="000141DA" w:rsidRPr="002B02F1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Sarcoptes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scabiei</w:t>
      </w:r>
      <w:proofErr w:type="spellEnd"/>
      <w:r>
        <w:t xml:space="preserve"> var. </w:t>
      </w:r>
      <w:proofErr w:type="spellStart"/>
      <w:r>
        <w:rPr>
          <w:i/>
        </w:rPr>
        <w:t>Bovis</w:t>
      </w:r>
      <w:proofErr w:type="spellEnd"/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- Cicajúce vši: </w:t>
      </w:r>
    </w:p>
    <w:p w:rsidR="000141DA" w:rsidRPr="00952131" w:rsidRDefault="000141DA" w:rsidP="000141DA">
      <w:pPr>
        <w:tabs>
          <w:tab w:val="clear" w:pos="567"/>
        </w:tabs>
        <w:spacing w:line="240" w:lineRule="auto"/>
        <w:rPr>
          <w:i/>
          <w:szCs w:val="22"/>
        </w:rPr>
      </w:pPr>
      <w:proofErr w:type="spellStart"/>
      <w:r>
        <w:rPr>
          <w:i/>
        </w:rPr>
        <w:t>Linognathus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vituli</w:t>
      </w:r>
      <w:proofErr w:type="spellEnd"/>
    </w:p>
    <w:p w:rsidR="000141DA" w:rsidRPr="00952131" w:rsidRDefault="000141DA" w:rsidP="000141DA">
      <w:pPr>
        <w:tabs>
          <w:tab w:val="clear" w:pos="567"/>
        </w:tabs>
        <w:spacing w:line="240" w:lineRule="auto"/>
        <w:rPr>
          <w:i/>
          <w:szCs w:val="22"/>
        </w:rPr>
      </w:pPr>
      <w:proofErr w:type="spellStart"/>
      <w:r>
        <w:rPr>
          <w:i/>
        </w:rPr>
        <w:t>Haematopinus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eurysternus</w:t>
      </w:r>
      <w:proofErr w:type="spellEnd"/>
    </w:p>
    <w:p w:rsidR="000141DA" w:rsidRPr="00952131" w:rsidRDefault="000141DA" w:rsidP="000141DA">
      <w:pPr>
        <w:tabs>
          <w:tab w:val="clear" w:pos="567"/>
        </w:tabs>
        <w:spacing w:line="240" w:lineRule="auto"/>
        <w:rPr>
          <w:i/>
          <w:szCs w:val="22"/>
        </w:rPr>
      </w:pPr>
      <w:proofErr w:type="spellStart"/>
      <w:r>
        <w:rPr>
          <w:i/>
        </w:rPr>
        <w:t>Solenopotes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capillatus</w:t>
      </w:r>
      <w:proofErr w:type="spellEnd"/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- Štípajúce vši: </w:t>
      </w:r>
    </w:p>
    <w:p w:rsidR="000141DA" w:rsidRPr="00952131" w:rsidRDefault="000141DA" w:rsidP="000141DA">
      <w:pPr>
        <w:tabs>
          <w:tab w:val="clear" w:pos="567"/>
        </w:tabs>
        <w:spacing w:line="240" w:lineRule="auto"/>
        <w:rPr>
          <w:i/>
          <w:szCs w:val="22"/>
        </w:rPr>
      </w:pPr>
      <w:proofErr w:type="spellStart"/>
      <w:r>
        <w:rPr>
          <w:i/>
        </w:rPr>
        <w:t>Bovicola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Damalinia</w:t>
      </w:r>
      <w:proofErr w:type="spellEnd"/>
      <w:r>
        <w:rPr>
          <w:i/>
        </w:rPr>
        <w:t xml:space="preserve">) </w:t>
      </w:r>
      <w:proofErr w:type="spellStart"/>
      <w:r>
        <w:rPr>
          <w:i/>
        </w:rPr>
        <w:t>bovis</w:t>
      </w:r>
      <w:proofErr w:type="spellEnd"/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- Bodavé muchy: </w:t>
      </w:r>
    </w:p>
    <w:p w:rsidR="000141DA" w:rsidRPr="00ED6F73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Haematobia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irritans</w:t>
      </w:r>
      <w:proofErr w:type="spellEnd"/>
    </w:p>
    <w:p w:rsidR="000141DA" w:rsidRPr="00ED6F73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952131" w:rsidRDefault="000141DA" w:rsidP="000141D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Liek chráni zvieratá proti opätovnému zamoreniu: </w:t>
      </w:r>
    </w:p>
    <w:p w:rsidR="000141DA" w:rsidRDefault="000141DA" w:rsidP="000141D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>-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Nematodirus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helvetianus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 xml:space="preserve">po dobu 14 dní. </w:t>
      </w:r>
    </w:p>
    <w:p w:rsidR="000141DA" w:rsidRDefault="000141DA" w:rsidP="000141D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- </w:t>
      </w:r>
      <w:proofErr w:type="spellStart"/>
      <w:r>
        <w:rPr>
          <w:i/>
          <w:color w:val="000000"/>
        </w:rPr>
        <w:t>Trichostrongylus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axei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>po dobu 21 dní.</w:t>
      </w:r>
    </w:p>
    <w:p w:rsidR="000141DA" w:rsidRPr="00EB3C29" w:rsidRDefault="000141DA" w:rsidP="000141D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>-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Dictyocaulus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viviparus</w:t>
      </w:r>
      <w:proofErr w:type="spellEnd"/>
      <w:r>
        <w:rPr>
          <w:i/>
          <w:color w:val="000000"/>
        </w:rPr>
        <w:t>,</w:t>
      </w:r>
      <w:r>
        <w:t xml:space="preserve"> </w:t>
      </w:r>
      <w:proofErr w:type="spellStart"/>
      <w:r>
        <w:rPr>
          <w:i/>
          <w:color w:val="000000"/>
        </w:rPr>
        <w:t>Haemonchus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placei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Cooperia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oncophora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Cooperia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punctata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Cooperia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surnabada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Oesophagostomum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radiatum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 xml:space="preserve">a </w:t>
      </w:r>
      <w:proofErr w:type="spellStart"/>
      <w:r>
        <w:rPr>
          <w:i/>
          <w:color w:val="000000"/>
        </w:rPr>
        <w:t>Ostertagia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ostertagi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>po dobu 28 dní</w:t>
      </w:r>
      <w:r>
        <w:rPr>
          <w:i/>
          <w:color w:val="000000"/>
        </w:rPr>
        <w:t xml:space="preserve">. 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Trvanie </w:t>
      </w:r>
      <w:proofErr w:type="spellStart"/>
      <w:r>
        <w:t>perzistentnej</w:t>
      </w:r>
      <w:proofErr w:type="spellEnd"/>
      <w:r>
        <w:t xml:space="preserve"> účinnosti môže byť premenlivé pre </w:t>
      </w:r>
      <w:proofErr w:type="spellStart"/>
      <w:r>
        <w:rPr>
          <w:i/>
        </w:rPr>
        <w:t>Cooperia</w:t>
      </w:r>
      <w:proofErr w:type="spellEnd"/>
      <w:r>
        <w:rPr>
          <w:i/>
        </w:rPr>
        <w:t xml:space="preserve"> </w:t>
      </w:r>
      <w:proofErr w:type="spellStart"/>
      <w:r w:rsidRPr="0037463C">
        <w:t>spp</w:t>
      </w:r>
      <w:proofErr w:type="spellEnd"/>
      <w:r>
        <w:t xml:space="preserve">. a </w:t>
      </w:r>
      <w:r>
        <w:rPr>
          <w:i/>
        </w:rPr>
        <w:t xml:space="preserve">H. </w:t>
      </w:r>
      <w:proofErr w:type="spellStart"/>
      <w:r>
        <w:rPr>
          <w:i/>
        </w:rPr>
        <w:t>placei</w:t>
      </w:r>
      <w:proofErr w:type="spellEnd"/>
      <w:r>
        <w:t xml:space="preserve"> 14 dní po liečbe hlavne u mladých a chudých zvierat v čase liečby.</w:t>
      </w:r>
    </w:p>
    <w:p w:rsidR="000141DA" w:rsidRPr="00EB3C29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8F1ACB" w:rsidRDefault="000141DA" w:rsidP="000141D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4.3</w:t>
      </w:r>
      <w:r>
        <w:tab/>
      </w:r>
      <w:r>
        <w:rPr>
          <w:b/>
        </w:rPr>
        <w:t>Kontraindikácie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Avermektíny</w:t>
      </w:r>
      <w:proofErr w:type="spellEnd"/>
      <w:r>
        <w:t xml:space="preserve"> nemusia byť dobre znášané u necieľových druhov (vrátane psov, mačiek a koní). Prípady úmrtia sú hlásené u psov, hlavne kólií, </w:t>
      </w:r>
      <w:proofErr w:type="spellStart"/>
      <w:r>
        <w:t>kupírovaných</w:t>
      </w:r>
      <w:proofErr w:type="spellEnd"/>
      <w:r>
        <w:t xml:space="preserve"> psov a podobných rás a krížencov a tiež u sladkovodných/morských korytnačiek.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</w:pPr>
      <w:r>
        <w:t xml:space="preserve">Nepoužívať u iných zvieracích druhov. 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Nepodávať perorálne ani injekčne.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Nepoužívať v prípadoch precitlivenosti na účinnú látku alebo na niektorú z pomocných látok.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4.4</w:t>
      </w:r>
      <w:r>
        <w:tab/>
      </w:r>
      <w:r>
        <w:rPr>
          <w:b/>
        </w:rPr>
        <w:t>Osobitné upozornenia pre každý cieľový druh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E355B9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Je potrebné predchádzať nasledovným postupom, pretože zvyšujú riziko vývoja rezistencie a môžu mať v konečnom dôsledku za následok neúčinnú liečbu:</w:t>
      </w:r>
    </w:p>
    <w:p w:rsidR="000141DA" w:rsidRPr="00E355B9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- Príliš časté a opakované používanie </w:t>
      </w:r>
      <w:proofErr w:type="spellStart"/>
      <w:r>
        <w:t>antihelmintík</w:t>
      </w:r>
      <w:proofErr w:type="spellEnd"/>
      <w:r>
        <w:t xml:space="preserve"> rovnakej skupiny po dlhú dobu.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- </w:t>
      </w:r>
      <w:proofErr w:type="spellStart"/>
      <w:r>
        <w:t>Poddávkovanie</w:t>
      </w:r>
      <w:proofErr w:type="spellEnd"/>
      <w:r>
        <w:t>, ktoré môže vzniknúť podhodnotením živej hmotnosti, nesprávnym podaním lieku alebo chýbajúcou kalibráciou dávkovacieho zariadenia (ak sa používa).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Klinické prípady s podozrením na rezistenciu na </w:t>
      </w:r>
      <w:proofErr w:type="spellStart"/>
      <w:r>
        <w:t>antihelmintiká</w:t>
      </w:r>
      <w:proofErr w:type="spellEnd"/>
      <w:r>
        <w:t xml:space="preserve"> sa majú dôkladnejšie vyšetriť použitím vhodných testov (napr. test redukcie počtu vajíčok). Tam, kde výsledky testov presvedčivo potvrdia rezistenciu na určité </w:t>
      </w:r>
      <w:proofErr w:type="spellStart"/>
      <w:r>
        <w:t>antihelmintikum</w:t>
      </w:r>
      <w:proofErr w:type="spellEnd"/>
      <w:r>
        <w:t xml:space="preserve">, sa má použiť </w:t>
      </w:r>
      <w:proofErr w:type="spellStart"/>
      <w:r>
        <w:t>antihelmintikum</w:t>
      </w:r>
      <w:proofErr w:type="spellEnd"/>
      <w:r>
        <w:t xml:space="preserve"> patriace do inej farmakologickej skupiny s iným spôsobom účinku.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 xml:space="preserve">Do dnešného dňa nebola v rámci EU u hovädzieho dobytku hlásená rezistencia na </w:t>
      </w:r>
      <w:proofErr w:type="spellStart"/>
      <w:r>
        <w:t>eprinomektín</w:t>
      </w:r>
      <w:proofErr w:type="spellEnd"/>
      <w:r>
        <w:t xml:space="preserve"> (</w:t>
      </w:r>
      <w:proofErr w:type="spellStart"/>
      <w:r>
        <w:t>makrocyklický</w:t>
      </w:r>
      <w:proofErr w:type="spellEnd"/>
      <w:r>
        <w:t xml:space="preserve"> </w:t>
      </w:r>
      <w:proofErr w:type="spellStart"/>
      <w:r>
        <w:t>laktón</w:t>
      </w:r>
      <w:proofErr w:type="spellEnd"/>
      <w:r>
        <w:t xml:space="preserve">). V rámci EU však bola u kmeňov parazitov hovädzieho dobytka hlásená rezistencia na iné </w:t>
      </w:r>
      <w:proofErr w:type="spellStart"/>
      <w:r>
        <w:t>makrocyklické</w:t>
      </w:r>
      <w:proofErr w:type="spellEnd"/>
      <w:r>
        <w:t xml:space="preserve"> </w:t>
      </w:r>
      <w:proofErr w:type="spellStart"/>
      <w:r>
        <w:t>laktóny</w:t>
      </w:r>
      <w:proofErr w:type="spellEnd"/>
      <w:r>
        <w:t xml:space="preserve">. Preto použitie tohto lieku má byť založené na lokálnych (regionálnych, farmových) epidemiologických informáciách o citlivosti oblých červov a na odporúčaniach, ako obmedziť ďalšiu selekciu na rezistenciu na </w:t>
      </w:r>
      <w:proofErr w:type="spellStart"/>
      <w:r>
        <w:t>antihelmintiká</w:t>
      </w:r>
      <w:proofErr w:type="spellEnd"/>
      <w:r>
        <w:t>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Ak existuje riziko opätovnej infekcie, je potrebné sa poradiť s veterinárnym lekárom o potrebe a frekvencii opakovaného podania.</w:t>
      </w:r>
    </w:p>
    <w:p w:rsidR="000141DA" w:rsidRPr="00940BA1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Aby sa dosiahli čo najlepšie výsledky, liek má byť súčasťou programu na kontrolu </w:t>
      </w:r>
      <w:proofErr w:type="spellStart"/>
      <w:r>
        <w:t>endoparazitov</w:t>
      </w:r>
      <w:proofErr w:type="spellEnd"/>
      <w:r>
        <w:t xml:space="preserve"> aj </w:t>
      </w:r>
      <w:proofErr w:type="spellStart"/>
      <w:r>
        <w:t>exoparazitov</w:t>
      </w:r>
      <w:proofErr w:type="spellEnd"/>
      <w:r>
        <w:t xml:space="preserve"> hovädzieho dobytka založeného na epidemiológii týchto parazitov.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8F1ACB" w:rsidRDefault="000141DA" w:rsidP="000141D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4.5</w:t>
      </w:r>
      <w:r>
        <w:tab/>
      </w:r>
      <w:r>
        <w:rPr>
          <w:b/>
        </w:rPr>
        <w:t>Osobitné bezpečnostné opatrenia na používanie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8F1ACB" w:rsidRDefault="000141DA" w:rsidP="000141D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Osobitné bezpečnostné opatrenia na používanie u zvierat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Len na vonkajšie použitie.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Z dôvodu efektívnosti použitia sa liek nemá aplikovať na chrbát znečistený blatom alebo hnojom. 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Liek sa má aplikovať len na zdravú kožu.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Aby sa predišlo nežiaducim účinkom z dôvodu usmrtenia lariev strečkov v pažeráku alebo na chrbtici, odporúča sa podať liek po skončení aktivity mušiek strečkov a predtým, ako larvy dosiahnu svoje pobytové miesto v tele; poraďte sa s veterinárnym lekárom, aby ste vedeli, kedy je vhodné obdobie na liečbu.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8F1ACB" w:rsidRDefault="000141DA" w:rsidP="000141D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Osobitné bezpečnostné opatrenia, ktoré má urobiť osoba podávajúca liek zvieratám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Tento liek môže dráždiť kožu a oči a môže vyvolať precitlivenosť (alergické reakcie).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Zabráňte preniknutiu na kožu a do očí počas liečby a pri manipulácii s nedávno ošetrenými zvieratami.</w:t>
      </w:r>
    </w:p>
    <w:p w:rsidR="000141DA" w:rsidRPr="00597F98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Ľudia so známou precitlivenosťou na </w:t>
      </w:r>
      <w:proofErr w:type="spellStart"/>
      <w:r>
        <w:t>eprinomektín</w:t>
      </w:r>
      <w:proofErr w:type="spellEnd"/>
      <w:r>
        <w:t xml:space="preserve"> by sa mali vyhnúť kontaktu s veterinárnym liekom.</w:t>
      </w:r>
    </w:p>
    <w:p w:rsidR="000141DA" w:rsidRPr="00C61D5B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Pri aplikácii produktu používajte gumené rukavice, gumené čižmy a nepremokavý plášť.</w:t>
      </w:r>
    </w:p>
    <w:p w:rsidR="000141DA" w:rsidRPr="00C61D5B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Pri náhodnom zasiahnutí pokožky umyte postihnuté miesto ihneď mydlom a vodou. Ak dôjde k náhodnému zasiahnutiu očí, ihneď vypláchnite oči vodou.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Ak sa oblečenie kontaminuje, čo najrýchlejšie ho vyzlečte a vyperte pred opätovným použitím. 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Pri náhodnom požití môže tento liek ovplyvniť centrálny nervový systém. Zabráňte náhodnému požitiu lieku, vrátane kontaktu znečistených rúk s ústami. V prípade požitia vypláchnite ústa vodou a vyhľadajte lekársku pomoc.</w:t>
      </w:r>
    </w:p>
    <w:p w:rsidR="000141DA" w:rsidRPr="00C61D5B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Pri manipulácii s liekom nefajčite, nejedzte ani nepite.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použití lieku si umyte ruky. 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8F1ACB" w:rsidRDefault="000141DA" w:rsidP="000141D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Iné bezpečnostné opatrenia</w:t>
      </w:r>
    </w:p>
    <w:p w:rsidR="000141DA" w:rsidRPr="008F1ACB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Eprinomektín</w:t>
      </w:r>
      <w:proofErr w:type="spellEnd"/>
      <w:r>
        <w:t xml:space="preserve"> je veľmi toxický pre vodné organizmy, je </w:t>
      </w:r>
      <w:proofErr w:type="spellStart"/>
      <w:r>
        <w:t>perzistentný</w:t>
      </w:r>
      <w:proofErr w:type="spellEnd"/>
      <w:r>
        <w:t xml:space="preserve"> v pôde a môže sa akumulovať v usadeninách.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</w:pPr>
      <w:r>
        <w:t xml:space="preserve">Výkaly obsahujúce </w:t>
      </w:r>
      <w:proofErr w:type="spellStart"/>
      <w:r>
        <w:t>eprinomektín</w:t>
      </w:r>
      <w:proofErr w:type="spellEnd"/>
      <w:r>
        <w:t xml:space="preserve"> vylučované na pastvinách ošetrenými zvieratami môžu dočasne znížiť hojnosť organizmov živiacich sa trusom. Po liečbe hovädzieho dobytka týmto liekom sa môžu koncentrácie </w:t>
      </w:r>
      <w:proofErr w:type="spellStart"/>
      <w:r>
        <w:t>eprinomektínu</w:t>
      </w:r>
      <w:proofErr w:type="spellEnd"/>
      <w:r>
        <w:t>, ktoré sú potenciálne toxické pre kmene múch živiacich sa trusom, vylučovať po dobu viac než 4 týždňov a môžu znížiť hojnosť múch živiacich sa trusom počas tejto doby.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 prípade opakovanej liečby </w:t>
      </w:r>
      <w:proofErr w:type="spellStart"/>
      <w:r>
        <w:t>eprinomektínom</w:t>
      </w:r>
      <w:proofErr w:type="spellEnd"/>
      <w:r>
        <w:t xml:space="preserve"> (ako aj liekmi tej istej </w:t>
      </w:r>
      <w:proofErr w:type="spellStart"/>
      <w:r>
        <w:t>antihelmintickej</w:t>
      </w:r>
      <w:proofErr w:type="spellEnd"/>
      <w:r>
        <w:t xml:space="preserve"> skupiny) sa odporúča neliečiť zvieratá zakaždým na tej istej pastvine, aby sa umožnilo obnovenie populácie fauny živiacej sa trusom.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Eprinomektín</w:t>
      </w:r>
      <w:proofErr w:type="spellEnd"/>
      <w:r>
        <w:t xml:space="preserve"> je vo svojej podstate toxický pre vodné organizmy. Liek sa má používať len podľa pokynov uvedených na etikete. Na základe profilu vylučovania </w:t>
      </w:r>
      <w:proofErr w:type="spellStart"/>
      <w:r>
        <w:t>eprinomektínu</w:t>
      </w:r>
      <w:proofErr w:type="spellEnd"/>
      <w:r>
        <w:t xml:space="preserve">, keď sa podáva vo forme </w:t>
      </w:r>
      <w:proofErr w:type="spellStart"/>
      <w:r>
        <w:t>pour</w:t>
      </w:r>
      <w:proofErr w:type="spellEnd"/>
      <w:r>
        <w:t>-on roztoku, liečené zvieratá nemajú mať prístup k vodným tokom počas prvých 7 dní po liečbe.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8F1ACB" w:rsidRDefault="000141DA" w:rsidP="000141D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4.6</w:t>
      </w:r>
      <w:r>
        <w:tab/>
      </w:r>
      <w:r>
        <w:rPr>
          <w:b/>
        </w:rPr>
        <w:t>Nežiaduce účinky (frekvencia výskytu a závažnosť)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Vo veľmi zriedkavých prípadoch sa pozorovali prechodné reakcie olizovania, chvenia kože v mieste podania, malé lokálne reakcie ako výskyt lupín a odlupovania kože v mieste podania.</w:t>
      </w:r>
    </w:p>
    <w:p w:rsidR="000141DA" w:rsidRPr="001236EF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>Frekvencia výskytu nežiaducich účinkov sa definuje použitím nasledujúceho pravidla:</w:t>
      </w:r>
    </w:p>
    <w:p w:rsidR="000141DA" w:rsidRPr="001236EF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veľmi časté (nežiaduce účinky sa prejavili u viac ako 1 z 10 liečených zvierat)</w:t>
      </w:r>
    </w:p>
    <w:p w:rsidR="000141DA" w:rsidRPr="001236EF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časté (u viac ako 1 ale menej ako 10 zo 100 liečených zvierat)</w:t>
      </w:r>
    </w:p>
    <w:p w:rsidR="000141DA" w:rsidRPr="001236EF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menej časté (u viac ako 1 ale menej ako 10 z 1 000 liečených zvierat)</w:t>
      </w:r>
    </w:p>
    <w:p w:rsidR="000141DA" w:rsidRPr="001236EF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zriedkavé (u viac ako 1 ale menej ako 10 z 10 000 liečených zvierat)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veľmi zriedkavé (u menej ako 1 z 10 000 liečených zvierat, vrátane ojedinelých hlásení).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8F1ACB" w:rsidRDefault="000141DA" w:rsidP="000141D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4.7</w:t>
      </w:r>
      <w:r>
        <w:tab/>
      </w:r>
      <w:r>
        <w:rPr>
          <w:b/>
        </w:rPr>
        <w:t>Použitie počas gravidity, laktácie, znášky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Laboratórne štúdie (potkany, králiky) nepreukázali žiadny dôkaz o </w:t>
      </w:r>
      <w:proofErr w:type="spellStart"/>
      <w:r>
        <w:t>teratogénnych</w:t>
      </w:r>
      <w:proofErr w:type="spellEnd"/>
      <w:r>
        <w:t xml:space="preserve"> alebo </w:t>
      </w:r>
      <w:proofErr w:type="spellStart"/>
      <w:r>
        <w:t>embryotoxických</w:t>
      </w:r>
      <w:proofErr w:type="spellEnd"/>
      <w:r>
        <w:t xml:space="preserve"> účinkoch v dôsledku použitia </w:t>
      </w:r>
      <w:proofErr w:type="spellStart"/>
      <w:r>
        <w:t>eprimomektínu</w:t>
      </w:r>
      <w:proofErr w:type="spellEnd"/>
      <w:r>
        <w:t xml:space="preserve"> v terapeutických dávkach. Bezpečnosť tohto veterinárneho lieku u hovädzieho dobytka bola potvrdená počas gravidity a laktácie a u reprodukčných býkov. 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Môže sa používať počas gravidity a laktácie ako aj u reprodukčných býkov.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8F1ACB" w:rsidRDefault="000141DA" w:rsidP="000141D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4.8</w:t>
      </w:r>
      <w:r>
        <w:tab/>
      </w:r>
      <w:r>
        <w:rPr>
          <w:b/>
        </w:rPr>
        <w:t>Liekové interakcie a iné formy vzájomného pôsobenia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Pretože </w:t>
      </w:r>
      <w:proofErr w:type="spellStart"/>
      <w:r>
        <w:t>eprinomektín</w:t>
      </w:r>
      <w:proofErr w:type="spellEnd"/>
      <w:r>
        <w:t xml:space="preserve"> sa silne viaže na proteíny plazmy, je to potrebné vziať do úvahy, keď sa používa spolu s inými molekulami s tými istými charakteristikami.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D33318" w:rsidRDefault="000141DA" w:rsidP="000141D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4.9</w:t>
      </w:r>
      <w:r>
        <w:tab/>
      </w:r>
      <w:r>
        <w:rPr>
          <w:b/>
        </w:rPr>
        <w:t>Dávkovanie a spôsob podania lieku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FB493F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Používa sa na nalievanie na chrbát (</w:t>
      </w:r>
      <w:proofErr w:type="spellStart"/>
      <w:r>
        <w:t>pour</w:t>
      </w:r>
      <w:proofErr w:type="spellEnd"/>
      <w:r>
        <w:t>-on).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FB493F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Podáva sa lokálne v jednej liečebnej dávke 500 </w:t>
      </w:r>
      <w:proofErr w:type="spellStart"/>
      <w:r>
        <w:t>μg</w:t>
      </w:r>
      <w:proofErr w:type="spellEnd"/>
      <w:r>
        <w:t xml:space="preserve"> </w:t>
      </w:r>
      <w:proofErr w:type="spellStart"/>
      <w:r>
        <w:t>eprinomektínu</w:t>
      </w:r>
      <w:proofErr w:type="spellEnd"/>
      <w:r>
        <w:t xml:space="preserve"> na kg živej hmotnosti, čo zodpovedá 1 ml na 10 kg živej hmotnosti.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Roztok na nalievanie sa aplikuje pozdĺž chrbtovej línie v úzkom páse od kohútika po koreň chvosta.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Všetky zvieratá patriace do tej istej skupiny majú byť liečené v tom istom čase.</w:t>
      </w:r>
    </w:p>
    <w:p w:rsidR="000141DA" w:rsidRPr="00FB493F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FB493F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Na zabezpečenie podania správnej dávky je potrebné živú hmotnosť stanoviť čo možno najpresnejšie a presnosť dávkovacieho zariadenia je potrebné skontrolovať. Ak sa zvieratá majú ošetriť skupinovo a nie individuálne, majú sa zoskupiť podľa živej hmotnosti a ošetriť primeranou dávkou, aby sa zabránilo </w:t>
      </w:r>
      <w:proofErr w:type="spellStart"/>
      <w:r>
        <w:t>poddávkovaniu</w:t>
      </w:r>
      <w:proofErr w:type="spellEnd"/>
      <w:r>
        <w:t xml:space="preserve"> alebo predávkovaniu.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Spôsob podania:</w:t>
      </w:r>
    </w:p>
    <w:p w:rsidR="000141DA" w:rsidRPr="002D6FB3" w:rsidRDefault="000141DA" w:rsidP="000141D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Pre veľkosť balenia 1 liter:</w:t>
      </w:r>
    </w:p>
    <w:p w:rsidR="000141DA" w:rsidRPr="002D6FB3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Fľaša je vybavená integrovaným dávkovacím systémom a má dva otvory. Jeden otvor je pripojený k telu nádoby a druhý k dávkovacej komore (dávkovací systém).</w:t>
      </w:r>
    </w:p>
    <w:p w:rsidR="000141DA" w:rsidRPr="002D6FB3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Odskrutkujte uzáver a odstráňte tesnenie dávkovacej komôrky (integrovaný dávkovací systém opatrený stupnicou po 10 ml až do 50 ml).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Stlačte fľašu, aby ste naplnili vydávaciu komoru požadovaným objemom lieku.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2D6FB3" w:rsidRDefault="000141DA" w:rsidP="000141D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Pre veľkosť balenia 2,5 l a 5 l:</w:t>
      </w:r>
    </w:p>
    <w:p w:rsidR="000141DA" w:rsidRPr="008D5BA8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Treba použiť s vhodným dávkovacím systémom ako dávkovacia pištoľ a pripojovacia ventilovaná hlavica.</w:t>
      </w:r>
    </w:p>
    <w:p w:rsidR="000141DA" w:rsidRPr="008D5BA8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Odskrutkujte polypropylénový(PP) jednoduchý uzáver. Odstráňte ochranné tesnenie z fľaše. Naskrutkujte na fľašu pripojovaciu ventilovanú hlavicu a uistite sa, že je pritiahnutá. Pripojte druhú stranu k dávkovacej pištoli.</w:t>
      </w:r>
    </w:p>
    <w:p w:rsidR="000141DA" w:rsidRPr="008D5BA8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Postupujte podľa pokynov výrobcu pištole pre nastavenie dávky a správne používanie a údržbu dávkovacej pištole.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použití sa majú pripojovacie ventilované hlavice odstrániť a nahradiť jednoduchým PP uzáverom. </w:t>
      </w:r>
      <w:bookmarkStart w:id="0" w:name="_Hlk484444047"/>
      <w:r>
        <w:t>Ventilované hlavice sa majú umiestniť do škatule na neskoršie použitie.</w:t>
      </w:r>
    </w:p>
    <w:bookmarkEnd w:id="0"/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D33318" w:rsidRDefault="000141DA" w:rsidP="000141D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>4.10</w:t>
      </w:r>
      <w:r>
        <w:tab/>
      </w:r>
      <w:r>
        <w:rPr>
          <w:b/>
        </w:rPr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), ak sú potrebné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Nepozorovali sa žiadne príznaky toxicity po podaní až 5-násobku odporúčanej dávky. Nie je známe žiadne špecifické </w:t>
      </w:r>
      <w:proofErr w:type="spellStart"/>
      <w:r>
        <w:t>antidotum</w:t>
      </w:r>
      <w:proofErr w:type="spellEnd"/>
      <w:r>
        <w:t>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D33318" w:rsidRDefault="000141DA" w:rsidP="000141DA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</w:rPr>
        <w:t>4.11</w:t>
      </w:r>
      <w:r>
        <w:tab/>
      </w:r>
      <w:r>
        <w:rPr>
          <w:b/>
        </w:rPr>
        <w:t>Ochranná (-é) lehota (-y)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D33318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Mäso a vnútornosti: 15 dní.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Mlieko: 0 hodín.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D33318" w:rsidRDefault="000141DA" w:rsidP="000141DA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</w:rPr>
        <w:t>5.</w:t>
      </w:r>
      <w:r>
        <w:tab/>
      </w:r>
      <w:r>
        <w:rPr>
          <w:b/>
        </w:rPr>
        <w:t>FARMAKOLOGICKÉ VLASTNOSTI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Farmakoterapeutická</w:t>
      </w:r>
      <w:proofErr w:type="spellEnd"/>
      <w:r>
        <w:t xml:space="preserve"> skupina: </w:t>
      </w:r>
      <w:proofErr w:type="spellStart"/>
      <w:r>
        <w:t>endektocídy</w:t>
      </w:r>
      <w:proofErr w:type="spellEnd"/>
      <w:r>
        <w:t xml:space="preserve">, </w:t>
      </w:r>
      <w:proofErr w:type="spellStart"/>
      <w:r>
        <w:t>makrocyklické</w:t>
      </w:r>
      <w:proofErr w:type="spellEnd"/>
      <w:r>
        <w:t xml:space="preserve"> </w:t>
      </w:r>
      <w:proofErr w:type="spellStart"/>
      <w:r>
        <w:t>laktóny</w:t>
      </w:r>
      <w:proofErr w:type="spellEnd"/>
      <w:r>
        <w:t xml:space="preserve">, </w:t>
      </w:r>
      <w:proofErr w:type="spellStart"/>
      <w:r>
        <w:t>avermektíny</w:t>
      </w:r>
      <w:proofErr w:type="spellEnd"/>
      <w:r>
        <w:t>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ATCvet</w:t>
      </w:r>
      <w:proofErr w:type="spellEnd"/>
      <w:r>
        <w:t xml:space="preserve"> kód: QP54AA04.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</w:rPr>
        <w:t>5.1</w:t>
      </w:r>
      <w:r>
        <w:tab/>
      </w:r>
      <w:proofErr w:type="spellStart"/>
      <w:r>
        <w:rPr>
          <w:b/>
        </w:rPr>
        <w:t>Farmakodynamické</w:t>
      </w:r>
      <w:proofErr w:type="spellEnd"/>
      <w:r>
        <w:rPr>
          <w:b/>
        </w:rPr>
        <w:t xml:space="preserve"> vlastnosti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D33318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Eprinomektín</w:t>
      </w:r>
      <w:proofErr w:type="spellEnd"/>
      <w:r>
        <w:t xml:space="preserve"> je molekula s </w:t>
      </w:r>
      <w:proofErr w:type="spellStart"/>
      <w:r>
        <w:t>endektocídnou</w:t>
      </w:r>
      <w:proofErr w:type="spellEnd"/>
      <w:r>
        <w:t xml:space="preserve"> aktivitou patriaca do skupiny </w:t>
      </w:r>
      <w:proofErr w:type="spellStart"/>
      <w:r>
        <w:t>makrocyklických</w:t>
      </w:r>
      <w:proofErr w:type="spellEnd"/>
      <w:r>
        <w:t xml:space="preserve"> </w:t>
      </w:r>
      <w:proofErr w:type="spellStart"/>
      <w:r>
        <w:t>laktónov</w:t>
      </w:r>
      <w:proofErr w:type="spellEnd"/>
      <w:r>
        <w:t xml:space="preserve">. Zlúčeniny tejto skupiny sa viažu s vysokou afinitou na </w:t>
      </w:r>
      <w:proofErr w:type="spellStart"/>
      <w:r>
        <w:t>glutamátom</w:t>
      </w:r>
      <w:proofErr w:type="spellEnd"/>
      <w:r>
        <w:t xml:space="preserve"> ovládané kanály </w:t>
      </w:r>
      <w:proofErr w:type="spellStart"/>
      <w:r>
        <w:t>chloridových</w:t>
      </w:r>
      <w:proofErr w:type="spellEnd"/>
      <w:r>
        <w:t xml:space="preserve"> iónov, ako je to v nervových a svalových bunkách bezstavovcov. Tieto zlúčeniny sa viažu selektívne na tieto kanály, čo vedie k zvýšeniu </w:t>
      </w:r>
      <w:proofErr w:type="spellStart"/>
      <w:r>
        <w:t>permeability</w:t>
      </w:r>
      <w:proofErr w:type="spellEnd"/>
      <w:r>
        <w:t xml:space="preserve"> bunkovej membrány pre </w:t>
      </w:r>
      <w:proofErr w:type="spellStart"/>
      <w:r>
        <w:t>chloridové</w:t>
      </w:r>
      <w:proofErr w:type="spellEnd"/>
      <w:r>
        <w:t xml:space="preserve"> ióny s </w:t>
      </w:r>
      <w:proofErr w:type="spellStart"/>
      <w:r>
        <w:t>hyperpolarizáciou</w:t>
      </w:r>
      <w:proofErr w:type="spellEnd"/>
      <w:r>
        <w:t xml:space="preserve"> nervových a svalových buniek, výsledkom čoho je paralýza a smrť parazita.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Látky tejto skupiny môžu tiež </w:t>
      </w:r>
      <w:proofErr w:type="spellStart"/>
      <w:r>
        <w:t>interagovať</w:t>
      </w:r>
      <w:proofErr w:type="spellEnd"/>
      <w:r>
        <w:t xml:space="preserve"> s iným </w:t>
      </w:r>
      <w:proofErr w:type="spellStart"/>
      <w:r>
        <w:t>ligandami</w:t>
      </w:r>
      <w:proofErr w:type="spellEnd"/>
      <w:r>
        <w:t xml:space="preserve"> riadiacimi </w:t>
      </w:r>
      <w:proofErr w:type="spellStart"/>
      <w:r>
        <w:t>chloridové</w:t>
      </w:r>
      <w:proofErr w:type="spellEnd"/>
      <w:r>
        <w:t xml:space="preserve"> kanáliky, napríklad s tými, ktoré sú ovládané </w:t>
      </w:r>
      <w:proofErr w:type="spellStart"/>
      <w:r>
        <w:t>neurotransmiterom</w:t>
      </w:r>
      <w:proofErr w:type="spellEnd"/>
      <w:r>
        <w:t xml:space="preserve"> GABA (gama-</w:t>
      </w:r>
      <w:proofErr w:type="spellStart"/>
      <w:r>
        <w:t>aminomaslová</w:t>
      </w:r>
      <w:proofErr w:type="spellEnd"/>
      <w:r>
        <w:t xml:space="preserve"> kyselina).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D33318" w:rsidRDefault="000141DA" w:rsidP="000141DA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</w:rPr>
        <w:t>5.2</w:t>
      </w:r>
      <w:r>
        <w:tab/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údaje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Biologická dostupnosť lokálne aplikovaného </w:t>
      </w:r>
      <w:proofErr w:type="spellStart"/>
      <w:r>
        <w:t>eprinomektínu</w:t>
      </w:r>
      <w:proofErr w:type="spellEnd"/>
      <w:r>
        <w:t xml:space="preserve"> u hovädzieho dobytka je asi 30 % s najväčšou absorpciou asi 10 dní po ošetrení. </w:t>
      </w:r>
      <w:proofErr w:type="spellStart"/>
      <w:r>
        <w:t>Eprinomektín</w:t>
      </w:r>
      <w:proofErr w:type="spellEnd"/>
      <w:r>
        <w:t xml:space="preserve"> sa silne viaže na plazmatické proteíny (99 %). </w:t>
      </w:r>
      <w:proofErr w:type="spellStart"/>
      <w:r>
        <w:t>Eprinomektín</w:t>
      </w:r>
      <w:proofErr w:type="spellEnd"/>
      <w:r>
        <w:t xml:space="preserve"> sa nemetabolizuje vo veľkej miere u hovädzieho dobytka po lokálnej aplikácii.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Stolica je hlavnou cestou eliminácie.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</w:rPr>
        <w:t>Vplyv na životné prostredie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Eprinomektín</w:t>
      </w:r>
      <w:proofErr w:type="spellEnd"/>
      <w:r>
        <w:t xml:space="preserve">, podobne ako iné </w:t>
      </w:r>
      <w:proofErr w:type="spellStart"/>
      <w:r>
        <w:t>makrocyklické</w:t>
      </w:r>
      <w:proofErr w:type="spellEnd"/>
      <w:r>
        <w:t xml:space="preserve"> </w:t>
      </w:r>
      <w:proofErr w:type="spellStart"/>
      <w:r>
        <w:t>laktóny</w:t>
      </w:r>
      <w:proofErr w:type="spellEnd"/>
      <w:r>
        <w:t>, môže nepriaznivo vplývať na iné ako cieľové organizmy. Pozrite časť 4.5  Iné bezpečnostné opatrenia.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D33318" w:rsidRDefault="000141DA" w:rsidP="000141D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</w:t>
      </w:r>
      <w:r>
        <w:tab/>
      </w:r>
      <w:r>
        <w:rPr>
          <w:b/>
        </w:rPr>
        <w:t>FARMACEUTICKÉ ÚDAJE</w:t>
      </w:r>
    </w:p>
    <w:p w:rsidR="000141DA" w:rsidRPr="00D33318" w:rsidRDefault="000141DA" w:rsidP="000141DA">
      <w:pPr>
        <w:tabs>
          <w:tab w:val="clear" w:pos="567"/>
        </w:tabs>
        <w:spacing w:line="240" w:lineRule="auto"/>
        <w:rPr>
          <w:b/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6.1</w:t>
      </w:r>
      <w:r>
        <w:tab/>
      </w:r>
      <w:r>
        <w:rPr>
          <w:b/>
        </w:rPr>
        <w:t>Zoznam pomocných látok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CB0FAF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Butylhydroxytoluén</w:t>
      </w:r>
      <w:proofErr w:type="spellEnd"/>
      <w:r>
        <w:t xml:space="preserve"> (E 321)</w:t>
      </w:r>
    </w:p>
    <w:p w:rsidR="000141DA" w:rsidRPr="00CB0FAF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Racemický</w:t>
      </w:r>
      <w:proofErr w:type="spellEnd"/>
      <w:r>
        <w:t xml:space="preserve"> alfa-</w:t>
      </w:r>
      <w:proofErr w:type="spellStart"/>
      <w:r>
        <w:t>tokoferol</w:t>
      </w:r>
      <w:proofErr w:type="spellEnd"/>
      <w:r>
        <w:t xml:space="preserve"> (E 307)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Polypropylénglykoldikaprylokaprát</w:t>
      </w:r>
      <w:proofErr w:type="spellEnd"/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CB0FAF" w:rsidRDefault="000141DA" w:rsidP="000141DA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</w:rPr>
        <w:t>6.2</w:t>
      </w:r>
      <w:r>
        <w:tab/>
      </w:r>
      <w:r>
        <w:rPr>
          <w:b/>
        </w:rPr>
        <w:t>Závažné inkompatibility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 Z dôvodu chýbania štúdií na kompatibilitu sa tento veterinárny liek nesmie miešať s inými veterinárnymi liekmi.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6.3</w:t>
      </w:r>
      <w:r>
        <w:tab/>
      </w:r>
      <w:r>
        <w:rPr>
          <w:b/>
        </w:rPr>
        <w:t>Čas použiteľnosti</w:t>
      </w:r>
    </w:p>
    <w:p w:rsidR="000141DA" w:rsidRPr="00474C50" w:rsidRDefault="000141DA" w:rsidP="000141DA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E928E1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Čas použiteľnosti veterinárneho lieku zabaleného v neporušenom obale: 2 roky.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Čas použiteľnosti po prvom otvorení vnútorného obalu: 18 mesiacov a do dátumu exspirácie.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lastRenderedPageBreak/>
        <w:t>6.4.</w:t>
      </w:r>
      <w:r>
        <w:tab/>
      </w:r>
      <w:r>
        <w:rPr>
          <w:b/>
        </w:rPr>
        <w:t>Osobitné bezpečnostné opatrenia na uchovávanie</w:t>
      </w:r>
    </w:p>
    <w:p w:rsidR="000141DA" w:rsidRPr="00474C50" w:rsidRDefault="000141DA" w:rsidP="000141DA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1 l: Uchovávať fľašu vo vonkajšom papierovom obale, aby sa chránila pred svetlom.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2,5 l a 5 l: Tento veterinárny liek nevyžaduje žiadne zvláštne podmienky na uchovávanie.</w:t>
      </w:r>
    </w:p>
    <w:p w:rsidR="000141DA" w:rsidRPr="002B4D18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6.5</w:t>
      </w:r>
      <w:r>
        <w:tab/>
      </w:r>
      <w:r>
        <w:rPr>
          <w:b/>
        </w:rPr>
        <w:t>Charakter a zloženie vnútorného obalu</w:t>
      </w:r>
    </w:p>
    <w:p w:rsidR="000141DA" w:rsidRDefault="000141DA" w:rsidP="000141DA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t>Stláčací dávkovací systém pre nalievanie na chrbát:</w:t>
      </w:r>
    </w:p>
    <w:p w:rsidR="000141DA" w:rsidRDefault="000141DA" w:rsidP="000141DA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t>1 l polyetylénová (HDPE) fľaša prírodnej farby s integrovanou odmernou komorou so stupnicou po 10 ml až do 50 ml, odstrániteľným Al/PE tesnením a skrutkovým HDPE uzáverom v papierovej škatuli.</w:t>
      </w:r>
    </w:p>
    <w:p w:rsidR="000141DA" w:rsidRPr="0002597E" w:rsidRDefault="000141DA" w:rsidP="000141D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</w:rPr>
        <w:t xml:space="preserve">Zásobné balenie: </w:t>
      </w:r>
    </w:p>
    <w:p w:rsidR="000141DA" w:rsidRPr="00474C50" w:rsidRDefault="000141DA" w:rsidP="000141DA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t>2,5 l a 5 l biele HDPE fľaše s odstrániteľným tesnením (etylén-</w:t>
      </w:r>
      <w:proofErr w:type="spellStart"/>
      <w:r>
        <w:t>metakrylová</w:t>
      </w:r>
      <w:proofErr w:type="spellEnd"/>
      <w:r>
        <w:t xml:space="preserve"> kyselina) zo zinkového </w:t>
      </w:r>
      <w:proofErr w:type="spellStart"/>
      <w:r>
        <w:t>kopolyméru</w:t>
      </w:r>
      <w:proofErr w:type="spellEnd"/>
      <w:r>
        <w:t>, polypropylénovým (PP) skrutkovým uzáverom a PP pripojovacou ventilovanou hlavicou v papierovej škatuli.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16650C" w:rsidRDefault="000141DA" w:rsidP="000141DA">
      <w:pPr>
        <w:pStyle w:val="Zkladntext"/>
      </w:pPr>
      <w:r>
        <w:t>Škatuľa s 1 l fľašou.</w:t>
      </w:r>
    </w:p>
    <w:p w:rsidR="000141DA" w:rsidRPr="0016650C" w:rsidRDefault="000141DA" w:rsidP="000141DA">
      <w:pPr>
        <w:pStyle w:val="Zkladntext"/>
      </w:pPr>
      <w:r>
        <w:t>Škatuľa s 2,5 l fľašou.</w:t>
      </w:r>
    </w:p>
    <w:p w:rsidR="000141DA" w:rsidRPr="0016650C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Škatuľa s 5 l fľašou. 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Nie všetky veľkosti balenia sa musia uvádzať na trh.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keepNext/>
        <w:keepLines/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</w:rPr>
        <w:t>6.6</w:t>
      </w:r>
      <w: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</w:p>
    <w:p w:rsidR="000141DA" w:rsidRPr="00474C50" w:rsidRDefault="000141DA" w:rsidP="000141DA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>
        <w:t>Tento veterinárny liek je nebezpečný pre ryby a vodné organizmy. Nekontaminujte povrchové vody a priekopy liekom ani použitou nádobou.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>
        <w:t>Každý nepoužitý veterinárny liek alebo odpadové materiály z tohto veterinárneho lieku musia byť zlikvidované v súlade s miestnymi požiadavkami.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7.</w:t>
      </w:r>
      <w:r>
        <w:tab/>
      </w:r>
      <w:r>
        <w:rPr>
          <w:b/>
        </w:rPr>
        <w:t>DRŽITEĽ ROZHODNUTIA O REGISTRÁCII</w:t>
      </w:r>
    </w:p>
    <w:p w:rsidR="000141DA" w:rsidRPr="00474C50" w:rsidRDefault="000141DA" w:rsidP="000141DA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0141DA" w:rsidRPr="009943C3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:rsidR="000141DA" w:rsidRPr="009943C3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Av</w:t>
      </w:r>
      <w:proofErr w:type="spellEnd"/>
      <w:r>
        <w:t xml:space="preserve">.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Autònoma</w:t>
      </w:r>
      <w:proofErr w:type="spellEnd"/>
      <w:r>
        <w:t>, 29</w:t>
      </w:r>
    </w:p>
    <w:p w:rsidR="000141DA" w:rsidRPr="009943C3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08290 </w:t>
      </w:r>
      <w:proofErr w:type="spellStart"/>
      <w:r>
        <w:t>Cerdanyola</w:t>
      </w:r>
      <w:proofErr w:type="spellEnd"/>
      <w:r>
        <w:t xml:space="preserve"> del </w:t>
      </w:r>
      <w:proofErr w:type="spellStart"/>
      <w:r>
        <w:t>Vallès</w:t>
      </w:r>
      <w:proofErr w:type="spellEnd"/>
    </w:p>
    <w:p w:rsidR="000141DA" w:rsidRPr="0027698C" w:rsidRDefault="000141DA" w:rsidP="000141DA">
      <w:pPr>
        <w:tabs>
          <w:tab w:val="clear" w:pos="567"/>
        </w:tabs>
        <w:spacing w:line="240" w:lineRule="auto"/>
      </w:pPr>
      <w:r>
        <w:t>(Barcelona), Španielsko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tab/>
      </w:r>
      <w:r>
        <w:rPr>
          <w:b/>
        </w:rPr>
        <w:t xml:space="preserve">REGISTRAČNÉ ČÍSLO 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96/019/DC/18-S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tab/>
      </w:r>
      <w:r>
        <w:rPr>
          <w:b/>
        </w:rPr>
        <w:t>DÁTUM PRVEJ REGISTRÁCIE/PREDĹŽENIA REGISTRÁCIE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2456FB" w:rsidRDefault="002456FB" w:rsidP="002456FB">
      <w:pPr>
        <w:tabs>
          <w:tab w:val="clear" w:pos="567"/>
        </w:tabs>
        <w:spacing w:line="240" w:lineRule="auto"/>
      </w:pPr>
      <w:r>
        <w:t xml:space="preserve">Dátum prvej registrácie: </w:t>
      </w:r>
      <w:r>
        <w:t>30</w:t>
      </w:r>
      <w:r>
        <w:t>/</w:t>
      </w:r>
      <w:r>
        <w:t>05</w:t>
      </w:r>
      <w:r>
        <w:t>/</w:t>
      </w:r>
      <w:r>
        <w:t>2018</w:t>
      </w:r>
      <w:bookmarkStart w:id="1" w:name="_GoBack"/>
      <w:bookmarkEnd w:id="1"/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</w:t>
      </w:r>
      <w:r>
        <w:tab/>
      </w:r>
      <w:r>
        <w:rPr>
          <w:b/>
        </w:rPr>
        <w:t>DÁTUM REVÍZIE TEXTU</w:t>
      </w:r>
    </w:p>
    <w:p w:rsidR="000141DA" w:rsidRPr="00474C50" w:rsidRDefault="000141DA" w:rsidP="000141DA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ZÁKAZ PREDAJA, DODÁVOK A/ALEBO POUŽÍVANIA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Výdaj lieku je viazaný na veterinárny predpis. </w:t>
      </w:r>
    </w:p>
    <w:p w:rsidR="001E7479" w:rsidRDefault="001E7479"/>
    <w:p w:rsidR="000141DA" w:rsidRDefault="000141DA"/>
    <w:p w:rsidR="000141DA" w:rsidRDefault="000141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0141DA" w:rsidRPr="00474C50" w:rsidTr="0037463C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0141DA" w:rsidRPr="00474C50" w:rsidRDefault="000141DA" w:rsidP="0037463C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</w:rPr>
              <w:lastRenderedPageBreak/>
              <w:t>ÚDAJE, KTORÉ MAJÚ BYŤ UVEDENÉ NA VONKAJŠOM OBALE</w:t>
            </w:r>
          </w:p>
          <w:p w:rsidR="000141DA" w:rsidRPr="00474C50" w:rsidRDefault="000141DA" w:rsidP="0037463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:rsidR="000141DA" w:rsidRPr="00474C50" w:rsidRDefault="000141DA" w:rsidP="0037463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</w:rPr>
              <w:t xml:space="preserve">PAPIEROVÁ ŠKATUĽA 1 l, 2,5 l a 5 l </w:t>
            </w:r>
          </w:p>
        </w:tc>
      </w:tr>
    </w:tbl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1.</w:t>
      </w:r>
      <w:r>
        <w:tab/>
      </w:r>
      <w:r>
        <w:rPr>
          <w:b/>
        </w:rPr>
        <w:t>NÁZOV VETERINÁRNEHO LIEKU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Elivec</w:t>
      </w:r>
      <w:proofErr w:type="spellEnd"/>
      <w:r>
        <w:t xml:space="preserve"> 5 mg/ml </w:t>
      </w:r>
      <w:proofErr w:type="spellStart"/>
      <w:r>
        <w:t>pour</w:t>
      </w:r>
      <w:proofErr w:type="spellEnd"/>
      <w:r>
        <w:t xml:space="preserve">-on roztok pre hovädzí dobytok 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Eprinomectinum</w:t>
      </w:r>
      <w:proofErr w:type="spellEnd"/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2.</w:t>
      </w:r>
      <w:r>
        <w:tab/>
      </w:r>
      <w:r>
        <w:rPr>
          <w:b/>
        </w:rPr>
        <w:t>ÚČINNÉ LÁTKY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8D6285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Eprinomektín</w:t>
      </w:r>
      <w:proofErr w:type="spellEnd"/>
      <w:r>
        <w:tab/>
        <w:t>5,00 mg/ml</w:t>
      </w:r>
    </w:p>
    <w:p w:rsidR="000141DA" w:rsidRPr="008D6285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</w:t>
      </w:r>
      <w:r>
        <w:tab/>
      </w:r>
      <w:r>
        <w:rPr>
          <w:b/>
        </w:rPr>
        <w:t>LIEKOVÁ FORMA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Roztok na nalievanie na chrbát (</w:t>
      </w:r>
      <w:proofErr w:type="spellStart"/>
      <w:r>
        <w:t>pour</w:t>
      </w:r>
      <w:proofErr w:type="spellEnd"/>
      <w:r>
        <w:t>-on)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tab/>
      </w:r>
      <w:r>
        <w:rPr>
          <w:b/>
        </w:rPr>
        <w:t>VEĽKOSŤ BALENIA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1 l</w:t>
      </w:r>
    </w:p>
    <w:p w:rsidR="000141DA" w:rsidRPr="008D6285" w:rsidRDefault="000141DA" w:rsidP="000141D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t>2,5 l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5 l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tab/>
      </w:r>
      <w:r>
        <w:rPr>
          <w:b/>
        </w:rPr>
        <w:t>CIEĽOVÉ DRUHY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Hovädzí dobytok (výkrmový a mliečny hovädzí dobytok).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</w:t>
      </w:r>
      <w:r>
        <w:tab/>
      </w:r>
      <w:r>
        <w:rPr>
          <w:b/>
        </w:rPr>
        <w:t>INDIKÁCIA(-IE)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tab/>
      </w:r>
      <w:r>
        <w:rPr>
          <w:b/>
        </w:rPr>
        <w:t>SPÔSOB A CESTA PODANIA LIEKU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Používa sa na nalievanie na chrbát (</w:t>
      </w:r>
      <w:proofErr w:type="spellStart"/>
      <w:r>
        <w:t>pour</w:t>
      </w:r>
      <w:proofErr w:type="spellEnd"/>
      <w:r>
        <w:t>-on).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tab/>
      </w:r>
      <w:r>
        <w:rPr>
          <w:b/>
        </w:rPr>
        <w:t>OCHRANNÁ LEHOTA(-Y)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8D6285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Mäso a vnútornosti: 15 dní.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Mlieko: 0 hodín.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tab/>
      </w:r>
      <w:r>
        <w:rPr>
          <w:b/>
        </w:rPr>
        <w:t>OSOBITNÉ UPOZORNENIE(-A), AK JE POTREBNÉ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tab/>
      </w:r>
      <w:r>
        <w:rPr>
          <w:b/>
        </w:rPr>
        <w:t>DÁTUM EXSPIRÁCIE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8D6285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EXP </w:t>
      </w:r>
    </w:p>
    <w:p w:rsidR="000141DA" w:rsidRPr="008D6285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Čas použiteľnosti po prvom otvorení vnútorného obalu: 18 mesiacov a do dátumu exspirácie.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Po prvom prepichnutí zátky použiť do…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11.</w:t>
      </w:r>
      <w:r>
        <w:tab/>
      </w:r>
      <w:r>
        <w:rPr>
          <w:b/>
        </w:rPr>
        <w:t>OSOBITNÉ PODMIENKY NA UCHOVÁVANIE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B32E4E" w:rsidRDefault="000141DA" w:rsidP="000141DA">
      <w:pPr>
        <w:tabs>
          <w:tab w:val="clear" w:pos="567"/>
        </w:tabs>
        <w:spacing w:line="240" w:lineRule="auto"/>
        <w:rPr>
          <w:szCs w:val="22"/>
          <w:highlight w:val="yellow"/>
        </w:rPr>
      </w:pPr>
      <w:r>
        <w:t>1 l: Uchovávať fľašu vo vonkajšom papierovom obale, aby sa chránila pred svetlom.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tab/>
      </w:r>
      <w:r>
        <w:rPr>
          <w:b/>
        </w:rPr>
        <w:t>OSOBITNÉ BEZPEČNOSTNÉ OPATRENIA NA ZNEŠKODNENIE NEPOUŽITÉHO LIEKU(-OV) ALEBO ODPADOVÉHO MATERIÁLU, V PRÍPADE POTREBY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iCs/>
          <w:szCs w:val="22"/>
        </w:rPr>
      </w:pPr>
      <w:r>
        <w:t>Likvidácia: prečítajte si písomnú informáciu pre používateľov.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tab/>
      </w:r>
      <w:r>
        <w:rPr>
          <w:b/>
        </w:rPr>
        <w:t>OZNAČENIE „LEN PRE ZVIERATÁ“ A PODMIENKY ALEBO OBMEDZENIA TÝKAJÚCE SA DODÁVKY A POUŽITIA, AK SA UPLATŇUJÚ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Len pre zvieratá. </w:t>
      </w:r>
    </w:p>
    <w:p w:rsidR="000141DA" w:rsidRPr="00FA3456" w:rsidRDefault="000141DA" w:rsidP="000141D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t>Výdaj lieku je viazaný na veterinárny predpis.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14.</w:t>
      </w:r>
      <w:r>
        <w:tab/>
      </w:r>
      <w:r>
        <w:rPr>
          <w:b/>
        </w:rPr>
        <w:t>OZNAČENIE „UCHOVÁVAŤ MIMO DOHĽADU A DOSAHU DETÍ“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15.</w:t>
      </w:r>
      <w:r>
        <w:tab/>
      </w:r>
      <w:r>
        <w:rPr>
          <w:b/>
        </w:rPr>
        <w:t>NÁZOV A ADRESA DRŽITEĽA ROZHODNUTIA O REGISTRÁCII</w:t>
      </w:r>
    </w:p>
    <w:p w:rsidR="000141DA" w:rsidRPr="00474C50" w:rsidRDefault="000141DA" w:rsidP="000141DA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0141DA" w:rsidRPr="009943C3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:rsidR="000141DA" w:rsidRPr="009943C3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Av</w:t>
      </w:r>
      <w:proofErr w:type="spellEnd"/>
      <w:r>
        <w:t xml:space="preserve">.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Autònoma</w:t>
      </w:r>
      <w:proofErr w:type="spellEnd"/>
      <w:r>
        <w:t>, 29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08290 </w:t>
      </w:r>
      <w:proofErr w:type="spellStart"/>
      <w:r>
        <w:t>Cerdanyola</w:t>
      </w:r>
      <w:proofErr w:type="spellEnd"/>
      <w:r>
        <w:t xml:space="preserve"> del </w:t>
      </w:r>
      <w:proofErr w:type="spellStart"/>
      <w:r>
        <w:t>Vallès</w:t>
      </w:r>
      <w:proofErr w:type="spellEnd"/>
    </w:p>
    <w:p w:rsidR="000141DA" w:rsidRP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rPr>
          <w:lang w:val="en-US"/>
        </w:rPr>
        <w:t>(</w:t>
      </w:r>
      <w:r>
        <w:t>Barcelona), Španielsko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16.</w:t>
      </w:r>
      <w:r>
        <w:tab/>
      </w:r>
      <w:r>
        <w:rPr>
          <w:b/>
        </w:rPr>
        <w:t>REGISTRAČNÉ ČÍSLO (ČÍSLA)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96/019/DC/18-S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17.</w:t>
      </w:r>
      <w:r>
        <w:tab/>
      </w:r>
      <w:r>
        <w:rPr>
          <w:b/>
        </w:rPr>
        <w:t>ČÍSLO VÝROBNEJ ŠARŽE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Šarža: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0141DA" w:rsidRPr="00474C50" w:rsidTr="0037463C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0141DA" w:rsidRPr="00474C50" w:rsidRDefault="000141DA" w:rsidP="0037463C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</w:rPr>
              <w:t>ÚDAJE, KTORÉ MAJÚ BYŤ UVEDENÉ NA VNÚTORNOM OBALE</w:t>
            </w:r>
          </w:p>
          <w:p w:rsidR="000141DA" w:rsidRPr="00474C50" w:rsidRDefault="000141DA" w:rsidP="0037463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:rsidR="000141DA" w:rsidRPr="00474C50" w:rsidRDefault="000141DA" w:rsidP="0037463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</w:rPr>
              <w:t xml:space="preserve"> 1 l, 2,5 l a 5 l HDPE fľaše</w:t>
            </w:r>
          </w:p>
        </w:tc>
      </w:tr>
    </w:tbl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1.</w:t>
      </w:r>
      <w:r>
        <w:tab/>
      </w:r>
      <w:r>
        <w:rPr>
          <w:b/>
        </w:rPr>
        <w:t>NÁZOV VETERINÁRNEHO LIEKU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Elivec</w:t>
      </w:r>
      <w:proofErr w:type="spellEnd"/>
      <w:r>
        <w:t xml:space="preserve"> 5 mg/ml </w:t>
      </w:r>
      <w:proofErr w:type="spellStart"/>
      <w:r>
        <w:t>pour</w:t>
      </w:r>
      <w:proofErr w:type="spellEnd"/>
      <w:r>
        <w:t xml:space="preserve">-on roztok pre hovädzí dobytok 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Eprinomectinum</w:t>
      </w:r>
      <w:proofErr w:type="spellEnd"/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2.</w:t>
      </w:r>
      <w:r>
        <w:tab/>
      </w:r>
      <w:r>
        <w:rPr>
          <w:b/>
        </w:rPr>
        <w:t>ÚČINNÉ LÁTKY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8D6285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Eprinomektín</w:t>
      </w:r>
      <w:proofErr w:type="spellEnd"/>
      <w:r>
        <w:tab/>
        <w:t>5,00 mg/ml</w:t>
      </w:r>
    </w:p>
    <w:p w:rsidR="000141DA" w:rsidRPr="008D6285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</w:t>
      </w:r>
      <w:r>
        <w:tab/>
      </w:r>
      <w:r>
        <w:rPr>
          <w:b/>
        </w:rPr>
        <w:t>LIEKOVÁ FORMA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tab/>
      </w:r>
      <w:r>
        <w:rPr>
          <w:b/>
        </w:rPr>
        <w:t>VEĽKOSŤ BALENIA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1 l</w:t>
      </w:r>
    </w:p>
    <w:p w:rsidR="000141DA" w:rsidRPr="008D6285" w:rsidRDefault="000141DA" w:rsidP="000141D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t>2,5 l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5 l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tab/>
      </w:r>
      <w:r>
        <w:rPr>
          <w:b/>
        </w:rPr>
        <w:t>CIEĽOVÉ DRUHY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Hovädzí dobytok (výkrmový a mliečny hovädzí dobytok)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</w:t>
      </w:r>
      <w:r>
        <w:tab/>
      </w:r>
      <w:r>
        <w:rPr>
          <w:b/>
        </w:rPr>
        <w:t>INDIKÁCIA(-IE)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tab/>
      </w:r>
      <w:r>
        <w:rPr>
          <w:b/>
        </w:rPr>
        <w:t>SPÔSOB A CESTA PODANIA LIEKU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Používa sa na nalievanie na chrbát (</w:t>
      </w:r>
      <w:proofErr w:type="spellStart"/>
      <w:r>
        <w:t>pour</w:t>
      </w:r>
      <w:proofErr w:type="spellEnd"/>
      <w:r>
        <w:t>-on).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tab/>
      </w:r>
      <w:r>
        <w:rPr>
          <w:b/>
        </w:rPr>
        <w:t>OCHRANNÁ LEHOTA(-Y)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8D6285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Mäso a vnútornosti: 15 dní.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Mlieko: 0 hodín.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tab/>
      </w:r>
      <w:r>
        <w:rPr>
          <w:b/>
        </w:rPr>
        <w:t>OSOBITNÉ UPOZORNENIE(-A), AK JE POTREBNÉ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tab/>
      </w:r>
      <w:r>
        <w:rPr>
          <w:b/>
        </w:rPr>
        <w:t>DÁTUM EXSPIRÁCIE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8D6285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EXP </w:t>
      </w:r>
    </w:p>
    <w:p w:rsidR="000141DA" w:rsidRPr="008D6285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Čas použiteľnosti po prvom otvorení vnútorného obalu: 18 mesiacov a do dátumu exspirácie.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Po prvom prepichnutí zátky použiť do…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11.</w:t>
      </w:r>
      <w:r>
        <w:tab/>
      </w:r>
      <w:r>
        <w:rPr>
          <w:b/>
        </w:rPr>
        <w:t>OSOBITNÉ PODMIENKY NA UCHOVÁVANIE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1 l: Uchovávať fľašu vo vonkajšom papierovom obale, aby sa chránila pred svetlom.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tab/>
      </w:r>
      <w:r>
        <w:rPr>
          <w:b/>
        </w:rPr>
        <w:t>OSOBITNÉ BEZPEČNOSTNÉ OPATRENIA NA ZNEŠKODNENIE NEPOUŽITÉHO LIEKU(-OV) ALEBO ODPADOVÉHO MATERIÁLU, V PRÍPADE POTREBY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iCs/>
          <w:szCs w:val="22"/>
        </w:rPr>
      </w:pPr>
      <w:r>
        <w:t>Likvidácia: prečítajte si písomnú informáciu pre používateľov.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tab/>
      </w:r>
      <w:r>
        <w:rPr>
          <w:b/>
        </w:rPr>
        <w:t>OZNAČENIE „LEN PRE ZVIERATÁ“ A PODMIENKY ALEBO OBMEDZENIA TÝKAJÚCE SA DODÁVKY A POUŽITIA, AK SA UPLATŇUJÚ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Len pre zvieratá. </w:t>
      </w:r>
    </w:p>
    <w:p w:rsidR="000141DA" w:rsidRPr="00FA3456" w:rsidRDefault="000141DA" w:rsidP="000141D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t>Výdaj lieku je viazaný na veterinárny predpis.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14.</w:t>
      </w:r>
      <w:r>
        <w:tab/>
      </w:r>
      <w:r>
        <w:rPr>
          <w:b/>
        </w:rPr>
        <w:t>OZNAČENIE „UCHOVÁVAŤ MIMO DOHĽADU A DOSAHU DETÍ“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15.</w:t>
      </w:r>
      <w:r>
        <w:tab/>
      </w:r>
      <w:r>
        <w:rPr>
          <w:b/>
        </w:rPr>
        <w:t>NÁZOV A ADRESA DRŽITEĽA ROZHODNUTIA O REGISTRÁCII</w:t>
      </w:r>
    </w:p>
    <w:p w:rsidR="000141DA" w:rsidRPr="00474C50" w:rsidRDefault="000141DA" w:rsidP="000141DA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0141DA" w:rsidRPr="009943C3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:rsidR="000141DA" w:rsidRPr="009943C3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Av</w:t>
      </w:r>
      <w:proofErr w:type="spellEnd"/>
      <w:r>
        <w:t xml:space="preserve">.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Autònoma</w:t>
      </w:r>
      <w:proofErr w:type="spellEnd"/>
      <w:r>
        <w:t>, 29</w:t>
      </w:r>
    </w:p>
    <w:p w:rsidR="000141DA" w:rsidRPr="009943C3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08290 </w:t>
      </w:r>
      <w:proofErr w:type="spellStart"/>
      <w:r>
        <w:t>Cerdanyola</w:t>
      </w:r>
      <w:proofErr w:type="spellEnd"/>
      <w:r>
        <w:t xml:space="preserve"> del </w:t>
      </w:r>
      <w:proofErr w:type="spellStart"/>
      <w:r>
        <w:t>Vallès</w:t>
      </w:r>
      <w:proofErr w:type="spellEnd"/>
    </w:p>
    <w:p w:rsidR="000141DA" w:rsidRPr="001227DB" w:rsidRDefault="000141DA" w:rsidP="000141DA">
      <w:pPr>
        <w:tabs>
          <w:tab w:val="clear" w:pos="567"/>
        </w:tabs>
        <w:spacing w:line="240" w:lineRule="auto"/>
      </w:pPr>
      <w:r>
        <w:t>(Barcelona), Španielsko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16.</w:t>
      </w:r>
      <w:r>
        <w:tab/>
      </w:r>
      <w:r>
        <w:rPr>
          <w:b/>
        </w:rPr>
        <w:t xml:space="preserve">REGISTRAČNÉ ČÍSLO 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96/019/DC/18-S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17.</w:t>
      </w:r>
      <w:r>
        <w:tab/>
      </w:r>
      <w:r>
        <w:rPr>
          <w:b/>
        </w:rPr>
        <w:t>ČÍSLO VÝROBNEJ ŠARŽE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Šarža: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lastRenderedPageBreak/>
        <w:t>PÍSOMNÁ INFORMÁCIA PRE POUŽÍVATEĽOV</w:t>
      </w:r>
    </w:p>
    <w:p w:rsidR="000141DA" w:rsidRPr="0046240A" w:rsidRDefault="000141DA" w:rsidP="000141DA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proofErr w:type="spellStart"/>
      <w:r>
        <w:rPr>
          <w:b/>
        </w:rPr>
        <w:t>Elivec</w:t>
      </w:r>
      <w:proofErr w:type="spellEnd"/>
      <w:r>
        <w:rPr>
          <w:b/>
        </w:rPr>
        <w:t xml:space="preserve"> 5 mg/ml </w:t>
      </w:r>
      <w:proofErr w:type="spellStart"/>
      <w:r>
        <w:rPr>
          <w:b/>
        </w:rPr>
        <w:t>pour</w:t>
      </w:r>
      <w:proofErr w:type="spellEnd"/>
      <w:r>
        <w:rPr>
          <w:b/>
        </w:rPr>
        <w:t xml:space="preserve">-on roztok pre hovädzí dobytok 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1.</w:t>
      </w:r>
      <w:r>
        <w:tab/>
      </w:r>
      <w:r>
        <w:rPr>
          <w:b/>
        </w:rPr>
        <w:t>NÁZOV A ADRESA DRŽITEĽA ROZHODNUTIA O REGISTRÁCII A DRŽITEĽA POVOLENIA NA VÝROBU ZODPOVEDNÉHO ZA UVOĽNENIE ŠARŽE, AK NIE SÚ IDENTICKÍ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u w:val="single"/>
        </w:rPr>
        <w:t>Držiteľ rozhodnutia o registrácii</w:t>
      </w:r>
      <w:r>
        <w:t>:</w:t>
      </w:r>
    </w:p>
    <w:p w:rsidR="000141DA" w:rsidRPr="001679FE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:rsidR="000141DA" w:rsidRPr="009943C3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Av</w:t>
      </w:r>
      <w:proofErr w:type="spellEnd"/>
      <w:r>
        <w:t xml:space="preserve">.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Autònoma</w:t>
      </w:r>
      <w:proofErr w:type="spellEnd"/>
      <w:r>
        <w:t>, 29</w:t>
      </w:r>
    </w:p>
    <w:p w:rsidR="000141DA" w:rsidRPr="009943C3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08290 </w:t>
      </w:r>
      <w:proofErr w:type="spellStart"/>
      <w:r>
        <w:t>Cerdanyola</w:t>
      </w:r>
      <w:proofErr w:type="spellEnd"/>
      <w:r>
        <w:t xml:space="preserve"> del </w:t>
      </w:r>
      <w:proofErr w:type="spellStart"/>
      <w:r>
        <w:t>Vallès</w:t>
      </w:r>
      <w:proofErr w:type="spellEnd"/>
    </w:p>
    <w:p w:rsidR="000141DA" w:rsidRPr="009943C3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(Barcelona), Španielsko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u w:val="single"/>
        </w:rPr>
        <w:t>Výrobca zodpovedný za uvoľnenie šarže</w:t>
      </w:r>
      <w:r>
        <w:t>:</w:t>
      </w:r>
    </w:p>
    <w:p w:rsidR="000141DA" w:rsidRPr="00F84097" w:rsidRDefault="000141DA" w:rsidP="000141DA">
      <w:pPr>
        <w:widowControl w:val="0"/>
        <w:tabs>
          <w:tab w:val="clear" w:pos="567"/>
        </w:tabs>
        <w:spacing w:line="240" w:lineRule="auto"/>
        <w:jc w:val="both"/>
        <w:rPr>
          <w:bCs/>
          <w:szCs w:val="22"/>
        </w:rPr>
      </w:pPr>
      <w:r>
        <w:t xml:space="preserve">Industrial </w:t>
      </w:r>
      <w:proofErr w:type="spellStart"/>
      <w:r>
        <w:t>Veterinaria</w:t>
      </w:r>
      <w:proofErr w:type="spellEnd"/>
      <w:r>
        <w:t>, S.A.</w:t>
      </w:r>
    </w:p>
    <w:p w:rsidR="000141DA" w:rsidRPr="00F84097" w:rsidRDefault="000141DA" w:rsidP="000141DA">
      <w:pPr>
        <w:widowControl w:val="0"/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>
        <w:t>Esmeralda</w:t>
      </w:r>
      <w:proofErr w:type="spellEnd"/>
      <w:r>
        <w:t>, 19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E-08950 </w:t>
      </w:r>
      <w:proofErr w:type="spellStart"/>
      <w:r>
        <w:t>Esplugues</w:t>
      </w:r>
      <w:proofErr w:type="spellEnd"/>
      <w:r>
        <w:t xml:space="preserve"> de </w:t>
      </w:r>
      <w:proofErr w:type="spellStart"/>
      <w:r>
        <w:t>Llobregat</w:t>
      </w:r>
      <w:proofErr w:type="spellEnd"/>
      <w:r>
        <w:t xml:space="preserve"> (Barcelona), Španielsko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aniMedica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0141DA" w:rsidRPr="00E138C1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Im </w:t>
      </w:r>
      <w:proofErr w:type="spellStart"/>
      <w:r>
        <w:t>Südfeld</w:t>
      </w:r>
      <w:proofErr w:type="spellEnd"/>
      <w:r>
        <w:t xml:space="preserve"> 9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48308 </w:t>
      </w:r>
      <w:proofErr w:type="spellStart"/>
      <w:r>
        <w:t>Senden-Bösensell</w:t>
      </w:r>
      <w:proofErr w:type="spellEnd"/>
      <w:r>
        <w:t>, Nemecko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aniMedica</w:t>
      </w:r>
      <w:proofErr w:type="spellEnd"/>
      <w:r>
        <w:t xml:space="preserve"> </w:t>
      </w:r>
      <w:proofErr w:type="spellStart"/>
      <w:r>
        <w:t>Herstellungs</w:t>
      </w:r>
      <w:proofErr w:type="spellEnd"/>
      <w:r>
        <w:t xml:space="preserve"> </w:t>
      </w:r>
      <w:proofErr w:type="spellStart"/>
      <w:r>
        <w:t>GmbH</w:t>
      </w:r>
      <w:proofErr w:type="spellEnd"/>
      <w:r>
        <w:t xml:space="preserve"> </w:t>
      </w:r>
    </w:p>
    <w:p w:rsidR="000141DA" w:rsidRPr="00E5224C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Im </w:t>
      </w:r>
      <w:proofErr w:type="spellStart"/>
      <w:r>
        <w:t>Südfeld</w:t>
      </w:r>
      <w:proofErr w:type="spellEnd"/>
      <w:r>
        <w:t xml:space="preserve"> 9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 xml:space="preserve">48308 </w:t>
      </w:r>
      <w:proofErr w:type="spellStart"/>
      <w:r>
        <w:t>Senden-Bösensell</w:t>
      </w:r>
      <w:proofErr w:type="spellEnd"/>
      <w:r>
        <w:t>, Nemecko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2.</w:t>
      </w:r>
      <w:r>
        <w:tab/>
      </w:r>
      <w:r>
        <w:rPr>
          <w:b/>
        </w:rPr>
        <w:t>NÁZOV VETERINÁRNEHO LIEKU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Elivec</w:t>
      </w:r>
      <w:proofErr w:type="spellEnd"/>
      <w:r>
        <w:t xml:space="preserve"> 5 mg/ml </w:t>
      </w:r>
      <w:proofErr w:type="spellStart"/>
      <w:r>
        <w:t>pour</w:t>
      </w:r>
      <w:proofErr w:type="spellEnd"/>
      <w:r>
        <w:t xml:space="preserve">-on roztok pre hovädzí dobytok 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Eprinomectinum</w:t>
      </w:r>
      <w:proofErr w:type="spellEnd"/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</w:t>
      </w:r>
      <w:r>
        <w:tab/>
      </w:r>
      <w:r>
        <w:rPr>
          <w:b/>
        </w:rPr>
        <w:t>OBSAH ÚČINNEJ LÁTKY (-OK) A INEJ LÁTKY (-OK)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iCs/>
          <w:szCs w:val="22"/>
        </w:rPr>
      </w:pPr>
    </w:p>
    <w:p w:rsidR="000141DA" w:rsidRPr="00A70396" w:rsidRDefault="000141DA" w:rsidP="000141DA">
      <w:pPr>
        <w:tabs>
          <w:tab w:val="clear" w:pos="567"/>
        </w:tabs>
        <w:spacing w:line="240" w:lineRule="auto"/>
        <w:rPr>
          <w:iCs/>
          <w:szCs w:val="22"/>
        </w:rPr>
      </w:pPr>
      <w:r>
        <w:t>1 ml roztoku obsahuje:</w:t>
      </w:r>
    </w:p>
    <w:p w:rsidR="000141DA" w:rsidRPr="00A70396" w:rsidRDefault="000141DA" w:rsidP="000141DA">
      <w:pPr>
        <w:tabs>
          <w:tab w:val="clear" w:pos="567"/>
        </w:tabs>
        <w:spacing w:line="240" w:lineRule="auto"/>
        <w:rPr>
          <w:iCs/>
          <w:szCs w:val="22"/>
        </w:rPr>
      </w:pPr>
    </w:p>
    <w:p w:rsidR="000141DA" w:rsidRPr="0037463C" w:rsidRDefault="000141DA" w:rsidP="000141DA">
      <w:pPr>
        <w:tabs>
          <w:tab w:val="clear" w:pos="567"/>
        </w:tabs>
        <w:spacing w:line="240" w:lineRule="auto"/>
        <w:rPr>
          <w:b/>
          <w:iCs/>
          <w:szCs w:val="22"/>
        </w:rPr>
      </w:pPr>
      <w:r w:rsidRPr="0037463C">
        <w:rPr>
          <w:b/>
        </w:rPr>
        <w:t>Účinná látka:</w:t>
      </w:r>
    </w:p>
    <w:p w:rsidR="000141DA" w:rsidRPr="00A70396" w:rsidRDefault="000141DA" w:rsidP="000141DA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Eprinomektín</w:t>
      </w:r>
      <w:proofErr w:type="spellEnd"/>
      <w:r>
        <w:tab/>
        <w:t>5,00 mg</w:t>
      </w:r>
    </w:p>
    <w:p w:rsidR="000141DA" w:rsidRPr="00A70396" w:rsidRDefault="000141DA" w:rsidP="000141DA">
      <w:pPr>
        <w:tabs>
          <w:tab w:val="clear" w:pos="567"/>
        </w:tabs>
        <w:spacing w:line="240" w:lineRule="auto"/>
        <w:rPr>
          <w:iCs/>
          <w:szCs w:val="22"/>
        </w:rPr>
      </w:pPr>
    </w:p>
    <w:p w:rsidR="000141DA" w:rsidRPr="0037463C" w:rsidRDefault="000141DA" w:rsidP="000141DA">
      <w:pPr>
        <w:tabs>
          <w:tab w:val="clear" w:pos="567"/>
        </w:tabs>
        <w:spacing w:line="240" w:lineRule="auto"/>
        <w:rPr>
          <w:b/>
          <w:iCs/>
          <w:szCs w:val="22"/>
        </w:rPr>
      </w:pPr>
      <w:r w:rsidRPr="0037463C">
        <w:rPr>
          <w:b/>
        </w:rPr>
        <w:t>Pomocné látky:</w:t>
      </w:r>
    </w:p>
    <w:p w:rsidR="000141DA" w:rsidRPr="00A70396" w:rsidRDefault="000141DA" w:rsidP="000141DA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Butylhydroxytoluén</w:t>
      </w:r>
      <w:proofErr w:type="spellEnd"/>
      <w:r>
        <w:t xml:space="preserve"> (E 321)</w:t>
      </w:r>
      <w:r>
        <w:tab/>
        <w:t xml:space="preserve">             0,10 mg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Racemický</w:t>
      </w:r>
      <w:proofErr w:type="spellEnd"/>
      <w:r>
        <w:t xml:space="preserve"> alfa-</w:t>
      </w:r>
      <w:proofErr w:type="spellStart"/>
      <w:r>
        <w:t>tokoferol</w:t>
      </w:r>
      <w:proofErr w:type="spellEnd"/>
      <w:r>
        <w:t xml:space="preserve"> (E 307)</w:t>
      </w:r>
      <w:r>
        <w:tab/>
        <w:t>0,06 mg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Svetložltý až žltý číry roztok.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</w:rPr>
        <w:t>4.</w:t>
      </w:r>
      <w:r>
        <w:tab/>
      </w:r>
      <w:r>
        <w:rPr>
          <w:b/>
        </w:rPr>
        <w:t>INDIKÁCIA(-IE)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Liečba zamorenia nasledujúcim parazitmi citlivými na </w:t>
      </w:r>
      <w:proofErr w:type="spellStart"/>
      <w:r>
        <w:t>eprinomektín</w:t>
      </w:r>
      <w:proofErr w:type="spellEnd"/>
      <w:r>
        <w:t>: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84"/>
        <w:gridCol w:w="1378"/>
        <w:gridCol w:w="348"/>
        <w:gridCol w:w="736"/>
        <w:gridCol w:w="284"/>
        <w:gridCol w:w="1133"/>
      </w:tblGrid>
      <w:tr w:rsidR="000141DA" w:rsidRPr="00A31676" w:rsidTr="0037463C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PARAZIT</w:t>
            </w:r>
          </w:p>
        </w:tc>
        <w:tc>
          <w:tcPr>
            <w:tcW w:w="16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DOSPELÉ</w:t>
            </w:r>
          </w:p>
        </w:tc>
        <w:tc>
          <w:tcPr>
            <w:tcW w:w="8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Vývojové štádiá L4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proofErr w:type="spellStart"/>
            <w:r>
              <w:t>Inhibované</w:t>
            </w:r>
            <w:proofErr w:type="spellEnd"/>
            <w:r>
              <w:t xml:space="preserve"> vývojové štádiá L4</w:t>
            </w:r>
          </w:p>
        </w:tc>
      </w:tr>
      <w:tr w:rsidR="000141DA" w:rsidRPr="00A31676" w:rsidTr="0037463C"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41DA" w:rsidRPr="006647A6" w:rsidRDefault="000141DA" w:rsidP="0037463C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proofErr w:type="spellStart"/>
            <w:r>
              <w:rPr>
                <w:b/>
              </w:rPr>
              <w:t>Gastrointestinálne</w:t>
            </w:r>
            <w:proofErr w:type="spellEnd"/>
            <w:r>
              <w:rPr>
                <w:b/>
              </w:rPr>
              <w:t xml:space="preserve"> oblé červy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0141DA" w:rsidRPr="00A31676" w:rsidTr="0037463C">
        <w:tc>
          <w:tcPr>
            <w:tcW w:w="2835" w:type="dxa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rPr>
                <w:i/>
              </w:rPr>
              <w:t>Ostertagia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ostertagi</w:t>
            </w:r>
            <w:proofErr w:type="spellEnd"/>
            <w:r>
              <w:rPr>
                <w:i/>
              </w:rPr>
              <w:t xml:space="preserve"> 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rPr>
                <w:i/>
              </w:rPr>
              <w:t>Ostertagia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lyrata</w:t>
            </w:r>
            <w:proofErr w:type="spellEnd"/>
            <w:r>
              <w:rPr>
                <w:i/>
              </w:rPr>
              <w:t xml:space="preserve"> 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Haemonchus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placei</w:t>
            </w:r>
            <w:proofErr w:type="spellEnd"/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lastRenderedPageBreak/>
              <w:t>Trichostrongylus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axei</w:t>
            </w:r>
            <w:proofErr w:type="spellEnd"/>
          </w:p>
          <w:p w:rsidR="000141DA" w:rsidRPr="006647A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Trichostrongylus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colubriformis</w:t>
            </w:r>
            <w:proofErr w:type="spellEnd"/>
            <w:r>
              <w:rPr>
                <w:i/>
              </w:rPr>
              <w:t xml:space="preserve"> </w:t>
            </w:r>
          </w:p>
          <w:p w:rsidR="000141DA" w:rsidRPr="006647A6" w:rsidRDefault="000141DA" w:rsidP="0037463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rPr>
                <w:i/>
              </w:rPr>
              <w:t>Cooperia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spp</w:t>
            </w:r>
            <w:proofErr w:type="spellEnd"/>
            <w:r>
              <w:rPr>
                <w:i/>
              </w:rPr>
              <w:t>.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Cooperia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oncophora</w:t>
            </w:r>
            <w:proofErr w:type="spellEnd"/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Cooperia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punctata</w:t>
            </w:r>
            <w:proofErr w:type="spellEnd"/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Cooperia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pectinata</w:t>
            </w:r>
            <w:proofErr w:type="spellEnd"/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Cooperia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surnabada</w:t>
            </w:r>
            <w:proofErr w:type="spellEnd"/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Bunostomum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phlebotomum</w:t>
            </w:r>
            <w:proofErr w:type="spellEnd"/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Nematodirus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helvetianus</w:t>
            </w:r>
            <w:proofErr w:type="spellEnd"/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Oesophagostomum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radiatum</w:t>
            </w:r>
            <w:proofErr w:type="spellEnd"/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rPr>
                <w:i/>
              </w:rPr>
              <w:t>Oesophagostomum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</w:t>
            </w:r>
            <w:proofErr w:type="spellEnd"/>
            <w:r>
              <w:t>.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>
              <w:rPr>
                <w:i/>
              </w:rPr>
              <w:t>Trichuris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discolor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lastRenderedPageBreak/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lastRenderedPageBreak/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90" w:type="dxa"/>
            <w:gridSpan w:val="2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lastRenderedPageBreak/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lastRenderedPageBreak/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lastRenderedPageBreak/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0141DA" w:rsidRPr="00A31676" w:rsidTr="0037463C">
        <w:tc>
          <w:tcPr>
            <w:tcW w:w="2835" w:type="dxa"/>
            <w:shd w:val="clear" w:color="auto" w:fill="auto"/>
          </w:tcPr>
          <w:p w:rsidR="000141DA" w:rsidRDefault="000141DA" w:rsidP="0037463C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:rsidR="000141DA" w:rsidRPr="006647A6" w:rsidRDefault="000141DA" w:rsidP="0037463C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</w:rPr>
              <w:t>Pľúcne červy</w:t>
            </w:r>
          </w:p>
        </w:tc>
        <w:tc>
          <w:tcPr>
            <w:tcW w:w="1662" w:type="dxa"/>
            <w:gridSpan w:val="2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890" w:type="dxa"/>
            <w:gridSpan w:val="2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0141DA" w:rsidRPr="00A31676" w:rsidTr="0037463C">
        <w:tc>
          <w:tcPr>
            <w:tcW w:w="2835" w:type="dxa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>
              <w:rPr>
                <w:i/>
              </w:rPr>
              <w:t>Dictyocaulus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viviparus</w:t>
            </w:r>
            <w:proofErr w:type="spellEnd"/>
          </w:p>
        </w:tc>
        <w:tc>
          <w:tcPr>
            <w:tcW w:w="1662" w:type="dxa"/>
            <w:gridSpan w:val="2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90" w:type="dxa"/>
            <w:gridSpan w:val="2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141DA" w:rsidRPr="00A31676" w:rsidRDefault="000141DA" w:rsidP="0037463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</w:tbl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- Strečky (parazitické štádiá): </w:t>
      </w:r>
    </w:p>
    <w:p w:rsidR="000141DA" w:rsidRPr="00A70396" w:rsidRDefault="000141DA" w:rsidP="000141DA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proofErr w:type="spellStart"/>
      <w:r>
        <w:rPr>
          <w:i/>
        </w:rPr>
        <w:t>Hypoderma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bovis</w:t>
      </w:r>
      <w:proofErr w:type="spellEnd"/>
      <w:r>
        <w:rPr>
          <w:i/>
        </w:rPr>
        <w:t xml:space="preserve"> </w:t>
      </w:r>
    </w:p>
    <w:p w:rsidR="000141DA" w:rsidRPr="00A70396" w:rsidRDefault="000141DA" w:rsidP="000141DA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proofErr w:type="spellStart"/>
      <w:r>
        <w:rPr>
          <w:i/>
        </w:rPr>
        <w:t>Hypoderma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lineatum</w:t>
      </w:r>
      <w:proofErr w:type="spellEnd"/>
    </w:p>
    <w:p w:rsidR="000141DA" w:rsidRPr="00A70396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A70396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- Roztoče spôsobujúce svrab: </w:t>
      </w:r>
    </w:p>
    <w:p w:rsidR="000141DA" w:rsidRPr="00952131" w:rsidRDefault="000141DA" w:rsidP="000141DA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proofErr w:type="spellStart"/>
      <w:r>
        <w:rPr>
          <w:i/>
        </w:rPr>
        <w:t>Chorioptes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bovis</w:t>
      </w:r>
      <w:proofErr w:type="spellEnd"/>
    </w:p>
    <w:p w:rsidR="000141DA" w:rsidRPr="002B02F1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i/>
        </w:rPr>
        <w:t>Sarcoptes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scabiei</w:t>
      </w:r>
      <w:proofErr w:type="spellEnd"/>
      <w:r>
        <w:t xml:space="preserve"> var. </w:t>
      </w:r>
      <w:proofErr w:type="spellStart"/>
      <w:r>
        <w:rPr>
          <w:i/>
        </w:rPr>
        <w:t>Bovis</w:t>
      </w:r>
      <w:proofErr w:type="spellEnd"/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- Cicajúce vši: </w:t>
      </w:r>
    </w:p>
    <w:p w:rsidR="000141DA" w:rsidRPr="00952131" w:rsidRDefault="000141DA" w:rsidP="000141DA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proofErr w:type="spellStart"/>
      <w:r>
        <w:rPr>
          <w:i/>
        </w:rPr>
        <w:t>Linognathus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vituli</w:t>
      </w:r>
      <w:proofErr w:type="spellEnd"/>
    </w:p>
    <w:p w:rsidR="000141DA" w:rsidRPr="00952131" w:rsidRDefault="000141DA" w:rsidP="000141DA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proofErr w:type="spellStart"/>
      <w:r>
        <w:rPr>
          <w:i/>
        </w:rPr>
        <w:t>Haematopinus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eurysternus</w:t>
      </w:r>
      <w:proofErr w:type="spellEnd"/>
    </w:p>
    <w:p w:rsidR="000141DA" w:rsidRPr="00952131" w:rsidRDefault="000141DA" w:rsidP="000141DA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proofErr w:type="spellStart"/>
      <w:r>
        <w:rPr>
          <w:i/>
        </w:rPr>
        <w:t>Solenopotes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capillatus</w:t>
      </w:r>
      <w:proofErr w:type="spellEnd"/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- Štípajúce vši: </w:t>
      </w:r>
    </w:p>
    <w:p w:rsidR="000141DA" w:rsidRPr="00952131" w:rsidRDefault="000141DA" w:rsidP="000141DA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proofErr w:type="spellStart"/>
      <w:r>
        <w:rPr>
          <w:i/>
        </w:rPr>
        <w:t>Bovicola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Damalinia</w:t>
      </w:r>
      <w:proofErr w:type="spellEnd"/>
      <w:r>
        <w:rPr>
          <w:i/>
        </w:rPr>
        <w:t xml:space="preserve">) </w:t>
      </w:r>
      <w:proofErr w:type="spellStart"/>
      <w:r>
        <w:rPr>
          <w:i/>
        </w:rPr>
        <w:t>bovis</w:t>
      </w:r>
      <w:proofErr w:type="spellEnd"/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- Bodavé muchy: </w:t>
      </w:r>
    </w:p>
    <w:p w:rsidR="000141DA" w:rsidRPr="00ED6F73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i/>
        </w:rPr>
        <w:t>Haematobia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irritans</w:t>
      </w:r>
      <w:proofErr w:type="spellEnd"/>
    </w:p>
    <w:p w:rsidR="000141DA" w:rsidRPr="00ED6F73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952131" w:rsidRDefault="000141DA" w:rsidP="000141D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t xml:space="preserve">Liek chráni zvieratá proti opätovnému zamoreniu s: </w:t>
      </w:r>
    </w:p>
    <w:p w:rsidR="000141DA" w:rsidRDefault="000141DA" w:rsidP="000141D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t>-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Nematodirus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helvetianus</w:t>
      </w:r>
      <w:proofErr w:type="spellEnd"/>
      <w:r>
        <w:rPr>
          <w:i/>
          <w:color w:val="000000"/>
        </w:rPr>
        <w:t xml:space="preserve"> </w:t>
      </w:r>
      <w:r>
        <w:t xml:space="preserve">po dobu 14 dní. </w:t>
      </w:r>
    </w:p>
    <w:p w:rsidR="000141DA" w:rsidRDefault="000141DA" w:rsidP="000141D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t xml:space="preserve">- </w:t>
      </w:r>
      <w:proofErr w:type="spellStart"/>
      <w:r>
        <w:rPr>
          <w:i/>
          <w:color w:val="000000"/>
        </w:rPr>
        <w:t>Trichostrongylus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axei</w:t>
      </w:r>
      <w:proofErr w:type="spellEnd"/>
      <w:r>
        <w:rPr>
          <w:i/>
          <w:color w:val="000000"/>
        </w:rPr>
        <w:t xml:space="preserve"> </w:t>
      </w:r>
      <w:r>
        <w:t>po dobu 21 dní.</w:t>
      </w:r>
    </w:p>
    <w:p w:rsidR="000141DA" w:rsidRPr="00575180" w:rsidRDefault="000141DA" w:rsidP="000141D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t>-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Dictyocaulus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viviparus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Haemonchus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placei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Cooperia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oncophora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Cooperia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punctata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Cooperia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surnabada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Oesophagostomum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radiatum</w:t>
      </w:r>
      <w:proofErr w:type="spellEnd"/>
      <w:r>
        <w:rPr>
          <w:i/>
          <w:color w:val="000000"/>
        </w:rPr>
        <w:t xml:space="preserve"> </w:t>
      </w:r>
      <w:r>
        <w:t xml:space="preserve">a </w:t>
      </w:r>
      <w:proofErr w:type="spellStart"/>
      <w:r>
        <w:rPr>
          <w:i/>
          <w:color w:val="000000"/>
        </w:rPr>
        <w:t>Ostertagia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ostertagi</w:t>
      </w:r>
      <w:proofErr w:type="spellEnd"/>
      <w:r>
        <w:rPr>
          <w:i/>
          <w:color w:val="000000"/>
        </w:rPr>
        <w:t xml:space="preserve"> </w:t>
      </w:r>
      <w:r>
        <w:t>po dobu 28 dní</w:t>
      </w:r>
      <w:r>
        <w:rPr>
          <w:i/>
          <w:color w:val="000000"/>
        </w:rPr>
        <w:t>.</w:t>
      </w:r>
      <w:r>
        <w:rPr>
          <w:i/>
        </w:rPr>
        <w:t xml:space="preserve"> 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</w:pPr>
      <w:r>
        <w:t xml:space="preserve">Trvanie </w:t>
      </w:r>
      <w:proofErr w:type="spellStart"/>
      <w:r>
        <w:t>perzistentnej</w:t>
      </w:r>
      <w:proofErr w:type="spellEnd"/>
      <w:r>
        <w:t xml:space="preserve"> účinnosti môže byť premenlivé pre </w:t>
      </w:r>
      <w:proofErr w:type="spellStart"/>
      <w:r>
        <w:rPr>
          <w:i/>
        </w:rPr>
        <w:t>Cooperia</w:t>
      </w:r>
      <w:proofErr w:type="spellEnd"/>
      <w:r>
        <w:rPr>
          <w:i/>
        </w:rPr>
        <w:t xml:space="preserve"> </w:t>
      </w:r>
      <w:proofErr w:type="spellStart"/>
      <w:r w:rsidRPr="0037463C">
        <w:t>spp</w:t>
      </w:r>
      <w:proofErr w:type="spellEnd"/>
      <w:r>
        <w:t xml:space="preserve">. a </w:t>
      </w:r>
      <w:r>
        <w:rPr>
          <w:i/>
        </w:rPr>
        <w:t xml:space="preserve">H. </w:t>
      </w:r>
      <w:proofErr w:type="spellStart"/>
      <w:r>
        <w:rPr>
          <w:i/>
        </w:rPr>
        <w:t>placei</w:t>
      </w:r>
      <w:proofErr w:type="spellEnd"/>
      <w:r>
        <w:t xml:space="preserve"> 14 dní po liečbe hlavne u mladých a chudých zvierat v čase liečby.</w:t>
      </w:r>
    </w:p>
    <w:p w:rsidR="000141DA" w:rsidRPr="0057518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</w:rPr>
        <w:t>5.</w:t>
      </w:r>
      <w:r>
        <w:tab/>
      </w:r>
      <w:r>
        <w:rPr>
          <w:b/>
        </w:rPr>
        <w:t>KONTRAINDIKÁCIE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A70396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Avermektíny</w:t>
      </w:r>
      <w:proofErr w:type="spellEnd"/>
      <w:r>
        <w:t xml:space="preserve"> nemusia byť dobre znášané u necieľových druhov (vrátane psov, mačiek a koní). Prípady úmrtia sú hlásené u psov, hlavne kólií, </w:t>
      </w:r>
      <w:proofErr w:type="spellStart"/>
      <w:r>
        <w:t>kupírovaných</w:t>
      </w:r>
      <w:proofErr w:type="spellEnd"/>
      <w:r>
        <w:t xml:space="preserve"> psov a podobných rás a krížencov a tiež u sladkovodných/morských korytnačiek.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</w:pPr>
      <w:r>
        <w:t xml:space="preserve">Nepoužívať u iných zvieracích druhov. 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rFonts w:cs="Arial"/>
        </w:rPr>
      </w:pPr>
      <w:r>
        <w:t>Nepodávať perorálne ani injekčne.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Nepoužívať v prípadoch precitlivenosti na účinnú látku alebo na niektorú z pomocných látok.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lastRenderedPageBreak/>
        <w:t>6.</w:t>
      </w:r>
      <w:r>
        <w:tab/>
      </w:r>
      <w:r>
        <w:rPr>
          <w:b/>
        </w:rPr>
        <w:t>NEŽIADUCE ÚČINKY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Vo veľmi zriedkavých prípadoch sa pozorovali prechodné reakcie olizovania, chvenia kože v mieste podania, malé lokálne reakcie ako výskyt lupín a odlupovania kože v mieste podania.</w:t>
      </w:r>
    </w:p>
    <w:p w:rsidR="000141DA" w:rsidRPr="001236EF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Frekvencia výskytu nežiaducich účinkov sa definuje použitím nasledujúceho pravidla:</w:t>
      </w:r>
    </w:p>
    <w:p w:rsidR="000141DA" w:rsidRPr="001236EF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veľmi časté (nežiaduce účinky sa prejavili u viac ako 1 z 10 liečených zvierat)</w:t>
      </w:r>
    </w:p>
    <w:p w:rsidR="000141DA" w:rsidRPr="001236EF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časté (u viac ako 1 ale menej ako 10 zo 100 liečených zvierat)</w:t>
      </w:r>
    </w:p>
    <w:p w:rsidR="000141DA" w:rsidRPr="001236EF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menej časté (u viac ako 1 ale menej ako 10 z 1 000 liečených zvierat)</w:t>
      </w:r>
    </w:p>
    <w:p w:rsidR="000141DA" w:rsidRPr="001236EF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zriedkavé (u viac ako 1 ale menej ako 10 z 10 000 liečených zvierat)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veľmi zriedkavé (u menej ako 1 z 10 000 liečených zvierat, vrátane ojedinelých hlásení).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7.</w:t>
      </w:r>
      <w:r>
        <w:tab/>
      </w:r>
      <w:r>
        <w:rPr>
          <w:b/>
        </w:rPr>
        <w:t>CIEĽOVÝ DRUH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Hovädzí dobytok (výkrmový a mliečny hovädzí dobytok).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8.</w:t>
      </w:r>
      <w:r>
        <w:tab/>
      </w:r>
      <w:r>
        <w:rPr>
          <w:b/>
        </w:rPr>
        <w:t>DÁVKOVANIE PRE KAŽDÝ DRUH, CESTA(-Y) A SPÔSOB PODANIA LIEKU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0141DA" w:rsidRPr="00A70396" w:rsidRDefault="000141DA" w:rsidP="000141D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>Používa sa na nalievanie na chrbát (</w:t>
      </w:r>
      <w:proofErr w:type="spellStart"/>
      <w:r>
        <w:t>pour</w:t>
      </w:r>
      <w:proofErr w:type="spellEnd"/>
      <w:r>
        <w:t>-on).</w:t>
      </w:r>
    </w:p>
    <w:p w:rsidR="000141DA" w:rsidRPr="00A70396" w:rsidRDefault="000141DA" w:rsidP="000141D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 xml:space="preserve">Podáva sa lokálne v jednej liečebnej dávke 500 </w:t>
      </w:r>
      <w:proofErr w:type="spellStart"/>
      <w:r>
        <w:t>μg</w:t>
      </w:r>
      <w:proofErr w:type="spellEnd"/>
      <w:r>
        <w:t xml:space="preserve"> </w:t>
      </w:r>
      <w:proofErr w:type="spellStart"/>
      <w:r>
        <w:t>eprinomektínu</w:t>
      </w:r>
      <w:proofErr w:type="spellEnd"/>
      <w:r>
        <w:t xml:space="preserve"> na kg živej hmotnosti, čo zodpovedá 1 ml na 10 kg živej hmotnosti.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0141DA" w:rsidRPr="00A70396" w:rsidRDefault="000141DA" w:rsidP="000141D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>Roztok na nalievanie sa aplikuje pozdĺž chrbtovej línie v úzkom páse od kohútika po koreň chvosta.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0141DA" w:rsidRPr="00474C50" w:rsidRDefault="000141DA" w:rsidP="000141DA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9.</w:t>
      </w:r>
      <w:r>
        <w:tab/>
      </w:r>
      <w:r>
        <w:rPr>
          <w:b/>
        </w:rPr>
        <w:t>POKYN O SPRÁVNOM PODANÍ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>Všetky zvieratá patriace do tej istej skupiny majú byť liečené v tom istom čase.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FB493F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Na zabezpečenie podania správnej dávky je potrebné živú hmotnosť stanoviť čo možno najpresnejšie a presnosť dávkovacieho zariadenia je potrebné skontrolovať. Ak sa zvieratá majú ošetriť skupinovo a nie individuálne, majú sa zoskupiť podľa živej hmotnosti a ošetriť primeranou dávkou, aby sa zabránilo </w:t>
      </w:r>
      <w:proofErr w:type="spellStart"/>
      <w:r>
        <w:t>poddávkovaniu</w:t>
      </w:r>
      <w:proofErr w:type="spellEnd"/>
      <w:r>
        <w:t xml:space="preserve"> alebo predávkovaniu.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Spôsob podania:</w:t>
      </w:r>
    </w:p>
    <w:p w:rsidR="000141DA" w:rsidRP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0141DA">
        <w:rPr>
          <w:u w:val="single"/>
        </w:rPr>
        <w:t>Pre veľkosť balenia 1 liter:</w:t>
      </w:r>
    </w:p>
    <w:p w:rsidR="000141DA" w:rsidRPr="002D6FB3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Fľaša je vybavená integrovaným dávkovacím systémom a má dva otvory. Jeden otvor je pripojený k telu nádoby a druhý k dávkovacej komore (dávkovací systém).</w:t>
      </w:r>
    </w:p>
    <w:p w:rsidR="000141DA" w:rsidRPr="002D6FB3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Odskrutkujte uzáver a odstráňte tesnenie dávkovacej komôrky (integrovaný dávkovací systém opatrený stupnicou po 10 ml až do 50 ml).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Stlačte fľašu, aby ste naplnili vydávaciu komoru požadovaným objemom lieku.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0141DA">
        <w:rPr>
          <w:u w:val="single"/>
        </w:rPr>
        <w:t>Pre veľkosť balenia 2,5 l a 5 l:</w:t>
      </w:r>
    </w:p>
    <w:p w:rsidR="000141DA" w:rsidRPr="008D5BA8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Treba použiť s vhodným dávkovacím systémom ako dávkovacia pištoľ a pripojovacia ventilovaná hlavica.</w:t>
      </w:r>
    </w:p>
    <w:p w:rsidR="000141DA" w:rsidRPr="008D5BA8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Odskrutkujte polypropylénový (PP) jednoduchý uzáver. Odstráňte ochranné tesnenie z fľaše. Naskrutkujte na fľašu pripojovaciu ventilovanú hlavicu a uistite sa, že je pritiahnutá. Pripojte druhú stranu k dávkovacej pištoli.</w:t>
      </w:r>
    </w:p>
    <w:p w:rsidR="000141DA" w:rsidRPr="008D5BA8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Postupujte podľa pokynov výrobcu pištole pre nastavenie dávky a správne používanie a údržbu dávkovacej pištole.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 použití sa majú pripojovacie ventilované hlavice odstrániť a nahradiť jednoduchým PP uzáverom. Ventilované hlavice sa majú umiestniť do škatule na neskoršie použitie.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10.</w:t>
      </w:r>
      <w:r>
        <w:tab/>
      </w:r>
      <w:r>
        <w:rPr>
          <w:b/>
        </w:rPr>
        <w:t>OCHRANNÁ LEHOTA(-Y)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0141DA" w:rsidRPr="00D33318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Mäso a vnútornosti: 15 dní.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Mlieko: 0 hodín.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0141DA" w:rsidRPr="00474C50" w:rsidRDefault="000141DA" w:rsidP="000141DA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11.</w:t>
      </w:r>
      <w:r>
        <w:tab/>
      </w:r>
      <w:r>
        <w:rPr>
          <w:b/>
        </w:rPr>
        <w:t>OSOBITNÉ BEZPEČNOSTNÉ OPATRENIA NA UCHOVÁVANIE</w:t>
      </w:r>
    </w:p>
    <w:p w:rsidR="000141DA" w:rsidRPr="00474C50" w:rsidRDefault="000141DA" w:rsidP="000141D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Uchovávať mimo dohľadu a dosahu detí.</w:t>
      </w:r>
    </w:p>
    <w:p w:rsidR="000141DA" w:rsidRPr="00474C50" w:rsidRDefault="000141DA" w:rsidP="000141D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1 l: Uchovávať fľašu vo vonkajšom papierovom obale, aby sa chránila pred svetlom.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2,5 l a 5 l: Tento veterinárny liek nevyžaduje žiadne zvláštne podmienky na uchovávanie.</w:t>
      </w:r>
    </w:p>
    <w:p w:rsidR="000141DA" w:rsidRPr="00474C50" w:rsidRDefault="000141DA" w:rsidP="000141D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Nepoužívať tento veterinárny liek po dátume exspirácie uvedenom na papierovej škatuli po EXP. Dátum exspirácie sa vzťahuje na posledný deň v uvedenom mesiaci.</w:t>
      </w:r>
    </w:p>
    <w:p w:rsidR="000141DA" w:rsidRDefault="000141DA" w:rsidP="000141D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Čas použiteľnosti po prvom otvorení vnútorného obalu: 18 mesiacov a do dátumu exspirácie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keepNext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</w:rPr>
        <w:t>12.</w:t>
      </w:r>
      <w:r>
        <w:tab/>
      </w:r>
      <w:r>
        <w:rPr>
          <w:b/>
        </w:rPr>
        <w:t>OSOBITNÉ UPOZORNENIA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37463C" w:rsidRDefault="000141DA" w:rsidP="000141D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37463C">
        <w:rPr>
          <w:u w:val="single"/>
        </w:rPr>
        <w:t>Osobitné bezpečnostné opatrenia pre každý cieľový druh:</w:t>
      </w:r>
    </w:p>
    <w:p w:rsidR="000141DA" w:rsidRPr="00DE3D74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Je potrebné predchádzať nasledovným postupom, pretože zvyšujú riziko vývoja rezistencie a môžu mať v konečnom dôsledku za následok neúčinnú liečbu:</w:t>
      </w:r>
    </w:p>
    <w:p w:rsidR="000141DA" w:rsidRPr="00DE3D74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- Príliš časté a opakované používanie </w:t>
      </w:r>
      <w:proofErr w:type="spellStart"/>
      <w:r>
        <w:t>antihelmintík</w:t>
      </w:r>
      <w:proofErr w:type="spellEnd"/>
      <w:r>
        <w:t xml:space="preserve"> rovnakej skupiny po dlhú dobu.</w:t>
      </w:r>
    </w:p>
    <w:p w:rsidR="000141DA" w:rsidRPr="00DE3D74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- </w:t>
      </w:r>
      <w:proofErr w:type="spellStart"/>
      <w:r>
        <w:t>Poddávkovanie</w:t>
      </w:r>
      <w:proofErr w:type="spellEnd"/>
      <w:r>
        <w:t>, ktoré môže vzniknúť podhodnotením živej hmotnosti, nesprávnym podaním lieku alebo chýbajúcou kalibráciou dávkovacieho zariadenia (ak sa používa).</w:t>
      </w:r>
    </w:p>
    <w:p w:rsidR="000141DA" w:rsidRPr="00DE3D74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Klinické prípady s podozrením na rezistenciu na </w:t>
      </w:r>
      <w:proofErr w:type="spellStart"/>
      <w:r>
        <w:t>antihelmintiká</w:t>
      </w:r>
      <w:proofErr w:type="spellEnd"/>
      <w:r>
        <w:t xml:space="preserve"> sa majú dôkladnejšie vyšetriť použitím vhodných testov (napr. test redukcie počtu vajíčok). Tam, kde výsledky testov presvedčivo potvrdia rezistenciu na určité </w:t>
      </w:r>
      <w:proofErr w:type="spellStart"/>
      <w:r>
        <w:t>antihelmintikum</w:t>
      </w:r>
      <w:proofErr w:type="spellEnd"/>
      <w:r>
        <w:t xml:space="preserve">, sa má použiť </w:t>
      </w:r>
      <w:proofErr w:type="spellStart"/>
      <w:r>
        <w:t>antihelmintikum</w:t>
      </w:r>
      <w:proofErr w:type="spellEnd"/>
      <w:r>
        <w:t xml:space="preserve"> patriace do inej farmakologickej skupiny s iným spôsobom účinku.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Do dnešného dňa nebola v rámci EU u hovädzieho dobytku hlásená rezistencia na </w:t>
      </w:r>
      <w:proofErr w:type="spellStart"/>
      <w:r>
        <w:t>eprinomektín</w:t>
      </w:r>
      <w:proofErr w:type="spellEnd"/>
      <w:r>
        <w:t xml:space="preserve"> (</w:t>
      </w:r>
      <w:proofErr w:type="spellStart"/>
      <w:r>
        <w:t>makrocyklický</w:t>
      </w:r>
      <w:proofErr w:type="spellEnd"/>
      <w:r>
        <w:t xml:space="preserve"> </w:t>
      </w:r>
      <w:proofErr w:type="spellStart"/>
      <w:r>
        <w:t>laktón</w:t>
      </w:r>
      <w:proofErr w:type="spellEnd"/>
      <w:r>
        <w:t xml:space="preserve">). V rámci EU však bola u kmeňov parazitov hovädzieho dobytka hlásená rezistencia na iné </w:t>
      </w:r>
      <w:proofErr w:type="spellStart"/>
      <w:r>
        <w:t>makrocyklické</w:t>
      </w:r>
      <w:proofErr w:type="spellEnd"/>
      <w:r>
        <w:t xml:space="preserve"> </w:t>
      </w:r>
      <w:proofErr w:type="spellStart"/>
      <w:r>
        <w:t>laktóny</w:t>
      </w:r>
      <w:proofErr w:type="spellEnd"/>
      <w:r>
        <w:t xml:space="preserve">. Preto použitie tohto lieku má byť založené na lokálnych (regionálnych, farmových) epidemiologických informáciách o citlivosti oblých červov a na odporúčaniach, ako obmedziť ďalšiu selekciu na rezistenciu na </w:t>
      </w:r>
      <w:proofErr w:type="spellStart"/>
      <w:r>
        <w:t>antihelmintiká</w:t>
      </w:r>
      <w:proofErr w:type="spellEnd"/>
      <w:r>
        <w:t>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Ak existuje riziko opätovnej infekcie, je potrebné sa poradiť s veterinárnym lekárom o potrebe a frekvencii opakovaného podania.</w:t>
      </w:r>
    </w:p>
    <w:p w:rsidR="000141DA" w:rsidRPr="00940BA1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Aby sa dosiahli čo najlepšie výsledky, liek má byť súčasťou programu na kontrolu </w:t>
      </w:r>
      <w:proofErr w:type="spellStart"/>
      <w:r>
        <w:t>endoparazitov</w:t>
      </w:r>
      <w:proofErr w:type="spellEnd"/>
      <w:r>
        <w:t xml:space="preserve"> aj </w:t>
      </w:r>
      <w:proofErr w:type="spellStart"/>
      <w:r>
        <w:t>exoparazitov</w:t>
      </w:r>
      <w:proofErr w:type="spellEnd"/>
      <w:r>
        <w:t xml:space="preserve"> hovädzieho dobytka založeného na epidemiológii týchto parazitov.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Osobitné bezpečnostné opatrenia na používanie u zvierat</w:t>
      </w:r>
      <w:r>
        <w:t>: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Len na vonkajšie použitie.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Z dôvodu efektívnosti použitia sa liek nemá aplikovať na chrbát znečistený blatom alebo hnojom. 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Liek sa má aplikovať len na zdravú kožu.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Aby sa predišlo nežiaducim účinkom z dôvodu usmrtenia lariev strečkov v pažeráku alebo na chrbtici, odporúča sa podať liek po skončení aktivity mušiek strečkov a predtým, ako larvy dosiahnu svoje pobytové miesto v tele; poraďte sa s veterinárnym lekárom, aby ste vedeli, kedy je vhodné obdobie na liečbu.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Osobitné bezpečnostné opatrenia, ktoré má urobiť osoba podávajúca liek zvieratám</w:t>
      </w:r>
      <w:r>
        <w:t>: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Tento liek môže dráždiť kožu a oči a môže vyvolať precitlivenosť (alergické reakcie).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Zabráňte preniknutiu na kožu a do očí počas liečby a pri manipulácii s nedávno ošetrenými zvieratami.</w:t>
      </w:r>
    </w:p>
    <w:p w:rsidR="000141DA" w:rsidRPr="0087598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Ľudia so známou precitlivenosťou na </w:t>
      </w:r>
      <w:proofErr w:type="spellStart"/>
      <w:r>
        <w:t>eprinomektín</w:t>
      </w:r>
      <w:proofErr w:type="spellEnd"/>
      <w:r>
        <w:t xml:space="preserve"> by sa mali vyhnúť kontaktu s veterinárnym liekom.</w:t>
      </w:r>
    </w:p>
    <w:p w:rsidR="000141DA" w:rsidRPr="00C61D5B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>Pri aplikácii produktu používajte gumené rukavice, gumené čižmy a nepremokavý plášť.</w:t>
      </w:r>
    </w:p>
    <w:p w:rsidR="000141DA" w:rsidRPr="00C61D5B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Pri náhodnom zasiahnutí pokožky umyte postihnuté miesto ihneď mydlom a vodou. Ak dôjde k náhodnému zasiahnutiu očí, ihneď vypláchnite oči vodou.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Ak sa oblečenie kontaminuje, čo najrýchlejšie ho vyzlečte a vyperte pred opätovným použitím. 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Pri náhodnom požití môže tento liek ovplyvniť centrálny nervový systém. Zabráňte náhodnému požitiu lieku, vrátane kontaktu znečistených rúk s ústami. V prípade požitia vypláchnite ústa vodou a vyhľadajte lekársku pomoc.</w:t>
      </w:r>
    </w:p>
    <w:p w:rsidR="000141DA" w:rsidRPr="00C61D5B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Pri manipulácii s liekom nefajčite, nejedzte ani nepite.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použití lieku si umyte ruky. 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D43A88" w:rsidRDefault="000141DA" w:rsidP="000141D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37463C">
        <w:rPr>
          <w:u w:val="single"/>
        </w:rPr>
        <w:t>Iné bezpečnostné opatrenia</w:t>
      </w:r>
    </w:p>
    <w:p w:rsidR="000141DA" w:rsidRPr="008F1ACB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Eprinomektín</w:t>
      </w:r>
      <w:proofErr w:type="spellEnd"/>
      <w:r>
        <w:t xml:space="preserve"> je veľmi toxický pre vodné organizmy, je </w:t>
      </w:r>
      <w:proofErr w:type="spellStart"/>
      <w:r>
        <w:t>perzistentný</w:t>
      </w:r>
      <w:proofErr w:type="spellEnd"/>
      <w:r>
        <w:t xml:space="preserve"> v pôde a môže sa akumulovať v usadeninách.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Výkaly obsahujúce </w:t>
      </w:r>
      <w:proofErr w:type="spellStart"/>
      <w:r>
        <w:t>eprinomektín</w:t>
      </w:r>
      <w:proofErr w:type="spellEnd"/>
      <w:r>
        <w:t xml:space="preserve"> vylučované na pastvinách ošetrenými zvieratami môžu dočasne znížiť hojnosť organizmov živiacich sa trusom. Po liečbe hovädzieho dobytka týmto liekom sa môžu koncentrácie </w:t>
      </w:r>
      <w:proofErr w:type="spellStart"/>
      <w:r>
        <w:t>eprinomektínu</w:t>
      </w:r>
      <w:proofErr w:type="spellEnd"/>
      <w:r>
        <w:t xml:space="preserve">, ktoré sú potenciálne toxické pre kmene múch živiacich sa trusom, vylučovať po dobu viac než 4 týždňov a môžu znížiť hojnosť múch živiacich sa trusom počas tejto doby. V prípade opakovanej liečby </w:t>
      </w:r>
      <w:proofErr w:type="spellStart"/>
      <w:r>
        <w:t>eprinomektínom</w:t>
      </w:r>
      <w:proofErr w:type="spellEnd"/>
      <w:r>
        <w:t xml:space="preserve"> (ako aj liekmi tej istej </w:t>
      </w:r>
      <w:proofErr w:type="spellStart"/>
      <w:r>
        <w:t>antihelmintickej</w:t>
      </w:r>
      <w:proofErr w:type="spellEnd"/>
      <w:r>
        <w:t xml:space="preserve"> skupiny) sa odporúča neliečiť zvieratá zakaždým na tej istej pastvine, aby sa umožnilo obnovenie populácie fauny živiacej sa trusom.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Eprinomektín</w:t>
      </w:r>
      <w:proofErr w:type="spellEnd"/>
      <w:r>
        <w:t xml:space="preserve"> je vo svojej podstate toxický pre vodné organizmy. Liek sa má používať len podľa pokynov uvedených na etikete. Na základe profilu vylučovania </w:t>
      </w:r>
      <w:proofErr w:type="spellStart"/>
      <w:r>
        <w:t>eprinomektínu</w:t>
      </w:r>
      <w:proofErr w:type="spellEnd"/>
      <w:r>
        <w:t xml:space="preserve">, keď sa podáva vo forme </w:t>
      </w:r>
      <w:proofErr w:type="spellStart"/>
      <w:r>
        <w:t>pour</w:t>
      </w:r>
      <w:proofErr w:type="spellEnd"/>
      <w:r>
        <w:t>-on roztoku, liečené zvieratá nemajú mať prístup k vodným tokom počas prvých 7 dní po liečbe.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37463C" w:rsidRDefault="000141DA" w:rsidP="000141D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37463C">
        <w:rPr>
          <w:u w:val="single"/>
        </w:rPr>
        <w:t>Použitie počas gravidity, laktácie, znášky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Laboratórne štúdie (potkany, králiky) nepreukázali žiadny dôkaz o </w:t>
      </w:r>
      <w:proofErr w:type="spellStart"/>
      <w:r>
        <w:t>teratogénnych</w:t>
      </w:r>
      <w:proofErr w:type="spellEnd"/>
      <w:r>
        <w:t xml:space="preserve"> alebo </w:t>
      </w:r>
      <w:proofErr w:type="spellStart"/>
      <w:r>
        <w:t>embryotoxických</w:t>
      </w:r>
      <w:proofErr w:type="spellEnd"/>
      <w:r>
        <w:t xml:space="preserve"> účinkoch v dôsledku použitia </w:t>
      </w:r>
      <w:proofErr w:type="spellStart"/>
      <w:r>
        <w:t>eprimomektínu</w:t>
      </w:r>
      <w:proofErr w:type="spellEnd"/>
      <w:r>
        <w:t xml:space="preserve"> v terapeutických dávkach. Bezpečnosť tohto veterinárneho lieku u hovädzieho dobytka bola potvrdená počas gravidity a laktácie a u reprodukčných býkov. 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Môže sa používať počas gravidity a laktácie ako aj u reprodukčných býkov.</w:t>
      </w:r>
    </w:p>
    <w:p w:rsidR="000141DA" w:rsidRPr="0037463C" w:rsidRDefault="000141DA" w:rsidP="000141D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:rsidR="000141DA" w:rsidRPr="0037463C" w:rsidRDefault="000141DA" w:rsidP="000141D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37463C">
        <w:rPr>
          <w:u w:val="single"/>
        </w:rPr>
        <w:t>Liekové interakcie a iné formy vzájomného pôsobenia: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Pretože </w:t>
      </w:r>
      <w:proofErr w:type="spellStart"/>
      <w:r>
        <w:t>eprinomektín</w:t>
      </w:r>
      <w:proofErr w:type="spellEnd"/>
      <w:r>
        <w:t xml:space="preserve"> sa silne viaže na proteíny plazmy, je to potrebné vziať do úvahy, keď sa používa spolu s inými molekulami s tými istými charakteristikami.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 xml:space="preserve">Predávkovanie (príznaky, núdzové postupy, </w:t>
      </w:r>
      <w:proofErr w:type="spellStart"/>
      <w:r>
        <w:rPr>
          <w:u w:val="single"/>
        </w:rPr>
        <w:t>antidotá</w:t>
      </w:r>
      <w:proofErr w:type="spellEnd"/>
      <w:r>
        <w:rPr>
          <w:u w:val="single"/>
        </w:rPr>
        <w:t>), ak sú potrebné</w:t>
      </w:r>
      <w:r>
        <w:t>:</w:t>
      </w:r>
    </w:p>
    <w:p w:rsidR="000141DA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Nepozorovali sa žiadne príznaky toxicity po podaní až 5-násobku odporúčanej dávky. Nie je známe žiadne špecifické </w:t>
      </w:r>
      <w:proofErr w:type="spellStart"/>
      <w:r>
        <w:t>antidotum</w:t>
      </w:r>
      <w:proofErr w:type="spellEnd"/>
      <w:r>
        <w:t>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Inkompatibility</w:t>
      </w:r>
      <w:r>
        <w:t>: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 dôvodu chýbania štúdií na kompatibilitu sa tento veterinárny liek nesmie miešať s inými veterinárnymi liekmi.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keepNext/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</w:rPr>
        <w:t>13.</w:t>
      </w:r>
      <w:r>
        <w:tab/>
      </w:r>
      <w:r>
        <w:rPr>
          <w:b/>
        </w:rPr>
        <w:t>OSOBITNÉ BEZPEČNOSTNÉ OPATRENIA NA ZNEŠKODNENIE NEPOUŽITÉHO LIEKU(-OV) ALEBO ODPADOVÉHO MATERIÁLU, V PRÍPADE POTREBY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DE3D74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Tento veterinárny liek je nebezpečný pre ryby a vodné organizmy. Nekontaminujte povrchové vody a priekopy liekom ani použitou nádobou.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Každý nepoužitý veterinárny liek alebo odpadové materiály z tohto veterinárneho lieku musia byť zlikvidované v súlade s miestnymi požiadavkami.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14.</w:t>
      </w:r>
      <w:r>
        <w:tab/>
      </w:r>
      <w:r>
        <w:rPr>
          <w:b/>
        </w:rPr>
        <w:t>DÁTUM POSLEDNÉHO SCHVÁLENIA TEXTU V PÍSOMNEJ INFORMÁCII PRE POUŽÍVATEĽOV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Pr="00474C50" w:rsidRDefault="000141DA" w:rsidP="000141DA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15.</w:t>
      </w:r>
      <w:r>
        <w:tab/>
      </w:r>
      <w:r>
        <w:rPr>
          <w:b/>
        </w:rPr>
        <w:t>ĎALŠIE INFORMÁCIE</w:t>
      </w: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</w:pPr>
      <w:r>
        <w:t>Veľkosť balenia:</w:t>
      </w:r>
    </w:p>
    <w:p w:rsidR="000141DA" w:rsidRPr="004C711B" w:rsidRDefault="000141DA" w:rsidP="000141DA">
      <w:pPr>
        <w:pStyle w:val="Zkladntext"/>
      </w:pPr>
      <w:r>
        <w:t>Škatuľa s 1 l fľašou.</w:t>
      </w:r>
    </w:p>
    <w:p w:rsidR="000141DA" w:rsidRPr="004C711B" w:rsidRDefault="000141DA" w:rsidP="000141DA">
      <w:pPr>
        <w:pStyle w:val="Zkladntext"/>
      </w:pPr>
      <w:r>
        <w:t>Škatuľa s 2,5 l fľašou.</w:t>
      </w:r>
    </w:p>
    <w:p w:rsidR="000141DA" w:rsidRPr="004C711B" w:rsidRDefault="000141DA" w:rsidP="000141D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Škatuľa s 5 l fľašou. </w:t>
      </w:r>
    </w:p>
    <w:p w:rsidR="000141DA" w:rsidRPr="004C711B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</w:p>
    <w:p w:rsidR="000141DA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Len pre zvieratá.</w:t>
      </w:r>
    </w:p>
    <w:p w:rsidR="000141DA" w:rsidRPr="00474C50" w:rsidRDefault="000141DA" w:rsidP="000141D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Výdaj lieku je viazaný na veterinárny predpis. </w:t>
      </w:r>
    </w:p>
    <w:p w:rsidR="000141DA" w:rsidRDefault="000141DA"/>
    <w:sectPr w:rsidR="000141DA" w:rsidSect="008F1A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418" w:bottom="1702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1CA" w:rsidRDefault="006D5E7D">
      <w:pPr>
        <w:spacing w:line="240" w:lineRule="auto"/>
      </w:pPr>
      <w:r>
        <w:separator/>
      </w:r>
    </w:p>
  </w:endnote>
  <w:endnote w:type="continuationSeparator" w:id="0">
    <w:p w:rsidR="006F11CA" w:rsidRDefault="006D5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FA4" w:rsidRDefault="002456F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FA4" w:rsidRPr="00B94A1B" w:rsidRDefault="000141D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2456FB">
      <w:rPr>
        <w:rFonts w:ascii="Times New Roman" w:hAnsi="Times New Roman"/>
        <w:noProof/>
      </w:rPr>
      <w:t>7</w:t>
    </w:r>
    <w:r w:rsidRPr="00B94A1B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FA4" w:rsidRDefault="000141D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1CA" w:rsidRDefault="006D5E7D">
      <w:pPr>
        <w:spacing w:line="240" w:lineRule="auto"/>
      </w:pPr>
      <w:r>
        <w:separator/>
      </w:r>
    </w:p>
  </w:footnote>
  <w:footnote w:type="continuationSeparator" w:id="0">
    <w:p w:rsidR="006F11CA" w:rsidRDefault="006D5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FA4" w:rsidRDefault="002456F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FA4" w:rsidRDefault="002456F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FA4" w:rsidRDefault="002456F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DA"/>
    <w:rsid w:val="000141DA"/>
    <w:rsid w:val="001E7479"/>
    <w:rsid w:val="002456FB"/>
    <w:rsid w:val="00386E90"/>
    <w:rsid w:val="006D5E7D"/>
    <w:rsid w:val="006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8A6B"/>
  <w15:chartTrackingRefBased/>
  <w15:docId w15:val="{A5AB455D-E994-484A-987E-61EB9E1F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1DA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0141D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0141DA"/>
    <w:rPr>
      <w:rFonts w:ascii="Helvetica" w:eastAsia="Times New Roman" w:hAnsi="Helvetica" w:cs="Times New Roman"/>
      <w:sz w:val="20"/>
      <w:szCs w:val="20"/>
      <w:lang w:eastAsia="sk-SK" w:bidi="sk-SK"/>
    </w:rPr>
  </w:style>
  <w:style w:type="paragraph" w:styleId="Pta">
    <w:name w:val="footer"/>
    <w:basedOn w:val="Normlny"/>
    <w:link w:val="PtaChar"/>
    <w:rsid w:val="000141DA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0141DA"/>
    <w:rPr>
      <w:rFonts w:ascii="Helvetica" w:eastAsia="Times New Roman" w:hAnsi="Helvetica" w:cs="Times New Roman"/>
      <w:sz w:val="16"/>
      <w:szCs w:val="20"/>
      <w:lang w:eastAsia="sk-SK" w:bidi="sk-SK"/>
    </w:rPr>
  </w:style>
  <w:style w:type="paragraph" w:styleId="Zkladntext">
    <w:name w:val="Body Text"/>
    <w:basedOn w:val="Normlny"/>
    <w:link w:val="ZkladntextChar"/>
    <w:rsid w:val="000141DA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0141DA"/>
    <w:rPr>
      <w:rFonts w:ascii="Times New Roman" w:eastAsia="Times New Roman" w:hAnsi="Times New Roman" w:cs="Times New Roman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4303</Words>
  <Characters>24530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3</cp:revision>
  <dcterms:created xsi:type="dcterms:W3CDTF">2018-02-22T07:51:00Z</dcterms:created>
  <dcterms:modified xsi:type="dcterms:W3CDTF">2022-02-01T13:36:00Z</dcterms:modified>
</cp:coreProperties>
</file>