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B2" w:rsidRPr="00B13F8F" w:rsidRDefault="00BE35B2" w:rsidP="00B919E7">
      <w:pPr>
        <w:pStyle w:val="Style1"/>
      </w:pPr>
      <w:r w:rsidRPr="00B13F8F">
        <w:t>SÚHRN CHARAKTERISTICKÝCH VLASTNOSTÍ LIEKU</w:t>
      </w:r>
    </w:p>
    <w:p w:rsidR="00BE35B2" w:rsidRPr="00B13F8F" w:rsidRDefault="00BE35B2" w:rsidP="00B919E7">
      <w:pPr>
        <w:pStyle w:val="Style1"/>
      </w:pPr>
    </w:p>
    <w:p w:rsidR="00B919E7" w:rsidRPr="00B13F8F" w:rsidRDefault="00B919E7" w:rsidP="00B919E7">
      <w:pPr>
        <w:pStyle w:val="Style1"/>
      </w:pPr>
      <w:r w:rsidRPr="00B13F8F">
        <w:t>1.</w:t>
      </w:r>
      <w:r w:rsidRPr="00B13F8F">
        <w:tab/>
        <w:t>NÁZOV VETERINÁRNEHO LIEKU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Dophacyl</w:t>
      </w:r>
      <w:proofErr w:type="spellEnd"/>
      <w:r w:rsidRPr="00B13F8F">
        <w:rPr>
          <w:szCs w:val="22"/>
        </w:rPr>
        <w:t xml:space="preserve"> SB, 1000 mg/g, prášok na použitie v pitnej vode/mlieku pre hovädzí dobytok a ošípané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2.</w:t>
      </w:r>
      <w:r w:rsidRPr="00B13F8F">
        <w:tab/>
        <w:t>KVALITATÍVNE A KVANTITATÍVNE ZLOŽENIE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183A18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Každý </w:t>
      </w:r>
      <w:r w:rsidR="00B919E7" w:rsidRPr="00B13F8F">
        <w:rPr>
          <w:szCs w:val="22"/>
        </w:rPr>
        <w:t>gram obsahuje: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B13F8F">
        <w:rPr>
          <w:b/>
          <w:szCs w:val="22"/>
        </w:rPr>
        <w:t>Účinná látka: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proofErr w:type="spellStart"/>
      <w:r w:rsidRPr="00B13F8F">
        <w:rPr>
          <w:iCs/>
          <w:szCs w:val="22"/>
        </w:rPr>
        <w:t>Salicyl</w:t>
      </w:r>
      <w:r w:rsidR="00EA07A4" w:rsidRPr="00B13F8F">
        <w:rPr>
          <w:iCs/>
          <w:szCs w:val="22"/>
        </w:rPr>
        <w:t>át</w:t>
      </w:r>
      <w:proofErr w:type="spellEnd"/>
      <w:r w:rsidR="00EA07A4" w:rsidRPr="00B13F8F">
        <w:rPr>
          <w:iCs/>
          <w:szCs w:val="22"/>
        </w:rPr>
        <w:t xml:space="preserve"> </w:t>
      </w:r>
      <w:r w:rsidRPr="00B13F8F">
        <w:rPr>
          <w:iCs/>
          <w:szCs w:val="22"/>
        </w:rPr>
        <w:t>sodný: 1 000 mg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(zodpovedá 863 mg kyseliny salicylovej)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b/>
          <w:szCs w:val="22"/>
        </w:rPr>
        <w:t>Pomocné látky: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Nie sú.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Biely alebo takmer biely prášok.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</w:t>
      </w:r>
      <w:r w:rsidRPr="00B13F8F">
        <w:tab/>
        <w:t>KLINICKÉ ÚDAJE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3.1</w:t>
      </w:r>
      <w:r w:rsidRPr="00B13F8F">
        <w:tab/>
        <w:t>Cieľové druhy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Hovädzí dobytok (teľatá) a ošípané.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3.2</w:t>
      </w:r>
      <w:r w:rsidRPr="00B13F8F">
        <w:tab/>
        <w:t>Indikácie na použitie pre každý cieľový druh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Teľatá: podporná liečba horúčky pri akútnom ochorení dýchacích ciest – v prípade potreby v kombinácii s vhodnou (napr. </w:t>
      </w:r>
      <w:proofErr w:type="spellStart"/>
      <w:r w:rsidRPr="00B13F8F">
        <w:rPr>
          <w:szCs w:val="22"/>
        </w:rPr>
        <w:t>protiinfekčnou</w:t>
      </w:r>
      <w:proofErr w:type="spellEnd"/>
      <w:r w:rsidRPr="00B13F8F">
        <w:rPr>
          <w:szCs w:val="22"/>
        </w:rPr>
        <w:t>) terapiou.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 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Ošípané: 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-na liečbu zápalu v prípade potreby v kombinácii s vhodnou (napr. </w:t>
      </w:r>
      <w:proofErr w:type="spellStart"/>
      <w:r w:rsidRPr="00B13F8F">
        <w:rPr>
          <w:szCs w:val="22"/>
        </w:rPr>
        <w:t>protiinfekčnou</w:t>
      </w:r>
      <w:proofErr w:type="spellEnd"/>
      <w:r w:rsidRPr="00B13F8F">
        <w:rPr>
          <w:szCs w:val="22"/>
        </w:rPr>
        <w:t>) terapiou.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- na podporu obnovy dýchania a</w:t>
      </w:r>
      <w:r w:rsidR="00EA07A4" w:rsidRPr="00B13F8F">
        <w:rPr>
          <w:szCs w:val="22"/>
        </w:rPr>
        <w:t> </w:t>
      </w:r>
      <w:r w:rsidRPr="00B13F8F">
        <w:rPr>
          <w:szCs w:val="22"/>
        </w:rPr>
        <w:t>na</w:t>
      </w:r>
      <w:r w:rsidR="00EA07A4" w:rsidRPr="00B13F8F">
        <w:rPr>
          <w:szCs w:val="22"/>
        </w:rPr>
        <w:t xml:space="preserve"> zmiernenie </w:t>
      </w:r>
      <w:r w:rsidRPr="00B13F8F">
        <w:rPr>
          <w:szCs w:val="22"/>
        </w:rPr>
        <w:t>kašľa pri infekciách dýchacích ciest v kombinácii so súbežnou antibiotickou liečbou.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3.3</w:t>
      </w:r>
      <w:r w:rsidRPr="00B13F8F">
        <w:tab/>
        <w:t>Kontraindikácie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v prípadoch precitlivenosti na účinnú látku</w:t>
      </w:r>
      <w:r w:rsidR="00EA07A4" w:rsidRPr="00B13F8F">
        <w:rPr>
          <w:szCs w:val="22"/>
        </w:rPr>
        <w:t>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</w:t>
      </w:r>
      <w:r w:rsidR="00EA07A4" w:rsidRPr="00B13F8F">
        <w:rPr>
          <w:szCs w:val="22"/>
        </w:rPr>
        <w:t>užívať v</w:t>
      </w:r>
      <w:r w:rsidRPr="00B13F8F">
        <w:rPr>
          <w:szCs w:val="22"/>
        </w:rPr>
        <w:t xml:space="preserve"> prípade závažnej </w:t>
      </w:r>
      <w:proofErr w:type="spellStart"/>
      <w:r w:rsidRPr="00B13F8F">
        <w:rPr>
          <w:szCs w:val="22"/>
        </w:rPr>
        <w:t>hypoproteinémie</w:t>
      </w:r>
      <w:proofErr w:type="spellEnd"/>
      <w:r w:rsidRPr="00B13F8F">
        <w:rPr>
          <w:szCs w:val="22"/>
        </w:rPr>
        <w:t xml:space="preserve"> či poruchy pečene alebo obličiek.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u novonarodených teliat a u teliat do veku 2 týždňov.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u ciciakov do veku 4 týždňov.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</w:t>
      </w:r>
      <w:r w:rsidR="00EA07A4" w:rsidRPr="00B13F8F">
        <w:rPr>
          <w:szCs w:val="22"/>
        </w:rPr>
        <w:t xml:space="preserve">užívať </w:t>
      </w:r>
      <w:r w:rsidR="00183A18" w:rsidRPr="00B13F8F">
        <w:rPr>
          <w:szCs w:val="22"/>
        </w:rPr>
        <w:t>v</w:t>
      </w:r>
      <w:r w:rsidRPr="00B13F8F">
        <w:rPr>
          <w:szCs w:val="22"/>
        </w:rPr>
        <w:t xml:space="preserve"> prípade </w:t>
      </w:r>
      <w:proofErr w:type="spellStart"/>
      <w:r w:rsidRPr="00B13F8F">
        <w:rPr>
          <w:szCs w:val="22"/>
        </w:rPr>
        <w:t>gastrointestinálnej</w:t>
      </w:r>
      <w:proofErr w:type="spellEnd"/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ulcerácie</w:t>
      </w:r>
      <w:proofErr w:type="spellEnd"/>
      <w:r w:rsidRPr="00B13F8F">
        <w:rPr>
          <w:szCs w:val="22"/>
        </w:rPr>
        <w:t xml:space="preserve"> a chronických </w:t>
      </w:r>
      <w:proofErr w:type="spellStart"/>
      <w:r w:rsidRPr="00B13F8F">
        <w:rPr>
          <w:szCs w:val="22"/>
        </w:rPr>
        <w:t>gastrointestinálych</w:t>
      </w:r>
      <w:proofErr w:type="spellEnd"/>
      <w:r w:rsidRPr="00B13F8F">
        <w:rPr>
          <w:szCs w:val="22"/>
        </w:rPr>
        <w:t xml:space="preserve"> porúch.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</w:t>
      </w:r>
      <w:r w:rsidR="00EA07A4" w:rsidRPr="00B13F8F">
        <w:rPr>
          <w:szCs w:val="22"/>
        </w:rPr>
        <w:t xml:space="preserve">užívať </w:t>
      </w:r>
      <w:r w:rsidR="00183A18" w:rsidRPr="00B13F8F">
        <w:rPr>
          <w:szCs w:val="22"/>
        </w:rPr>
        <w:t>v</w:t>
      </w:r>
      <w:r w:rsidRPr="00B13F8F">
        <w:rPr>
          <w:szCs w:val="22"/>
        </w:rPr>
        <w:t xml:space="preserve"> prípade porúch krvotvorby, </w:t>
      </w:r>
      <w:proofErr w:type="spellStart"/>
      <w:r w:rsidRPr="00B13F8F">
        <w:rPr>
          <w:szCs w:val="22"/>
        </w:rPr>
        <w:t>koagulopatie</w:t>
      </w:r>
      <w:proofErr w:type="spellEnd"/>
      <w:r w:rsidR="00EA07A4" w:rsidRPr="00B13F8F">
        <w:rPr>
          <w:szCs w:val="22"/>
        </w:rPr>
        <w:t xml:space="preserve"> a </w:t>
      </w:r>
      <w:proofErr w:type="spellStart"/>
      <w:r w:rsidRPr="00B13F8F">
        <w:rPr>
          <w:szCs w:val="22"/>
        </w:rPr>
        <w:t>hemoragickej</w:t>
      </w:r>
      <w:proofErr w:type="spellEnd"/>
      <w:r w:rsidRPr="00B13F8F">
        <w:rPr>
          <w:szCs w:val="22"/>
        </w:rPr>
        <w:t xml:space="preserve"> diatézy.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3.4</w:t>
      </w:r>
      <w:r w:rsidRPr="00B13F8F">
        <w:tab/>
        <w:t>Osobitné upozornenia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Nie sú.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3.5</w:t>
      </w:r>
      <w:r w:rsidRPr="00B13F8F">
        <w:tab/>
        <w:t>Osobitné opatrenia na používanie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B13F8F">
        <w:rPr>
          <w:szCs w:val="22"/>
          <w:u w:val="single"/>
        </w:rPr>
        <w:t>Osobitné opatrenia na bezpečné používanie u cieľových druhov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Vzhľadom na to, že </w:t>
      </w:r>
      <w:proofErr w:type="spellStart"/>
      <w:r w:rsidRPr="00B13F8F">
        <w:rPr>
          <w:szCs w:val="22"/>
        </w:rPr>
        <w:t>salicyl</w:t>
      </w:r>
      <w:r w:rsidR="00EA07A4" w:rsidRPr="00B13F8F">
        <w:rPr>
          <w:szCs w:val="22"/>
        </w:rPr>
        <w:t>át</w:t>
      </w:r>
      <w:proofErr w:type="spellEnd"/>
      <w:r w:rsidR="00EA07A4" w:rsidRPr="00B13F8F">
        <w:rPr>
          <w:szCs w:val="22"/>
        </w:rPr>
        <w:t xml:space="preserve"> </w:t>
      </w:r>
      <w:r w:rsidRPr="00B13F8F">
        <w:rPr>
          <w:szCs w:val="22"/>
        </w:rPr>
        <w:t xml:space="preserve">sodný môže potláčať zrážanlivosť krvi, neodporúča sa vykonávať </w:t>
      </w:r>
      <w:proofErr w:type="spellStart"/>
      <w:r w:rsidRPr="00B13F8F">
        <w:rPr>
          <w:szCs w:val="22"/>
        </w:rPr>
        <w:t>elektívne</w:t>
      </w:r>
      <w:proofErr w:type="spellEnd"/>
      <w:r w:rsidRPr="00B13F8F">
        <w:rPr>
          <w:szCs w:val="22"/>
        </w:rPr>
        <w:t xml:space="preserve"> operácie na zvieratách do 7 dní od ukončenia liečby.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183A18" w:rsidRPr="00B13F8F" w:rsidRDefault="00183A18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B13F8F">
        <w:rPr>
          <w:szCs w:val="22"/>
          <w:u w:val="single"/>
        </w:rPr>
        <w:lastRenderedPageBreak/>
        <w:t>Osobitné opatrenia, ktoré má urobiť osoba podávajúca liek zvieratám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Tento veterinárny liek môže spôsobiť reakcie z precitlivenosti. Osoby so známou precitlivenosťou </w:t>
      </w:r>
      <w:r w:rsidR="00183A18" w:rsidRPr="00B13F8F">
        <w:rPr>
          <w:szCs w:val="22"/>
        </w:rPr>
        <w:t xml:space="preserve">(alergia) </w:t>
      </w:r>
      <w:r w:rsidRPr="00B13F8F">
        <w:rPr>
          <w:szCs w:val="22"/>
        </w:rPr>
        <w:t xml:space="preserve">na </w:t>
      </w:r>
      <w:proofErr w:type="spellStart"/>
      <w:r w:rsidRPr="00B13F8F">
        <w:rPr>
          <w:szCs w:val="22"/>
        </w:rPr>
        <w:t>salicyl</w:t>
      </w:r>
      <w:r w:rsidR="00EA07A4" w:rsidRPr="00B13F8F">
        <w:rPr>
          <w:szCs w:val="22"/>
        </w:rPr>
        <w:t>át</w:t>
      </w:r>
      <w:proofErr w:type="spellEnd"/>
      <w:r w:rsidR="00EA07A4" w:rsidRPr="00B13F8F">
        <w:rPr>
          <w:szCs w:val="22"/>
        </w:rPr>
        <w:t xml:space="preserve"> </w:t>
      </w:r>
      <w:r w:rsidRPr="00B13F8F">
        <w:rPr>
          <w:szCs w:val="22"/>
        </w:rPr>
        <w:t xml:space="preserve">sodný alebo príbuzné látky (napr. aspirín) </w:t>
      </w:r>
      <w:r w:rsidR="00183A18" w:rsidRPr="00B13F8F">
        <w:rPr>
          <w:szCs w:val="22"/>
        </w:rPr>
        <w:t xml:space="preserve">by sa mali </w:t>
      </w:r>
      <w:r w:rsidRPr="00B13F8F">
        <w:rPr>
          <w:szCs w:val="22"/>
        </w:rPr>
        <w:t>vyhnúť kontaktu s veterinárnym liekom. Ak sa po náhodnom kontakte objaví vyrážka, ihneď vyhľadajte lekársku pomoc a ukážte lekárovi písomnú informáciu pre používateľov alebo obal. Opuch tváre, pier alebo očí alebo ťažkosti s dýchaním sú závažnejšie príznaky, ktoré si vyžadujú okamžitú lekársku pomoc.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Tento veterinárny liek môže spôsobiť podráždenie kože, očí a dýchacích ciest. Je potrebné vyhnúť sa priamemu kontaktu s pokožkou a očami a vdýchnutiu prášku.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Pri manipulácii s veterinárnym liekom používajte osobné ochranné pomôcky skladajúce sa z ochranných rukavíc (napr. gumy alebo latexu), ochranných okuliarov a vhodnej prachovej masky (napr. jednorazového respirátora s </w:t>
      </w:r>
      <w:proofErr w:type="spellStart"/>
      <w:r w:rsidRPr="00B13F8F">
        <w:rPr>
          <w:szCs w:val="22"/>
        </w:rPr>
        <w:t>polomaskou</w:t>
      </w:r>
      <w:proofErr w:type="spellEnd"/>
      <w:r w:rsidRPr="00B13F8F">
        <w:rPr>
          <w:szCs w:val="22"/>
        </w:rPr>
        <w:t xml:space="preserve"> v súlade s európskou normou EN149).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V prípade náhodného kontaktu s</w:t>
      </w:r>
      <w:r w:rsidR="00EA07A4" w:rsidRPr="00B13F8F">
        <w:rPr>
          <w:szCs w:val="22"/>
        </w:rPr>
        <w:t xml:space="preserve"> pokožkou, exponované miesto umyť vodou. V prípade náhodného kontaktu s očami vyplachujte oči veľkým množstvom vody po dobu 15 minút a ak podráždenie pretrváva </w:t>
      </w:r>
      <w:r w:rsidRPr="00B13F8F">
        <w:rPr>
          <w:szCs w:val="22"/>
        </w:rPr>
        <w:t>vyhľada</w:t>
      </w:r>
      <w:r w:rsidR="00EA07A4" w:rsidRPr="00B13F8F">
        <w:rPr>
          <w:szCs w:val="22"/>
        </w:rPr>
        <w:t>jte lekársku pomoc.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Po použití si umyte ruky. 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Počas manipulácie s veterinárnym liekom nefajčite, nejedzte ani nepite.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B13F8F">
        <w:rPr>
          <w:szCs w:val="22"/>
          <w:u w:val="single"/>
        </w:rPr>
        <w:t>Osobitné opatrenia na ochranu životného prostredia: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Neuplatňujú sa.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3.6</w:t>
      </w:r>
      <w:r w:rsidRPr="00B13F8F">
        <w:tab/>
        <w:t>Nežiaduce účinky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Hovädzí dobytok (teľatá) a ošípané:</w:t>
      </w:r>
    </w:p>
    <w:p w:rsidR="00B919E7" w:rsidRPr="00B13F8F" w:rsidRDefault="00B919E7" w:rsidP="00B919E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B919E7" w:rsidRPr="00B13F8F" w:rsidTr="00B919E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E7" w:rsidRPr="00B13F8F" w:rsidRDefault="00B919E7">
            <w:pPr>
              <w:spacing w:before="60" w:after="60"/>
              <w:rPr>
                <w:szCs w:val="22"/>
              </w:rPr>
            </w:pPr>
            <w:r w:rsidRPr="00B13F8F">
              <w:rPr>
                <w:szCs w:val="22"/>
              </w:rPr>
              <w:t>Neznáme (frekvenciu nemožno odhadnúť z dostupných údajov):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E7" w:rsidRPr="00B13F8F" w:rsidRDefault="00B919E7">
            <w:pPr>
              <w:spacing w:before="60" w:after="60"/>
              <w:rPr>
                <w:szCs w:val="22"/>
              </w:rPr>
            </w:pPr>
            <w:r w:rsidRPr="00B13F8F">
              <w:rPr>
                <w:szCs w:val="22"/>
              </w:rPr>
              <w:t>Porucha tráviaceho traktu</w:t>
            </w:r>
            <w:r w:rsidRPr="00B13F8F">
              <w:rPr>
                <w:szCs w:val="22"/>
                <w:vertAlign w:val="superscript"/>
              </w:rPr>
              <w:t>1</w:t>
            </w:r>
          </w:p>
          <w:p w:rsidR="00B919E7" w:rsidRPr="00B13F8F" w:rsidRDefault="00B919E7">
            <w:pPr>
              <w:spacing w:before="60" w:after="60"/>
              <w:rPr>
                <w:iCs/>
                <w:szCs w:val="22"/>
              </w:rPr>
            </w:pPr>
            <w:r w:rsidRPr="00B13F8F">
              <w:rPr>
                <w:szCs w:val="22"/>
              </w:rPr>
              <w:t>Predĺžené krvácanie</w:t>
            </w:r>
            <w:r w:rsidRPr="00B13F8F">
              <w:rPr>
                <w:szCs w:val="22"/>
                <w:vertAlign w:val="superscript"/>
              </w:rPr>
              <w:t>2</w:t>
            </w:r>
          </w:p>
        </w:tc>
      </w:tr>
    </w:tbl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  <w:vertAlign w:val="superscript"/>
        </w:rPr>
      </w:pPr>
      <w:r w:rsidRPr="00B13F8F">
        <w:rPr>
          <w:szCs w:val="22"/>
          <w:vertAlign w:val="superscript"/>
        </w:rPr>
        <w:t>1</w:t>
      </w:r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Gastrointestinálne</w:t>
      </w:r>
      <w:proofErr w:type="spellEnd"/>
      <w:r w:rsidRPr="00B13F8F">
        <w:rPr>
          <w:szCs w:val="22"/>
        </w:rPr>
        <w:t xml:space="preserve"> podráždeni</w:t>
      </w:r>
      <w:r w:rsidR="005E11B4" w:rsidRPr="00B13F8F">
        <w:rPr>
          <w:szCs w:val="22"/>
        </w:rPr>
        <w:t>e</w:t>
      </w:r>
      <w:r w:rsidRPr="00B13F8F">
        <w:rPr>
          <w:szCs w:val="22"/>
        </w:rPr>
        <w:t xml:space="preserve">,  najmä u zvierat, ktoré prekonali </w:t>
      </w:r>
      <w:proofErr w:type="spellStart"/>
      <w:r w:rsidRPr="00B13F8F">
        <w:rPr>
          <w:szCs w:val="22"/>
        </w:rPr>
        <w:t>gastrointestinálne</w:t>
      </w:r>
      <w:proofErr w:type="spellEnd"/>
      <w:r w:rsidRPr="00B13F8F">
        <w:rPr>
          <w:szCs w:val="22"/>
        </w:rPr>
        <w:t xml:space="preserve"> ochorenie.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  <w:vertAlign w:val="superscript"/>
        </w:rPr>
        <w:t>2</w:t>
      </w:r>
      <w:r w:rsidRPr="00B13F8F">
        <w:rPr>
          <w:szCs w:val="22"/>
        </w:rPr>
        <w:t xml:space="preserve"> Zvratn</w:t>
      </w:r>
      <w:r w:rsidR="005E11B4" w:rsidRPr="00B13F8F">
        <w:rPr>
          <w:szCs w:val="22"/>
        </w:rPr>
        <w:t xml:space="preserve">á inhibícia </w:t>
      </w:r>
      <w:r w:rsidRPr="00B13F8F">
        <w:rPr>
          <w:szCs w:val="22"/>
        </w:rPr>
        <w:t>normálnej zrážanlivosti krvi, efekt ustúpi približne o 7 dní.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rPr>
          <w:szCs w:val="22"/>
        </w:rPr>
      </w:pPr>
      <w:bookmarkStart w:id="0" w:name="_Hlk66891708"/>
      <w:r w:rsidRPr="00B13F8F">
        <w:rPr>
          <w:szCs w:val="22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</w:t>
      </w:r>
    </w:p>
    <w:bookmarkEnd w:id="0"/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Príslušné kontaktné údaje nájdete v písomnej informácii pre používateľ</w:t>
      </w:r>
      <w:r w:rsidR="005E11B4" w:rsidRPr="00B13F8F">
        <w:rPr>
          <w:szCs w:val="22"/>
        </w:rPr>
        <w:t>ov</w:t>
      </w:r>
      <w:r w:rsidRPr="00B13F8F">
        <w:rPr>
          <w:szCs w:val="22"/>
        </w:rPr>
        <w:t xml:space="preserve"> alebo na etikete.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3.7</w:t>
      </w:r>
      <w:r w:rsidRPr="00B13F8F">
        <w:tab/>
        <w:t>Použitie počas gravidity, laktácie, znášky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  <w:u w:val="single"/>
        </w:rPr>
        <w:t>Gravidita</w:t>
      </w:r>
      <w:r w:rsidRPr="00B13F8F">
        <w:rPr>
          <w:szCs w:val="22"/>
        </w:rPr>
        <w:t xml:space="preserve"> </w:t>
      </w:r>
      <w:r w:rsidRPr="00B13F8F">
        <w:rPr>
          <w:szCs w:val="22"/>
          <w:u w:val="single"/>
        </w:rPr>
        <w:t>a laktácia</w:t>
      </w:r>
      <w:r w:rsidRPr="00B13F8F">
        <w:rPr>
          <w:szCs w:val="22"/>
        </w:rPr>
        <w:t>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počas gravidity a laktácie.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Laboratórne štúdie u potkanov preukázali </w:t>
      </w:r>
      <w:proofErr w:type="spellStart"/>
      <w:r w:rsidRPr="00B13F8F">
        <w:rPr>
          <w:szCs w:val="22"/>
        </w:rPr>
        <w:t>teratogénn</w:t>
      </w:r>
      <w:r w:rsidR="00ED4B09" w:rsidRPr="00B13F8F">
        <w:rPr>
          <w:szCs w:val="22"/>
        </w:rPr>
        <w:t>e</w:t>
      </w:r>
      <w:proofErr w:type="spellEnd"/>
      <w:r w:rsidRPr="00B13F8F">
        <w:rPr>
          <w:szCs w:val="22"/>
        </w:rPr>
        <w:t xml:space="preserve"> a </w:t>
      </w:r>
      <w:proofErr w:type="spellStart"/>
      <w:r w:rsidRPr="00B13F8F">
        <w:rPr>
          <w:szCs w:val="22"/>
        </w:rPr>
        <w:t>fetotoxick</w:t>
      </w:r>
      <w:r w:rsidR="00ED4B09" w:rsidRPr="00B13F8F">
        <w:rPr>
          <w:szCs w:val="22"/>
        </w:rPr>
        <w:t>é</w:t>
      </w:r>
      <w:proofErr w:type="spellEnd"/>
      <w:r w:rsidRPr="00B13F8F">
        <w:rPr>
          <w:szCs w:val="22"/>
        </w:rPr>
        <w:t xml:space="preserve">  účinky.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Kyselina salicylová prechádza placentou a je vylučovaná mliekom. Polčas </w:t>
      </w:r>
      <w:r w:rsidR="00B736BA" w:rsidRPr="00B13F8F">
        <w:rPr>
          <w:szCs w:val="22"/>
        </w:rPr>
        <w:t xml:space="preserve">rozpadu </w:t>
      </w:r>
      <w:r w:rsidRPr="00B13F8F">
        <w:rPr>
          <w:szCs w:val="22"/>
        </w:rPr>
        <w:t>je u novorodených mláďat dlhší a tak sa môžu príznaky toxicity objaviť oveľa skôr. Okrem toho potláča zhlukovanie krvných doštičiek a predlžuje čas krvácania, čo nie je vhodné pri pôrode / cisárskom reze. V niektorých štúdiách sa uvádza, že pôrod je oneskorený.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3.8</w:t>
      </w:r>
      <w:r w:rsidRPr="00B13F8F">
        <w:tab/>
        <w:t>Interakcie s inými liekmi a ďalšie formy interakcií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Je potrebné vyhýbať sa súbežnému podávaniu potenciálne </w:t>
      </w:r>
      <w:proofErr w:type="spellStart"/>
      <w:r w:rsidRPr="00B13F8F">
        <w:rPr>
          <w:szCs w:val="22"/>
        </w:rPr>
        <w:t>nefrotoxických</w:t>
      </w:r>
      <w:proofErr w:type="spellEnd"/>
      <w:r w:rsidRPr="00B13F8F">
        <w:rPr>
          <w:szCs w:val="22"/>
        </w:rPr>
        <w:t xml:space="preserve"> liekov (napríklad </w:t>
      </w:r>
      <w:proofErr w:type="spellStart"/>
      <w:r w:rsidRPr="00B13F8F">
        <w:rPr>
          <w:szCs w:val="22"/>
        </w:rPr>
        <w:t>aminoglykozidov</w:t>
      </w:r>
      <w:proofErr w:type="spellEnd"/>
      <w:r w:rsidRPr="00B13F8F">
        <w:rPr>
          <w:szCs w:val="22"/>
        </w:rPr>
        <w:t>).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Kyselina salicylová sa pevne viaže na sérový albumín a súťaží s množstvom látok</w:t>
      </w:r>
      <w:r w:rsidR="00ED4B09" w:rsidRPr="00B13F8F">
        <w:rPr>
          <w:szCs w:val="22"/>
        </w:rPr>
        <w:t xml:space="preserve"> </w:t>
      </w:r>
      <w:r w:rsidRPr="00B13F8F">
        <w:rPr>
          <w:szCs w:val="22"/>
        </w:rPr>
        <w:t xml:space="preserve">(napríklad </w:t>
      </w:r>
      <w:proofErr w:type="spellStart"/>
      <w:r w:rsidRPr="00B13F8F">
        <w:rPr>
          <w:szCs w:val="22"/>
        </w:rPr>
        <w:t>ketoprofénom</w:t>
      </w:r>
      <w:proofErr w:type="spellEnd"/>
      <w:r w:rsidRPr="00B13F8F">
        <w:rPr>
          <w:szCs w:val="22"/>
        </w:rPr>
        <w:t>) o väzbové miesta plazmatických bielkovín.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lastRenderedPageBreak/>
        <w:t xml:space="preserve">Zistilo sa, že plazmatický </w:t>
      </w:r>
      <w:proofErr w:type="spellStart"/>
      <w:r w:rsidRPr="00B13F8F">
        <w:rPr>
          <w:szCs w:val="22"/>
        </w:rPr>
        <w:t>klírens</w:t>
      </w:r>
      <w:proofErr w:type="spellEnd"/>
      <w:r w:rsidRPr="00B13F8F">
        <w:rPr>
          <w:szCs w:val="22"/>
        </w:rPr>
        <w:t xml:space="preserve"> kyseliny salicylovej sa zvyšuje v kombinácii s </w:t>
      </w:r>
      <w:proofErr w:type="spellStart"/>
      <w:r w:rsidRPr="00B13F8F">
        <w:rPr>
          <w:szCs w:val="22"/>
        </w:rPr>
        <w:t>kortikosteroidmi</w:t>
      </w:r>
      <w:proofErr w:type="spellEnd"/>
      <w:r w:rsidRPr="00B13F8F">
        <w:rPr>
          <w:szCs w:val="22"/>
        </w:rPr>
        <w:t xml:space="preserve"> pravdepodobne v dôsledku indukcie metabolizmu kyseliny salicylovej.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Neodporúča sa súčasné podávanie s inými </w:t>
      </w:r>
      <w:proofErr w:type="spellStart"/>
      <w:r w:rsidRPr="00B13F8F">
        <w:rPr>
          <w:szCs w:val="22"/>
        </w:rPr>
        <w:t>nesteroidovými</w:t>
      </w:r>
      <w:proofErr w:type="spellEnd"/>
      <w:r w:rsidRPr="00B13F8F">
        <w:rPr>
          <w:szCs w:val="22"/>
        </w:rPr>
        <w:t xml:space="preserve"> protizápalovými liekmi (NSAID) kvôli zvýšenému riziku </w:t>
      </w:r>
      <w:proofErr w:type="spellStart"/>
      <w:r w:rsidRPr="00B13F8F">
        <w:rPr>
          <w:szCs w:val="22"/>
        </w:rPr>
        <w:t>gastrointestinálnej</w:t>
      </w:r>
      <w:proofErr w:type="spellEnd"/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ulcerácie</w:t>
      </w:r>
      <w:proofErr w:type="spellEnd"/>
      <w:r w:rsidRPr="00B13F8F">
        <w:rPr>
          <w:szCs w:val="22"/>
        </w:rPr>
        <w:t>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Nepodávať v kombinácii </w:t>
      </w:r>
      <w:r w:rsidR="00ED4B09" w:rsidRPr="00B13F8F">
        <w:rPr>
          <w:szCs w:val="22"/>
        </w:rPr>
        <w:t>s </w:t>
      </w:r>
      <w:r w:rsidRPr="00B13F8F">
        <w:rPr>
          <w:szCs w:val="22"/>
        </w:rPr>
        <w:t>liek</w:t>
      </w:r>
      <w:r w:rsidR="00ED4B09" w:rsidRPr="00B13F8F">
        <w:rPr>
          <w:szCs w:val="22"/>
        </w:rPr>
        <w:t xml:space="preserve">mi, </w:t>
      </w:r>
      <w:r w:rsidRPr="00B13F8F">
        <w:rPr>
          <w:szCs w:val="22"/>
        </w:rPr>
        <w:t>ktoré ovplyvňujú zrážanie krvi.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3.9</w:t>
      </w:r>
      <w:r w:rsidRPr="00B13F8F">
        <w:tab/>
        <w:t>Cesty podania a dávkovanie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ED4B09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Podanie v</w:t>
      </w:r>
      <w:r w:rsidR="00B919E7" w:rsidRPr="00B13F8F">
        <w:rPr>
          <w:szCs w:val="22"/>
        </w:rPr>
        <w:t xml:space="preserve"> pitnej vode/mliek</w:t>
      </w:r>
      <w:r w:rsidRPr="00B13F8F">
        <w:rPr>
          <w:szCs w:val="22"/>
        </w:rPr>
        <w:t>u</w:t>
      </w:r>
      <w:r w:rsidR="00B919E7" w:rsidRPr="00B13F8F">
        <w:rPr>
          <w:szCs w:val="22"/>
        </w:rPr>
        <w:t>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Teľatá:</w:t>
      </w:r>
      <w:r w:rsidRPr="00B13F8F">
        <w:rPr>
          <w:szCs w:val="22"/>
        </w:rPr>
        <w:tab/>
        <w:t xml:space="preserve"> 40 mg </w:t>
      </w:r>
      <w:proofErr w:type="spellStart"/>
      <w:r w:rsidRPr="00B13F8F">
        <w:rPr>
          <w:szCs w:val="22"/>
        </w:rPr>
        <w:t>salicylátu</w:t>
      </w:r>
      <w:proofErr w:type="spellEnd"/>
      <w:r w:rsidRPr="00B13F8F">
        <w:rPr>
          <w:szCs w:val="22"/>
        </w:rPr>
        <w:t xml:space="preserve"> sodného na kilogram živej hmotnosti </w:t>
      </w:r>
      <w:r w:rsidR="00ED4B09" w:rsidRPr="00B13F8F">
        <w:rPr>
          <w:szCs w:val="22"/>
        </w:rPr>
        <w:t xml:space="preserve">raz denne, </w:t>
      </w:r>
      <w:r w:rsidRPr="00B13F8F">
        <w:rPr>
          <w:szCs w:val="22"/>
        </w:rPr>
        <w:t>po dobu 1 až 3 dní.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Ošípané:</w:t>
      </w:r>
      <w:r w:rsidR="00ED4B09" w:rsidRPr="00B13F8F">
        <w:rPr>
          <w:szCs w:val="22"/>
        </w:rPr>
        <w:t xml:space="preserve"> </w:t>
      </w:r>
      <w:r w:rsidRPr="00B13F8F">
        <w:rPr>
          <w:szCs w:val="22"/>
        </w:rPr>
        <w:t xml:space="preserve">35 mg </w:t>
      </w:r>
      <w:proofErr w:type="spellStart"/>
      <w:r w:rsidRPr="00B13F8F">
        <w:rPr>
          <w:szCs w:val="22"/>
        </w:rPr>
        <w:t>salicylátu</w:t>
      </w:r>
      <w:proofErr w:type="spellEnd"/>
      <w:r w:rsidRPr="00B13F8F">
        <w:rPr>
          <w:szCs w:val="22"/>
        </w:rPr>
        <w:t xml:space="preserve"> sodného na kilogram živej hmotnosti</w:t>
      </w:r>
      <w:r w:rsidR="00ED4B09" w:rsidRPr="00B13F8F">
        <w:rPr>
          <w:szCs w:val="22"/>
        </w:rPr>
        <w:t xml:space="preserve">/deň </w:t>
      </w:r>
      <w:r w:rsidRPr="00B13F8F">
        <w:rPr>
          <w:szCs w:val="22"/>
        </w:rPr>
        <w:t>po dobu 3 až 5 dní.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Aby sa zabezpečilo správne dávkovanie,</w:t>
      </w:r>
      <w:r w:rsidR="0014734E" w:rsidRPr="00B13F8F">
        <w:rPr>
          <w:szCs w:val="22"/>
        </w:rPr>
        <w:t xml:space="preserve"> živá </w:t>
      </w:r>
      <w:r w:rsidRPr="00B13F8F">
        <w:rPr>
          <w:szCs w:val="22"/>
        </w:rPr>
        <w:t>hmotnosť by sa mala stanoviť čo najpresnejšie.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Príjem </w:t>
      </w:r>
      <w:proofErr w:type="spellStart"/>
      <w:r w:rsidRPr="00B13F8F">
        <w:rPr>
          <w:szCs w:val="22"/>
        </w:rPr>
        <w:t>medikovanej</w:t>
      </w:r>
      <w:proofErr w:type="spellEnd"/>
      <w:r w:rsidRPr="00B13F8F">
        <w:rPr>
          <w:szCs w:val="22"/>
        </w:rPr>
        <w:t xml:space="preserve"> vody/mliečnej náhrady závisí od klinického stavu zvierat. Na dosiahnutie správneho dávkovania môže byť potrebné primerane upraviť koncentráciu </w:t>
      </w:r>
      <w:proofErr w:type="spellStart"/>
      <w:r w:rsidRPr="00B13F8F">
        <w:rPr>
          <w:szCs w:val="22"/>
        </w:rPr>
        <w:t>salicylátu</w:t>
      </w:r>
      <w:proofErr w:type="spellEnd"/>
      <w:r w:rsidRPr="00B13F8F">
        <w:rPr>
          <w:szCs w:val="22"/>
        </w:rPr>
        <w:t xml:space="preserve"> sodného. 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Odporúča sa použitie vhodných kalibrovaných meracích prostriedkov.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Na základe odporúčanej dávky a počtu a hmotnosti liečených zvierat je potrebné vypočítať presnú dennú koncentráciu veterinárneho lieku podľa nasledujúceho vzorca:</w:t>
      </w:r>
    </w:p>
    <w:tbl>
      <w:tblPr>
        <w:tblStyle w:val="TableNormal1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3019"/>
        <w:gridCol w:w="589"/>
        <w:gridCol w:w="2851"/>
        <w:gridCol w:w="2206"/>
      </w:tblGrid>
      <w:tr w:rsidR="00B919E7" w:rsidTr="00AB3415">
        <w:trPr>
          <w:trHeight w:val="1236"/>
        </w:trPr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B3415" w:rsidRDefault="00AB3415" w:rsidP="00AB3415">
            <w:pPr>
              <w:tabs>
                <w:tab w:val="left" w:leader="dot" w:pos="347"/>
              </w:tabs>
              <w:spacing w:line="247" w:lineRule="exact"/>
              <w:ind w:left="71"/>
              <w:rPr>
                <w:spacing w:val="-10"/>
              </w:rPr>
            </w:pPr>
          </w:p>
          <w:p w:rsidR="00AB3415" w:rsidRDefault="00AB3415" w:rsidP="00AB3415">
            <w:pPr>
              <w:tabs>
                <w:tab w:val="left" w:leader="dot" w:pos="347"/>
              </w:tabs>
              <w:spacing w:line="247" w:lineRule="exact"/>
              <w:ind w:left="71"/>
              <w:rPr>
                <w:spacing w:val="-10"/>
              </w:rPr>
            </w:pPr>
          </w:p>
          <w:p w:rsidR="00B919E7" w:rsidRDefault="00B919E7" w:rsidP="00AB3415">
            <w:pPr>
              <w:tabs>
                <w:tab w:val="left" w:leader="dot" w:pos="347"/>
              </w:tabs>
              <w:spacing w:line="247" w:lineRule="exact"/>
              <w:ind w:left="71"/>
              <w:rPr>
                <w:sz w:val="20"/>
              </w:rPr>
            </w:pPr>
            <w:r>
              <w:rPr>
                <w:spacing w:val="-10"/>
              </w:rPr>
              <w:t>.</w:t>
            </w:r>
            <w:r>
              <w:tab/>
              <w:t xml:space="preserve">mg </w:t>
            </w:r>
            <w:proofErr w:type="spellStart"/>
            <w:r>
              <w:t>veterinárny</w:t>
            </w:r>
            <w:proofErr w:type="spellEnd"/>
            <w:r>
              <w:t xml:space="preserve"> </w:t>
            </w:r>
            <w:proofErr w:type="spellStart"/>
            <w:r>
              <w:t>lieku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/kg</w:t>
            </w:r>
          </w:p>
          <w:p w:rsidR="00B919E7" w:rsidRDefault="00B919E7">
            <w:pPr>
              <w:tabs>
                <w:tab w:val="clear" w:pos="567"/>
                <w:tab w:val="left" w:pos="708"/>
              </w:tabs>
              <w:spacing w:line="240" w:lineRule="auto"/>
              <w:ind w:left="237"/>
              <w:rPr>
                <w:spacing w:val="-2"/>
              </w:rPr>
            </w:pPr>
            <w:proofErr w:type="spellStart"/>
            <w:r>
              <w:t>živej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hmotnosti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deň</w:t>
            </w:r>
            <w:proofErr w:type="spellEnd"/>
          </w:p>
          <w:p w:rsidR="00AB3415" w:rsidRDefault="00AB3415">
            <w:pPr>
              <w:tabs>
                <w:tab w:val="clear" w:pos="567"/>
                <w:tab w:val="left" w:pos="708"/>
              </w:tabs>
              <w:spacing w:line="240" w:lineRule="auto"/>
              <w:ind w:left="237"/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9E7" w:rsidRDefault="00B919E7">
            <w:pPr>
              <w:tabs>
                <w:tab w:val="clear" w:pos="567"/>
                <w:tab w:val="left" w:pos="708"/>
              </w:tabs>
              <w:spacing w:before="8" w:line="240" w:lineRule="auto"/>
              <w:rPr>
                <w:sz w:val="24"/>
              </w:rPr>
            </w:pPr>
          </w:p>
          <w:p w:rsidR="00AB3415" w:rsidRDefault="00AB3415">
            <w:pPr>
              <w:tabs>
                <w:tab w:val="clear" w:pos="567"/>
                <w:tab w:val="left" w:pos="708"/>
              </w:tabs>
              <w:spacing w:line="240" w:lineRule="auto"/>
              <w:ind w:right="83"/>
              <w:jc w:val="right"/>
            </w:pPr>
          </w:p>
          <w:p w:rsidR="00B919E7" w:rsidRDefault="00B919E7">
            <w:pPr>
              <w:tabs>
                <w:tab w:val="clear" w:pos="567"/>
                <w:tab w:val="left" w:pos="708"/>
              </w:tabs>
              <w:spacing w:line="240" w:lineRule="auto"/>
              <w:ind w:right="83"/>
              <w:jc w:val="right"/>
            </w:pPr>
            <w:r>
              <w:t>x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B3415" w:rsidRDefault="00AB3415" w:rsidP="00AB3415">
            <w:pPr>
              <w:tabs>
                <w:tab w:val="clear" w:pos="567"/>
                <w:tab w:val="left" w:pos="708"/>
              </w:tabs>
              <w:spacing w:line="276" w:lineRule="auto"/>
              <w:ind w:left="87"/>
            </w:pPr>
          </w:p>
          <w:p w:rsidR="00AB3415" w:rsidRDefault="00AB3415" w:rsidP="00AB3415">
            <w:pPr>
              <w:tabs>
                <w:tab w:val="clear" w:pos="567"/>
                <w:tab w:val="left" w:pos="708"/>
              </w:tabs>
              <w:spacing w:line="276" w:lineRule="auto"/>
              <w:ind w:left="87"/>
            </w:pPr>
          </w:p>
          <w:p w:rsidR="00B919E7" w:rsidRDefault="00B919E7" w:rsidP="00AB3415">
            <w:pPr>
              <w:tabs>
                <w:tab w:val="clear" w:pos="567"/>
                <w:tab w:val="left" w:pos="708"/>
              </w:tabs>
              <w:spacing w:line="276" w:lineRule="auto"/>
              <w:ind w:left="87"/>
            </w:pPr>
            <w:proofErr w:type="spellStart"/>
            <w:r>
              <w:t>priemerná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živá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hmotnosť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(kg) </w:t>
            </w:r>
            <w:proofErr w:type="spellStart"/>
            <w:r>
              <w:t>zvierat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majú</w:t>
            </w:r>
            <w:proofErr w:type="spellEnd"/>
            <w:r w:rsidR="00AB3415">
              <w:t xml:space="preserve"> </w:t>
            </w:r>
            <w:proofErr w:type="spellStart"/>
            <w:r>
              <w:t>byť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liečené</w:t>
            </w:r>
            <w:proofErr w:type="spellEnd"/>
          </w:p>
        </w:tc>
        <w:tc>
          <w:tcPr>
            <w:tcW w:w="2206" w:type="dxa"/>
          </w:tcPr>
          <w:p w:rsidR="00B919E7" w:rsidRDefault="00B919E7">
            <w:pPr>
              <w:tabs>
                <w:tab w:val="clear" w:pos="567"/>
                <w:tab w:val="left" w:pos="708"/>
              </w:tabs>
              <w:spacing w:before="5" w:line="240" w:lineRule="auto"/>
              <w:rPr>
                <w:sz w:val="24"/>
                <w:lang w:val="nl-NL"/>
              </w:rPr>
            </w:pPr>
          </w:p>
          <w:p w:rsidR="00B919E7" w:rsidRDefault="00B919E7" w:rsidP="00AB3415">
            <w:pPr>
              <w:tabs>
                <w:tab w:val="clear" w:pos="567"/>
                <w:tab w:val="left" w:pos="708"/>
              </w:tabs>
              <w:spacing w:before="43" w:line="240" w:lineRule="auto"/>
              <w:ind w:left="30"/>
              <w:rPr>
                <w:lang w:val="nl-NL"/>
              </w:rPr>
            </w:pPr>
          </w:p>
        </w:tc>
      </w:tr>
      <w:tr w:rsidR="00B919E7" w:rsidTr="00B919E7">
        <w:trPr>
          <w:trHeight w:val="70"/>
        </w:trPr>
        <w:tc>
          <w:tcPr>
            <w:tcW w:w="64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919E7" w:rsidRDefault="00B919E7">
            <w:pPr>
              <w:tabs>
                <w:tab w:val="clear" w:pos="567"/>
                <w:tab w:val="left" w:pos="708"/>
              </w:tabs>
              <w:spacing w:line="232" w:lineRule="exact"/>
              <w:ind w:left="71"/>
              <w:rPr>
                <w:lang w:val="nl-NL"/>
              </w:rPr>
            </w:pPr>
          </w:p>
          <w:p w:rsidR="00B919E7" w:rsidRDefault="00B919E7">
            <w:pPr>
              <w:tabs>
                <w:tab w:val="clear" w:pos="567"/>
                <w:tab w:val="left" w:pos="708"/>
              </w:tabs>
              <w:spacing w:line="232" w:lineRule="exact"/>
              <w:ind w:left="71"/>
              <w:rPr>
                <w:lang w:val="pt-PT"/>
              </w:rPr>
            </w:pPr>
            <w:r>
              <w:rPr>
                <w:lang w:val="pt-PT"/>
              </w:rPr>
              <w:t>priemerná</w:t>
            </w:r>
            <w:r>
              <w:rPr>
                <w:spacing w:val="-5"/>
                <w:lang w:val="pt-PT"/>
              </w:rPr>
              <w:t xml:space="preserve"> </w:t>
            </w:r>
            <w:r>
              <w:rPr>
                <w:lang w:val="pt-PT"/>
              </w:rPr>
              <w:t>denná</w:t>
            </w:r>
            <w:r>
              <w:rPr>
                <w:spacing w:val="-2"/>
                <w:lang w:val="pt-PT"/>
              </w:rPr>
              <w:t xml:space="preserve"> </w:t>
            </w:r>
            <w:r>
              <w:rPr>
                <w:lang w:val="pt-PT"/>
              </w:rPr>
              <w:t>spotreba</w:t>
            </w:r>
            <w:r>
              <w:rPr>
                <w:spacing w:val="-2"/>
                <w:lang w:val="pt-PT"/>
              </w:rPr>
              <w:t xml:space="preserve"> </w:t>
            </w:r>
            <w:r>
              <w:rPr>
                <w:lang w:val="pt-PT"/>
              </w:rPr>
              <w:t>vody</w:t>
            </w:r>
            <w:r>
              <w:rPr>
                <w:spacing w:val="-5"/>
                <w:lang w:val="pt-PT"/>
              </w:rPr>
              <w:t xml:space="preserve"> </w:t>
            </w:r>
            <w:r>
              <w:rPr>
                <w:lang w:val="pt-PT"/>
              </w:rPr>
              <w:t>/</w:t>
            </w:r>
            <w:r>
              <w:rPr>
                <w:spacing w:val="-1"/>
                <w:lang w:val="pt-PT"/>
              </w:rPr>
              <w:t xml:space="preserve"> </w:t>
            </w:r>
            <w:r>
              <w:rPr>
                <w:lang w:val="pt-PT"/>
              </w:rPr>
              <w:t>mlieka</w:t>
            </w:r>
            <w:r>
              <w:rPr>
                <w:spacing w:val="-2"/>
                <w:lang w:val="pt-PT"/>
              </w:rPr>
              <w:t xml:space="preserve"> </w:t>
            </w:r>
            <w:r>
              <w:rPr>
                <w:lang w:val="pt-PT"/>
              </w:rPr>
              <w:t>(l)</w:t>
            </w:r>
            <w:r>
              <w:rPr>
                <w:spacing w:val="-4"/>
                <w:lang w:val="pt-PT"/>
              </w:rPr>
              <w:t xml:space="preserve"> </w:t>
            </w:r>
            <w:r>
              <w:rPr>
                <w:lang w:val="pt-PT"/>
              </w:rPr>
              <w:t>na</w:t>
            </w:r>
            <w:r>
              <w:rPr>
                <w:spacing w:val="-2"/>
                <w:lang w:val="pt-PT"/>
              </w:rPr>
              <w:t xml:space="preserve"> zviera</w:t>
            </w:r>
            <w:r w:rsidR="00AB3415">
              <w:rPr>
                <w:spacing w:val="-2"/>
                <w:lang w:val="pt-PT"/>
              </w:rPr>
              <w:t xml:space="preserve">   </w:t>
            </w:r>
          </w:p>
        </w:tc>
        <w:tc>
          <w:tcPr>
            <w:tcW w:w="2206" w:type="dxa"/>
          </w:tcPr>
          <w:p w:rsidR="00AB3415" w:rsidRDefault="00AB3415" w:rsidP="00AB3415">
            <w:pPr>
              <w:tabs>
                <w:tab w:val="left" w:leader="dot" w:pos="477"/>
              </w:tabs>
              <w:spacing w:line="240" w:lineRule="auto"/>
              <w:ind w:left="21"/>
              <w:jc w:val="center"/>
              <w:rPr>
                <w:lang w:val="nl-NL"/>
              </w:rPr>
            </w:pPr>
            <w:r>
              <w:rPr>
                <w:spacing w:val="-10"/>
                <w:lang w:val="nl-NL"/>
              </w:rPr>
              <w:t xml:space="preserve"> = </w:t>
            </w:r>
            <w:r>
              <w:rPr>
                <w:lang w:val="nl-NL"/>
              </w:rPr>
              <w:tab/>
              <w:t>mg</w:t>
            </w:r>
            <w:r>
              <w:rPr>
                <w:spacing w:val="-5"/>
                <w:lang w:val="nl-NL"/>
              </w:rPr>
              <w:t xml:space="preserve"> </w:t>
            </w:r>
            <w:r>
              <w:rPr>
                <w:lang w:val="nl-NL"/>
              </w:rPr>
              <w:t>veterinárneho lieku</w:t>
            </w:r>
            <w:r>
              <w:rPr>
                <w:spacing w:val="-2"/>
                <w:lang w:val="nl-NL"/>
              </w:rPr>
              <w:t xml:space="preserve">  </w:t>
            </w:r>
            <w:r>
              <w:rPr>
                <w:lang w:val="nl-NL"/>
              </w:rPr>
              <w:t>na</w:t>
            </w:r>
            <w:r>
              <w:rPr>
                <w:spacing w:val="-3"/>
                <w:lang w:val="nl-NL"/>
              </w:rPr>
              <w:t xml:space="preserve"> 1 liter</w:t>
            </w:r>
          </w:p>
          <w:p w:rsidR="00B919E7" w:rsidRDefault="00AB3415" w:rsidP="00AB3415">
            <w:pPr>
              <w:tabs>
                <w:tab w:val="clear" w:pos="567"/>
                <w:tab w:val="left" w:pos="708"/>
              </w:tabs>
              <w:spacing w:line="240" w:lineRule="auto"/>
              <w:rPr>
                <w:sz w:val="18"/>
                <w:lang w:val="pt-PT"/>
              </w:rPr>
            </w:pPr>
            <w:r>
              <w:rPr>
                <w:lang w:val="nl-NL"/>
              </w:rPr>
              <w:t xml:space="preserve">      pitnej</w:t>
            </w:r>
            <w:r>
              <w:rPr>
                <w:spacing w:val="-2"/>
                <w:lang w:val="nl-NL"/>
              </w:rPr>
              <w:t xml:space="preserve"> </w:t>
            </w:r>
            <w:r>
              <w:rPr>
                <w:lang w:val="nl-NL"/>
              </w:rPr>
              <w:t>vody</w:t>
            </w:r>
            <w:r>
              <w:rPr>
                <w:spacing w:val="-4"/>
                <w:lang w:val="nl-NL"/>
              </w:rPr>
              <w:t xml:space="preserve"> </w:t>
            </w:r>
            <w:r>
              <w:rPr>
                <w:lang w:val="nl-NL"/>
              </w:rPr>
              <w:t>/</w:t>
            </w:r>
            <w:r>
              <w:rPr>
                <w:spacing w:val="-1"/>
                <w:lang w:val="nl-NL"/>
              </w:rPr>
              <w:t xml:space="preserve"> </w:t>
            </w:r>
            <w:r>
              <w:rPr>
                <w:spacing w:val="-2"/>
                <w:lang w:val="nl-NL"/>
              </w:rPr>
              <w:t>mlieka</w:t>
            </w:r>
          </w:p>
        </w:tc>
      </w:tr>
    </w:tbl>
    <w:p w:rsidR="00B919E7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Maximálna rozpustnosť </w:t>
      </w:r>
      <w:r w:rsidR="00AB3415" w:rsidRPr="00B13F8F">
        <w:rPr>
          <w:szCs w:val="22"/>
        </w:rPr>
        <w:t xml:space="preserve">lieku </w:t>
      </w:r>
      <w:r w:rsidRPr="00B13F8F">
        <w:rPr>
          <w:szCs w:val="22"/>
        </w:rPr>
        <w:t>testovaného v náhradke mlieka pri 65 °C je 10 g/l. Mliečna náhrada by mala byť pripravená pred pridaním</w:t>
      </w:r>
      <w:r w:rsidR="00AB3415" w:rsidRPr="00B13F8F">
        <w:rPr>
          <w:szCs w:val="22"/>
        </w:rPr>
        <w:t xml:space="preserve"> lieku</w:t>
      </w:r>
      <w:r w:rsidRPr="00B13F8F">
        <w:rPr>
          <w:szCs w:val="22"/>
        </w:rPr>
        <w:t xml:space="preserve">. Roztok by sa mal miešať 5 minút.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mliečna náhrada by sa mala spotrebovať do 6 hodín po príprave.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Maximálna rozpustnosť </w:t>
      </w:r>
      <w:r w:rsidR="00AB3415" w:rsidRPr="00B13F8F">
        <w:rPr>
          <w:szCs w:val="22"/>
        </w:rPr>
        <w:t xml:space="preserve">lieku </w:t>
      </w:r>
      <w:r w:rsidRPr="00B13F8F">
        <w:rPr>
          <w:szCs w:val="22"/>
        </w:rPr>
        <w:t>vo vode (mäkká/tvrdá) pri 4</w:t>
      </w:r>
      <w:r w:rsidR="00AA19B1" w:rsidRPr="00B13F8F">
        <w:rPr>
          <w:szCs w:val="22"/>
        </w:rPr>
        <w:t xml:space="preserve"> </w:t>
      </w:r>
      <w:r w:rsidRPr="00B13F8F">
        <w:rPr>
          <w:szCs w:val="22"/>
        </w:rPr>
        <w:t>ºC/20</w:t>
      </w:r>
      <w:r w:rsidR="00AB3415" w:rsidRPr="00B13F8F">
        <w:rPr>
          <w:szCs w:val="22"/>
        </w:rPr>
        <w:t xml:space="preserve"> </w:t>
      </w:r>
      <w:r w:rsidRPr="00B13F8F">
        <w:rPr>
          <w:szCs w:val="22"/>
        </w:rPr>
        <w:t>ºC je 250 g/l.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Pri zásobných roztokoch a pri použití dávkovača dbajte na to, aby ste neprekročili maximálnu rozpustnosť, ktorú je možné za daných podmienok dosiahnuť. Upravte nastavenie prietoku dávkovacieho čerpadla podľa koncentrácie zásobného roztoku a príjmu vody zvierat, ktoré majú byť ošetrené.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pitná voda by mala byť čerstvo pripravená každých 24 hodín.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Počas liečby sa má v častých intervaloch monitorovať príjem vody.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pitná voda by mala byť jediným zdrojom pitnej vody počas trvania liečby. Akákoľvek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pitná voda, ktorá sa nespotrebuje do 24 hodín, sa má zlikvidovať.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Po skončení obdobia liečby sa má systém prívodu vody vhodne vyčistiť, aby sa zabránilo príjmu </w:t>
      </w:r>
      <w:proofErr w:type="spellStart"/>
      <w:r w:rsidRPr="00B13F8F">
        <w:rPr>
          <w:szCs w:val="22"/>
        </w:rPr>
        <w:t>subterapeutických</w:t>
      </w:r>
      <w:proofErr w:type="spellEnd"/>
      <w:r w:rsidRPr="00B13F8F">
        <w:rPr>
          <w:szCs w:val="22"/>
        </w:rPr>
        <w:t xml:space="preserve"> množstiev účinnej látky.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3.10</w:t>
      </w:r>
      <w:r w:rsidRPr="00B13F8F">
        <w:tab/>
        <w:t xml:space="preserve">Príznaky predávkovania (a ak je to potrebné, núdzové postupy, </w:t>
      </w:r>
      <w:proofErr w:type="spellStart"/>
      <w:r w:rsidRPr="00B13F8F">
        <w:t>antidotá</w:t>
      </w:r>
      <w:proofErr w:type="spellEnd"/>
      <w:r w:rsidRPr="00B13F8F">
        <w:t>)</w:t>
      </w:r>
    </w:p>
    <w:p w:rsidR="00B919E7" w:rsidRPr="00B13F8F" w:rsidRDefault="00B919E7" w:rsidP="00B919E7">
      <w:pPr>
        <w:pStyle w:val="Style1"/>
      </w:pPr>
    </w:p>
    <w:p w:rsidR="00B919E7" w:rsidRPr="00B13F8F" w:rsidRDefault="00B919E7" w:rsidP="00B919E7">
      <w:pPr>
        <w:pStyle w:val="Style1"/>
        <w:rPr>
          <w:b w:val="0"/>
        </w:rPr>
      </w:pPr>
      <w:r w:rsidRPr="00B13F8F">
        <w:rPr>
          <w:b w:val="0"/>
        </w:rPr>
        <w:t>Príznaky predávkovania možno pozorovať u teliat pri dávkach nad 80 mg/kg počas 5 dní alebo</w:t>
      </w:r>
    </w:p>
    <w:p w:rsidR="00B919E7" w:rsidRPr="00B13F8F" w:rsidRDefault="00B919E7" w:rsidP="00B919E7">
      <w:pPr>
        <w:pStyle w:val="Style1"/>
        <w:rPr>
          <w:b w:val="0"/>
        </w:rPr>
      </w:pPr>
      <w:r w:rsidRPr="00B13F8F">
        <w:rPr>
          <w:b w:val="0"/>
        </w:rPr>
        <w:t>40 mg/kg počas 10 dní.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V prípade akútneho predávkovania vyvolá intravenózna infúzia bikarbonátu vyšší </w:t>
      </w:r>
      <w:proofErr w:type="spellStart"/>
      <w:r w:rsidRPr="00B13F8F">
        <w:rPr>
          <w:szCs w:val="22"/>
        </w:rPr>
        <w:t>klírens</w:t>
      </w:r>
      <w:proofErr w:type="spellEnd"/>
      <w:r w:rsidRPr="00B13F8F">
        <w:rPr>
          <w:szCs w:val="22"/>
        </w:rPr>
        <w:t xml:space="preserve"> kyseliny salicylovej </w:t>
      </w:r>
      <w:proofErr w:type="spellStart"/>
      <w:r w:rsidRPr="00B13F8F">
        <w:rPr>
          <w:szCs w:val="22"/>
        </w:rPr>
        <w:t>alkalizáciou</w:t>
      </w:r>
      <w:proofErr w:type="spellEnd"/>
      <w:r w:rsidRPr="00B13F8F">
        <w:rPr>
          <w:szCs w:val="22"/>
        </w:rPr>
        <w:t xml:space="preserve"> moču a môže byť prínosná pri korekcii (sekundárnej metabolickej) </w:t>
      </w:r>
      <w:proofErr w:type="spellStart"/>
      <w:r w:rsidRPr="00B13F8F">
        <w:rPr>
          <w:szCs w:val="22"/>
        </w:rPr>
        <w:t>acidózy</w:t>
      </w:r>
      <w:proofErr w:type="spellEnd"/>
      <w:r w:rsidRPr="00B13F8F">
        <w:rPr>
          <w:szCs w:val="22"/>
        </w:rPr>
        <w:t>.</w:t>
      </w:r>
    </w:p>
    <w:p w:rsidR="00B919E7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13F8F" w:rsidRDefault="00B13F8F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13F8F" w:rsidRPr="00B13F8F" w:rsidRDefault="00B13F8F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lastRenderedPageBreak/>
        <w:t>3.11</w:t>
      </w:r>
      <w:r w:rsidRPr="00B13F8F">
        <w:tab/>
        <w:t xml:space="preserve">Osobitné obmedzenia používania a osobitné podmienky používania vrátane obmedzení používania </w:t>
      </w:r>
      <w:proofErr w:type="spellStart"/>
      <w:r w:rsidRPr="00B13F8F">
        <w:t>antimikrobiálnych</w:t>
      </w:r>
      <w:proofErr w:type="spellEnd"/>
      <w:r w:rsidRPr="00B13F8F">
        <w:t xml:space="preserve"> a </w:t>
      </w:r>
      <w:proofErr w:type="spellStart"/>
      <w:r w:rsidRPr="00B13F8F">
        <w:t>antiparazitických</w:t>
      </w:r>
      <w:proofErr w:type="spellEnd"/>
      <w:r w:rsidRPr="00B13F8F">
        <w:t xml:space="preserve"> veterinárnych liekov s cieľom obmedziť riziko vzniku rezistencie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Neuplatňujú sa.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3.12</w:t>
      </w:r>
      <w:r w:rsidRPr="00B13F8F">
        <w:tab/>
        <w:t>Ochranné lehoty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Hovädzí dobytok (teľatá) a ošípané: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Mäso a vnútornosti: 0 dní.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Nie je registrovaný na použitie u zvierat produkujúcich mlieko na ľudskú spotrebu.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4.</w:t>
      </w:r>
      <w:r w:rsidRPr="00B13F8F">
        <w:tab/>
        <w:t>FARMAKOLOGICKÉ ÚDAJE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4.1</w:t>
      </w:r>
      <w:r w:rsidRPr="00B13F8F">
        <w:tab/>
      </w:r>
      <w:proofErr w:type="spellStart"/>
      <w:r w:rsidRPr="00B13F8F">
        <w:t>ATCvet</w:t>
      </w:r>
      <w:proofErr w:type="spellEnd"/>
      <w:r w:rsidRPr="00B13F8F">
        <w:t xml:space="preserve"> kód: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QN02BA04.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4.2</w:t>
      </w:r>
      <w:r w:rsidRPr="00B13F8F">
        <w:tab/>
      </w:r>
      <w:proofErr w:type="spellStart"/>
      <w:r w:rsidRPr="00B13F8F">
        <w:t>Farmakodynamika</w:t>
      </w:r>
      <w:proofErr w:type="spellEnd"/>
    </w:p>
    <w:p w:rsidR="00B919E7" w:rsidRPr="00B13F8F" w:rsidRDefault="00B919E7" w:rsidP="00B919E7">
      <w:pPr>
        <w:pStyle w:val="Style1"/>
      </w:pPr>
    </w:p>
    <w:p w:rsidR="00B919E7" w:rsidRPr="00B13F8F" w:rsidRDefault="00B919E7" w:rsidP="00B919E7">
      <w:pPr>
        <w:pStyle w:val="Style1"/>
        <w:rPr>
          <w:b w:val="0"/>
        </w:rPr>
      </w:pPr>
      <w:proofErr w:type="spellStart"/>
      <w:r w:rsidRPr="00B13F8F">
        <w:rPr>
          <w:b w:val="0"/>
        </w:rPr>
        <w:t>Salicyl</w:t>
      </w:r>
      <w:r w:rsidR="006F53BE" w:rsidRPr="00B13F8F">
        <w:rPr>
          <w:b w:val="0"/>
        </w:rPr>
        <w:t>át</w:t>
      </w:r>
      <w:proofErr w:type="spellEnd"/>
      <w:r w:rsidRPr="00B13F8F">
        <w:rPr>
          <w:b w:val="0"/>
        </w:rPr>
        <w:t xml:space="preserve"> sodný je </w:t>
      </w:r>
      <w:proofErr w:type="spellStart"/>
      <w:r w:rsidRPr="00B13F8F">
        <w:rPr>
          <w:b w:val="0"/>
        </w:rPr>
        <w:t>nesteroidový</w:t>
      </w:r>
      <w:proofErr w:type="spellEnd"/>
      <w:r w:rsidRPr="00B13F8F">
        <w:rPr>
          <w:b w:val="0"/>
        </w:rPr>
        <w:t xml:space="preserve"> protizápalový liek (NSAID) a má protizápalové</w:t>
      </w:r>
      <w:r w:rsidR="006F53BE" w:rsidRPr="00B13F8F">
        <w:rPr>
          <w:b w:val="0"/>
        </w:rPr>
        <w:t xml:space="preserve">, </w:t>
      </w:r>
      <w:r w:rsidRPr="00B13F8F">
        <w:rPr>
          <w:b w:val="0"/>
        </w:rPr>
        <w:t xml:space="preserve">analgetické účinky </w:t>
      </w:r>
    </w:p>
    <w:p w:rsidR="00B919E7" w:rsidRPr="00B13F8F" w:rsidRDefault="00B919E7" w:rsidP="00B919E7">
      <w:pPr>
        <w:pStyle w:val="Style1"/>
        <w:rPr>
          <w:b w:val="0"/>
        </w:rPr>
      </w:pPr>
      <w:r w:rsidRPr="00B13F8F">
        <w:rPr>
          <w:b w:val="0"/>
        </w:rPr>
        <w:t xml:space="preserve">a pôsobí proti horúčke. Mechanizmus účinku lieku je založený na inhibícii enzýmu </w:t>
      </w:r>
      <w:proofErr w:type="spellStart"/>
      <w:r w:rsidRPr="00B13F8F">
        <w:rPr>
          <w:b w:val="0"/>
        </w:rPr>
        <w:t>cyklooxygenáza</w:t>
      </w:r>
      <w:proofErr w:type="spellEnd"/>
      <w:r w:rsidRPr="00B13F8F">
        <w:rPr>
          <w:b w:val="0"/>
        </w:rPr>
        <w:t xml:space="preserve">, </w:t>
      </w:r>
    </w:p>
    <w:p w:rsidR="00B919E7" w:rsidRPr="00B13F8F" w:rsidRDefault="00B919E7" w:rsidP="00B919E7">
      <w:pPr>
        <w:pStyle w:val="Style1"/>
        <w:rPr>
          <w:b w:val="0"/>
        </w:rPr>
      </w:pPr>
      <w:r w:rsidRPr="00B13F8F">
        <w:rPr>
          <w:b w:val="0"/>
        </w:rPr>
        <w:t xml:space="preserve">čoho následkom je znížená tvorba </w:t>
      </w:r>
      <w:proofErr w:type="spellStart"/>
      <w:r w:rsidRPr="00B13F8F">
        <w:rPr>
          <w:b w:val="0"/>
        </w:rPr>
        <w:t>prostaglandínu</w:t>
      </w:r>
      <w:proofErr w:type="spellEnd"/>
      <w:r w:rsidRPr="00B13F8F">
        <w:rPr>
          <w:b w:val="0"/>
        </w:rPr>
        <w:t xml:space="preserve"> (zápalový </w:t>
      </w:r>
      <w:proofErr w:type="spellStart"/>
      <w:r w:rsidRPr="00B13F8F">
        <w:rPr>
          <w:b w:val="0"/>
        </w:rPr>
        <w:t>mediátor</w:t>
      </w:r>
      <w:proofErr w:type="spellEnd"/>
      <w:r w:rsidRPr="00B13F8F">
        <w:rPr>
          <w:b w:val="0"/>
        </w:rPr>
        <w:t>).</w:t>
      </w:r>
      <w:r w:rsidRPr="00B13F8F">
        <w:t xml:space="preserve"> </w:t>
      </w:r>
      <w:r w:rsidRPr="00B13F8F">
        <w:rPr>
          <w:b w:val="0"/>
        </w:rPr>
        <w:t xml:space="preserve">Klinicky to bude mať za </w:t>
      </w:r>
    </w:p>
    <w:p w:rsidR="006F53BE" w:rsidRPr="00B13F8F" w:rsidRDefault="00B919E7" w:rsidP="00B919E7">
      <w:pPr>
        <w:pStyle w:val="Style1"/>
        <w:rPr>
          <w:b w:val="0"/>
        </w:rPr>
      </w:pPr>
      <w:r w:rsidRPr="00B13F8F">
        <w:rPr>
          <w:b w:val="0"/>
        </w:rPr>
        <w:t xml:space="preserve">následok </w:t>
      </w:r>
      <w:r w:rsidR="006F53BE" w:rsidRPr="00B13F8F">
        <w:rPr>
          <w:b w:val="0"/>
        </w:rPr>
        <w:t xml:space="preserve">zmiernenie </w:t>
      </w:r>
      <w:r w:rsidRPr="00B13F8F">
        <w:rPr>
          <w:b w:val="0"/>
        </w:rPr>
        <w:t>bolesti, pokles telesnej teploty a</w:t>
      </w:r>
      <w:r w:rsidR="006F53BE" w:rsidRPr="00B13F8F">
        <w:rPr>
          <w:b w:val="0"/>
        </w:rPr>
        <w:t> </w:t>
      </w:r>
      <w:r w:rsidRPr="00B13F8F">
        <w:rPr>
          <w:b w:val="0"/>
        </w:rPr>
        <w:t>z</w:t>
      </w:r>
      <w:r w:rsidR="006F53BE" w:rsidRPr="00B13F8F">
        <w:rPr>
          <w:b w:val="0"/>
        </w:rPr>
        <w:t xml:space="preserve">miernenie lokálnych </w:t>
      </w:r>
      <w:r w:rsidRPr="00B13F8F">
        <w:rPr>
          <w:b w:val="0"/>
        </w:rPr>
        <w:t xml:space="preserve">príznakov, ako je </w:t>
      </w:r>
    </w:p>
    <w:p w:rsidR="00B919E7" w:rsidRPr="00B13F8F" w:rsidRDefault="00B919E7" w:rsidP="00B919E7">
      <w:pPr>
        <w:pStyle w:val="Style1"/>
        <w:rPr>
          <w:b w:val="0"/>
        </w:rPr>
      </w:pPr>
      <w:r w:rsidRPr="00B13F8F">
        <w:rPr>
          <w:b w:val="0"/>
        </w:rPr>
        <w:t>začervenanie</w:t>
      </w:r>
      <w:r w:rsidR="006F53BE" w:rsidRPr="00B13F8F">
        <w:rPr>
          <w:b w:val="0"/>
        </w:rPr>
        <w:t xml:space="preserve"> </w:t>
      </w:r>
      <w:r w:rsidRPr="00B13F8F">
        <w:rPr>
          <w:b w:val="0"/>
        </w:rPr>
        <w:t>a opuch.</w:t>
      </w:r>
    </w:p>
    <w:p w:rsidR="00B919E7" w:rsidRPr="00B13F8F" w:rsidRDefault="00B919E7" w:rsidP="00B919E7">
      <w:pPr>
        <w:pStyle w:val="Style1"/>
      </w:pPr>
    </w:p>
    <w:p w:rsidR="00B919E7" w:rsidRPr="00B13F8F" w:rsidRDefault="00B919E7" w:rsidP="00B919E7">
      <w:pPr>
        <w:pStyle w:val="Style1"/>
      </w:pPr>
      <w:r w:rsidRPr="00B13F8F">
        <w:t>4.3</w:t>
      </w:r>
      <w:r w:rsidRPr="00B13F8F">
        <w:tab/>
      </w:r>
      <w:proofErr w:type="spellStart"/>
      <w:r w:rsidRPr="00B13F8F">
        <w:t>Farmakokinetika</w:t>
      </w:r>
      <w:proofErr w:type="spellEnd"/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Perorálne podaný </w:t>
      </w:r>
      <w:proofErr w:type="spellStart"/>
      <w:r w:rsidRPr="00B13F8F">
        <w:rPr>
          <w:szCs w:val="22"/>
        </w:rPr>
        <w:t>salicyl</w:t>
      </w:r>
      <w:r w:rsidR="006F53BE" w:rsidRPr="00B13F8F">
        <w:rPr>
          <w:szCs w:val="22"/>
        </w:rPr>
        <w:t>át</w:t>
      </w:r>
      <w:proofErr w:type="spellEnd"/>
      <w:r w:rsidRPr="00B13F8F">
        <w:rPr>
          <w:szCs w:val="22"/>
        </w:rPr>
        <w:t xml:space="preserve"> sodný je rýchlo absorbovaný pasívnou difúziou, čiastočne zo žalúdka, no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najmä z prednej časti tenkého čreva. </w:t>
      </w:r>
      <w:proofErr w:type="spellStart"/>
      <w:r w:rsidRPr="00B13F8F">
        <w:rPr>
          <w:szCs w:val="22"/>
        </w:rPr>
        <w:t>Salicyl</w:t>
      </w:r>
      <w:r w:rsidR="006F53BE" w:rsidRPr="00B13F8F">
        <w:rPr>
          <w:szCs w:val="22"/>
        </w:rPr>
        <w:t>át</w:t>
      </w:r>
      <w:proofErr w:type="spellEnd"/>
      <w:r w:rsidRPr="00B13F8F">
        <w:rPr>
          <w:szCs w:val="22"/>
        </w:rPr>
        <w:t xml:space="preserve"> sodný sa veľmi dobre distribuuje do rôznych tkanív.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Hodnoty distribučného objemu (</w:t>
      </w:r>
      <w:proofErr w:type="spellStart"/>
      <w:r w:rsidRPr="00B13F8F">
        <w:rPr>
          <w:szCs w:val="22"/>
        </w:rPr>
        <w:t>Vd</w:t>
      </w:r>
      <w:proofErr w:type="spellEnd"/>
      <w:r w:rsidRPr="00B13F8F">
        <w:rPr>
          <w:szCs w:val="22"/>
        </w:rPr>
        <w:t xml:space="preserve">) sú vyššie u novonarodených zvierat. Polčasy </w:t>
      </w:r>
      <w:r w:rsidR="00B736BA" w:rsidRPr="00B13F8F">
        <w:rPr>
          <w:szCs w:val="22"/>
        </w:rPr>
        <w:t xml:space="preserve">rozpadu </w:t>
      </w:r>
      <w:r w:rsidRPr="00B13F8F">
        <w:rPr>
          <w:szCs w:val="22"/>
        </w:rPr>
        <w:t>sú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u veľmi mladých zvierat dlhšie</w:t>
      </w:r>
      <w:r w:rsidR="00B736BA" w:rsidRPr="00B13F8F">
        <w:rPr>
          <w:szCs w:val="22"/>
        </w:rPr>
        <w:t>, čo vedie k </w:t>
      </w:r>
      <w:r w:rsidRPr="00B13F8F">
        <w:rPr>
          <w:szCs w:val="22"/>
        </w:rPr>
        <w:t>pomalš</w:t>
      </w:r>
      <w:r w:rsidR="00B736BA" w:rsidRPr="00B13F8F">
        <w:rPr>
          <w:szCs w:val="22"/>
        </w:rPr>
        <w:t xml:space="preserve">ej </w:t>
      </w:r>
      <w:r w:rsidRPr="00B13F8F">
        <w:rPr>
          <w:szCs w:val="22"/>
        </w:rPr>
        <w:t>elimináci</w:t>
      </w:r>
      <w:r w:rsidR="00B736BA" w:rsidRPr="00B13F8F">
        <w:rPr>
          <w:szCs w:val="22"/>
        </w:rPr>
        <w:t>i</w:t>
      </w:r>
      <w:r w:rsidRPr="00B13F8F">
        <w:rPr>
          <w:szCs w:val="22"/>
        </w:rPr>
        <w:t xml:space="preserve"> látky. To je najvýraznejšie u mláďat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vo veku od 7 – 14 dní. K metabolizmu dochádza najmä v </w:t>
      </w:r>
      <w:proofErr w:type="spellStart"/>
      <w:r w:rsidRPr="00B13F8F">
        <w:rPr>
          <w:szCs w:val="22"/>
        </w:rPr>
        <w:t>endoplazmatickom</w:t>
      </w:r>
      <w:proofErr w:type="spellEnd"/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retikule</w:t>
      </w:r>
      <w:proofErr w:type="spellEnd"/>
      <w:r w:rsidRPr="00B13F8F">
        <w:rPr>
          <w:szCs w:val="22"/>
        </w:rPr>
        <w:t xml:space="preserve"> a mitochondriách pečeňových buniek.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K vylúčeniu dochádza najmä močom a pH moču môže mať na vylučovanie významný účinok.</w:t>
      </w:r>
    </w:p>
    <w:p w:rsidR="00B919E7" w:rsidRPr="00B13F8F" w:rsidRDefault="006F53BE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Pri nízkom pH moču a zlej funkcii obličiek sa polčas predlžuje.</w:t>
      </w:r>
    </w:p>
    <w:p w:rsidR="006F53BE" w:rsidRPr="00B13F8F" w:rsidRDefault="006F53BE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5.</w:t>
      </w:r>
      <w:r w:rsidRPr="00B13F8F">
        <w:tab/>
        <w:t>FARMACEUTICKÉ INFORMÁCIE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5.1</w:t>
      </w:r>
      <w:r w:rsidRPr="00B13F8F">
        <w:tab/>
        <w:t>Závažné inkompatibility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Tento liek nemiešať s iným veterinárnym liekom.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5.2</w:t>
      </w:r>
      <w:r w:rsidRPr="00B13F8F">
        <w:tab/>
        <w:t>Čas použiteľnosti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Čas použiteľnosti veterinárneho lieku zabaleného v neporušenom obale: 3 roky.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Čas použiteľnosti po prvom otvorení vnútorného obalu: 3 mesiac</w:t>
      </w:r>
      <w:r w:rsidR="006F53BE" w:rsidRPr="00B13F8F">
        <w:rPr>
          <w:szCs w:val="22"/>
        </w:rPr>
        <w:t>e</w:t>
      </w:r>
      <w:r w:rsidRPr="00B13F8F">
        <w:rPr>
          <w:szCs w:val="22"/>
        </w:rPr>
        <w:t>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Čas použiteľnosti po rozpustení podľa návodu: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- v pitnej vode: 24 hodín.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- v mlieku (náhrade): 6 hodín.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5.3</w:t>
      </w:r>
      <w:r w:rsidRPr="00B13F8F">
        <w:tab/>
        <w:t>Osobitné upozornenia na uchovávanie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F53BE" w:rsidRPr="00B13F8F" w:rsidRDefault="006F53BE" w:rsidP="006F53B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Tento veterinárny liek nevyžaduje žiadne zvláštne teplotné podmienky na uchovávanie.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Uchovávať v pôvodnom obale aby bol chránený pred svetlom.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lastRenderedPageBreak/>
        <w:t>Medikovaná</w:t>
      </w:r>
      <w:proofErr w:type="spellEnd"/>
      <w:r w:rsidRPr="00B13F8F">
        <w:rPr>
          <w:szCs w:val="22"/>
        </w:rPr>
        <w:t xml:space="preserve"> pitná voda by mala byť chránená pred svetlom.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Liečivá náhradka mlieka nevyžaduje žiadne osobitné podmienky na uchovávanie.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5.4</w:t>
      </w:r>
      <w:r w:rsidRPr="00B13F8F">
        <w:tab/>
        <w:t>Charakter a zloženie vnútorného obalu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–</w:t>
      </w:r>
      <w:r w:rsidRPr="00B13F8F">
        <w:rPr>
          <w:szCs w:val="22"/>
        </w:rPr>
        <w:tab/>
        <w:t xml:space="preserve">Bezpečnostný obal: biela polypropylénová cylindrická nádoba s polyetylénovým vekom s nízkou hustotou. 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Bezpečnostný obal obsahuje 500 g alebo 1 kg lieku. 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–</w:t>
      </w:r>
      <w:r w:rsidRPr="00B13F8F">
        <w:rPr>
          <w:szCs w:val="22"/>
        </w:rPr>
        <w:tab/>
        <w:t xml:space="preserve">Vedro: biela polypropylénová štvorhranná nádoba s polypropylénovým vekom. 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Vedro obsahuje 1 kg, 2</w:t>
      </w:r>
      <w:r w:rsidR="006F53BE" w:rsidRPr="00B13F8F">
        <w:rPr>
          <w:szCs w:val="22"/>
        </w:rPr>
        <w:t>,</w:t>
      </w:r>
      <w:r w:rsidRPr="00B13F8F">
        <w:rPr>
          <w:szCs w:val="22"/>
        </w:rPr>
        <w:t>5 kg alebo 5 kg lieku.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Na trh nemusia byť uvedené všetky veľkosti balenia.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5.5</w:t>
      </w:r>
      <w:r w:rsidRPr="00B13F8F">
        <w:tab/>
        <w:t>Osobitné bezpečnostné opatrenia na zneškodňovanie nepoužitých veterinárnych liekov, prípadne odpadových materiálov vytvorených pri používaní týchto liekov.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rPr>
          <w:szCs w:val="22"/>
        </w:rPr>
      </w:pPr>
      <w:r w:rsidRPr="00B13F8F">
        <w:rPr>
          <w:szCs w:val="22"/>
        </w:rPr>
        <w:t xml:space="preserve"> Lieky sa nesmú likvidovať prostredníctvom odpadovej vody ani odpadu v domácnostiach.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6.</w:t>
      </w:r>
      <w:r w:rsidRPr="00B13F8F">
        <w:tab/>
        <w:t xml:space="preserve">NÁZOV DRŽITEĽA ROZHODNUTIA O REGISTRÁCII 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Dopharma</w:t>
      </w:r>
      <w:proofErr w:type="spellEnd"/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Research</w:t>
      </w:r>
      <w:proofErr w:type="spellEnd"/>
      <w:r w:rsidRPr="00B13F8F">
        <w:rPr>
          <w:szCs w:val="22"/>
        </w:rPr>
        <w:t xml:space="preserve"> B.V.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7.</w:t>
      </w:r>
      <w:r w:rsidRPr="00B13F8F">
        <w:tab/>
        <w:t>REGISTRAČNÉ ČÍSLO(A)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A12A99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96/031/DC/23-S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8.</w:t>
      </w:r>
      <w:r w:rsidRPr="00B13F8F">
        <w:tab/>
        <w:t>DÁTUM PRVEJ REGISTRÁCIE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Dátum prvej registrácie:</w:t>
      </w:r>
      <w:r w:rsidR="00C304A5">
        <w:rPr>
          <w:szCs w:val="22"/>
        </w:rPr>
        <w:t xml:space="preserve"> 16/11/2023</w:t>
      </w:r>
      <w:bookmarkStart w:id="1" w:name="_GoBack"/>
      <w:bookmarkEnd w:id="1"/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9.</w:t>
      </w:r>
      <w:r w:rsidRPr="00B13F8F">
        <w:tab/>
        <w:t>DÁTUM  POSLEDNEJ REVÍZIE SÚHRNU CHARAKTERISTICKÝCH VLASTNOSTÍ LIEKU</w:t>
      </w:r>
    </w:p>
    <w:p w:rsidR="00B919E7" w:rsidRPr="00B13F8F" w:rsidRDefault="00B919E7" w:rsidP="00B919E7">
      <w:pPr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t>10.</w:t>
      </w:r>
      <w:r w:rsidRPr="00B13F8F">
        <w:tab/>
        <w:t>KLASIFIKÁCIA VETERINÁRNEHO LIEKU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numPr>
          <w:ilvl w:val="12"/>
          <w:numId w:val="0"/>
        </w:numPr>
        <w:rPr>
          <w:szCs w:val="22"/>
        </w:rPr>
      </w:pPr>
      <w:r w:rsidRPr="00B13F8F">
        <w:rPr>
          <w:szCs w:val="22"/>
        </w:rPr>
        <w:t>Výdaj lieku je viazaný na veterinárny predpis.</w:t>
      </w:r>
    </w:p>
    <w:p w:rsidR="00B919E7" w:rsidRPr="00B13F8F" w:rsidRDefault="00B919E7" w:rsidP="00B919E7">
      <w:pPr>
        <w:ind w:right="-318"/>
        <w:rPr>
          <w:szCs w:val="22"/>
        </w:rPr>
      </w:pPr>
    </w:p>
    <w:p w:rsidR="00B919E7" w:rsidRPr="00B13F8F" w:rsidRDefault="00B919E7" w:rsidP="00B919E7">
      <w:pPr>
        <w:ind w:right="-318"/>
        <w:rPr>
          <w:szCs w:val="22"/>
        </w:rPr>
      </w:pPr>
      <w:bookmarkStart w:id="2" w:name="_Hlk73467306"/>
      <w:r w:rsidRPr="00B13F8F">
        <w:rPr>
          <w:szCs w:val="22"/>
        </w:rPr>
        <w:t>Podrobné informácie o veterinárnom lieku sú dostupné v databáze liekov Únie</w:t>
      </w:r>
    </w:p>
    <w:bookmarkEnd w:id="2"/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(</w:t>
      </w:r>
      <w:hyperlink r:id="rId8" w:history="1">
        <w:r w:rsidRPr="00B13F8F">
          <w:rPr>
            <w:rStyle w:val="Hypertextovprepojenie"/>
            <w:szCs w:val="22"/>
          </w:rPr>
          <w:t>https://medicines.health.europa.eu/veterinary</w:t>
        </w:r>
      </w:hyperlink>
      <w:r w:rsidRPr="00B13F8F">
        <w:rPr>
          <w:szCs w:val="22"/>
        </w:rPr>
        <w:t>).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919E7" w:rsidRPr="00B13F8F" w:rsidTr="006F53BE">
        <w:trPr>
          <w:trHeight w:val="97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7" w:rsidRPr="00B13F8F" w:rsidRDefault="00B919E7">
            <w:pPr>
              <w:rPr>
                <w:b/>
                <w:szCs w:val="22"/>
              </w:rPr>
            </w:pPr>
            <w:r w:rsidRPr="00B13F8F">
              <w:rPr>
                <w:b/>
                <w:szCs w:val="22"/>
              </w:rPr>
              <w:t>MINIMÁLNE ÚDAJE, KTORÉ MAJÚ BYŤ UVEDENÉ NA VNÚTORNOM OBALE</w:t>
            </w:r>
          </w:p>
          <w:p w:rsidR="00B919E7" w:rsidRPr="00B13F8F" w:rsidRDefault="00B919E7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szCs w:val="22"/>
              </w:rPr>
            </w:pPr>
          </w:p>
          <w:p w:rsidR="00B919E7" w:rsidRPr="00B13F8F" w:rsidRDefault="00B919E7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 w:rsidRPr="00B13F8F">
              <w:rPr>
                <w:b/>
                <w:szCs w:val="22"/>
              </w:rPr>
              <w:t>Bezpečnostný obal, vedro</w:t>
            </w:r>
          </w:p>
        </w:tc>
      </w:tr>
    </w:tbl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1.</w:t>
      </w:r>
      <w:r w:rsidRPr="00B13F8F">
        <w:tab/>
        <w:t>NÁZOV VETERINÁRNEHO LIEKU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Dophacyl</w:t>
      </w:r>
      <w:proofErr w:type="spellEnd"/>
      <w:r w:rsidRPr="00B13F8F">
        <w:rPr>
          <w:szCs w:val="22"/>
        </w:rPr>
        <w:t xml:space="preserve"> SB, 1000 mg/g, prášok na použitie v pitnej vode/mlieku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2.</w:t>
      </w:r>
      <w:r w:rsidRPr="00B13F8F">
        <w:tab/>
        <w:t>OBSAH ÚČINNÝCH LÁTOK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Salicyl</w:t>
      </w:r>
      <w:r w:rsidR="006F53BE" w:rsidRPr="00B13F8F">
        <w:rPr>
          <w:szCs w:val="22"/>
        </w:rPr>
        <w:t>át</w:t>
      </w:r>
      <w:proofErr w:type="spellEnd"/>
      <w:r w:rsidR="006F53BE" w:rsidRPr="00B13F8F">
        <w:rPr>
          <w:szCs w:val="22"/>
        </w:rPr>
        <w:t xml:space="preserve"> </w:t>
      </w:r>
      <w:r w:rsidRPr="00B13F8F">
        <w:rPr>
          <w:szCs w:val="22"/>
        </w:rPr>
        <w:t>sodný: 1 000 mg/g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(zodpovedá 863 mg/g kyseliny salicylovej)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3.</w:t>
      </w:r>
      <w:r w:rsidRPr="00B13F8F">
        <w:tab/>
        <w:t>VEĽKOSŤ BALENIA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rFonts w:eastAsia="SimSun"/>
          <w:szCs w:val="22"/>
          <w:lang w:eastAsia="en-GB"/>
        </w:rPr>
      </w:pPr>
      <w:r w:rsidRPr="00B13F8F">
        <w:rPr>
          <w:rFonts w:eastAsia="SimSun"/>
          <w:szCs w:val="22"/>
          <w:lang w:eastAsia="en-GB"/>
        </w:rPr>
        <w:t>500 g</w:t>
      </w:r>
      <w:r w:rsidRPr="00B13F8F">
        <w:rPr>
          <w:rFonts w:eastAsia="SimSun"/>
          <w:szCs w:val="22"/>
          <w:highlight w:val="lightGray"/>
          <w:lang w:eastAsia="en-GB"/>
        </w:rPr>
        <w:t>, 1 kg, 2</w:t>
      </w:r>
      <w:r w:rsidR="006F53BE" w:rsidRPr="00B13F8F">
        <w:rPr>
          <w:rFonts w:eastAsia="SimSun"/>
          <w:szCs w:val="22"/>
          <w:highlight w:val="lightGray"/>
          <w:lang w:eastAsia="en-GB"/>
        </w:rPr>
        <w:t>,</w:t>
      </w:r>
      <w:r w:rsidRPr="00B13F8F">
        <w:rPr>
          <w:rFonts w:eastAsia="SimSun"/>
          <w:szCs w:val="22"/>
          <w:highlight w:val="lightGray"/>
          <w:lang w:eastAsia="en-GB"/>
        </w:rPr>
        <w:t>5 kg, 5 kg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4.</w:t>
      </w:r>
      <w:r w:rsidRPr="00B13F8F">
        <w:tab/>
        <w:t>CIEĽOVÉ DRUHY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Hovädzí dobytok (teľatá) a ošípané.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5.</w:t>
      </w:r>
      <w:r w:rsidRPr="00B13F8F">
        <w:tab/>
        <w:t>INDIKÁCIE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6.</w:t>
      </w:r>
      <w:r w:rsidRPr="00B13F8F">
        <w:tab/>
        <w:t>CESTY PODANIA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V pitnej vode/mliek</w:t>
      </w:r>
      <w:r w:rsidR="006F53BE" w:rsidRPr="00B13F8F">
        <w:rPr>
          <w:szCs w:val="22"/>
        </w:rPr>
        <w:t>u</w:t>
      </w:r>
      <w:r w:rsidRPr="00B13F8F">
        <w:rPr>
          <w:szCs w:val="22"/>
        </w:rPr>
        <w:t>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7.</w:t>
      </w:r>
      <w:r w:rsidRPr="00B13F8F">
        <w:tab/>
        <w:t>OCHRANNÉ LEHOTY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Ochranná lehota:</w:t>
      </w:r>
    </w:p>
    <w:p w:rsidR="00B919E7" w:rsidRPr="00B13F8F" w:rsidRDefault="00B919E7" w:rsidP="00B919E7">
      <w:pPr>
        <w:rPr>
          <w:szCs w:val="22"/>
        </w:rPr>
      </w:pPr>
      <w:r w:rsidRPr="00B13F8F">
        <w:rPr>
          <w:szCs w:val="22"/>
        </w:rPr>
        <w:t>Hovädzí dobytok (teľatá) a ošípané: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Mäso a vnútornosti: 0 dní.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Nie je registrovaný na použitie u zvierat produkujúcich mlieko na ľudskú spotrebu.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8.</w:t>
      </w:r>
      <w:r w:rsidRPr="00B13F8F">
        <w:tab/>
        <w:t>DÁTUM EXSPIRÁCIE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Exp</w:t>
      </w:r>
      <w:proofErr w:type="spellEnd"/>
      <w:r w:rsidRPr="00B13F8F">
        <w:rPr>
          <w:szCs w:val="22"/>
        </w:rPr>
        <w:t>. {mesiac/rok}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Po prvom otvorení použiť do...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Po prvom otvorení použiť do 3 mesiacov.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Čas použiteľnosti po rozpustení podľa návodu: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- v pitnej vode: 24 hodín.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- v mlieku (náhrade): 6 hodín.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9.</w:t>
      </w:r>
      <w:r w:rsidRPr="00B13F8F">
        <w:tab/>
        <w:t>OSOBITNÉ PODMIENKY NA UCHOVÁVANIE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5"/>
      </w:pPr>
      <w:r w:rsidRPr="00B13F8F">
        <w:t>Uchovávať v pôvodnom obale aby bol chránený pred svetlom.</w:t>
      </w:r>
    </w:p>
    <w:p w:rsidR="00B919E7" w:rsidRPr="00B13F8F" w:rsidRDefault="00B919E7" w:rsidP="00B919E7">
      <w:pPr>
        <w:pStyle w:val="Style5"/>
      </w:pPr>
      <w:proofErr w:type="spellStart"/>
      <w:r w:rsidRPr="00B13F8F">
        <w:t>Medikovaná</w:t>
      </w:r>
      <w:proofErr w:type="spellEnd"/>
      <w:r w:rsidRPr="00B13F8F">
        <w:t xml:space="preserve"> pitná voda by mala byť chránená pred svetlom.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lastRenderedPageBreak/>
        <w:t>10.</w:t>
      </w:r>
      <w:r w:rsidRPr="00B13F8F">
        <w:tab/>
        <w:t>OZNAČENIE „PRED POUŽITÍM SI PREČÍTAJTE PÍSOMNÚ INFORMÁCIU PRE POUŽÍVATEĽOV“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Pred použitím si prečítajte písomnú informáciu pre používateľov.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11.</w:t>
      </w:r>
      <w:r w:rsidRPr="00B13F8F">
        <w:tab/>
        <w:t>OZNAČENIE „LEN PRE ZVIERATÁ“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Len pre zvieratá.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12.</w:t>
      </w:r>
      <w:r w:rsidRPr="00B13F8F">
        <w:tab/>
        <w:t>OZNAČENIE „UCHOVÁVAŤ MIMO DOHĽADU A DOSAHU DETÍ“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Uchovávať mimo dohľadu a dosahu detí.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13.</w:t>
      </w:r>
      <w:r w:rsidRPr="00B13F8F">
        <w:tab/>
        <w:t>NÁZOV DRŽITEĽA ROZHODNUTIA O REGISTRÁCII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Dopharma</w:t>
      </w:r>
      <w:proofErr w:type="spellEnd"/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Research</w:t>
      </w:r>
      <w:proofErr w:type="spellEnd"/>
      <w:r w:rsidRPr="00B13F8F">
        <w:rPr>
          <w:szCs w:val="22"/>
        </w:rPr>
        <w:t xml:space="preserve"> B.V.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14.</w:t>
      </w:r>
      <w:r w:rsidRPr="00B13F8F">
        <w:tab/>
        <w:t>REGISTRAČNÉ ČÍSLO (ČÍSLA)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12A99" w:rsidRPr="00B13F8F" w:rsidRDefault="00A12A99" w:rsidP="00A12A9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96/031/DC/23-S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2"/>
      </w:pPr>
      <w:r w:rsidRPr="00B13F8F">
        <w:t>15.</w:t>
      </w:r>
      <w:r w:rsidRPr="00B13F8F">
        <w:tab/>
        <w:t>ČÍSLO VÝROBNEJ ŠARŽE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Lot</w:t>
      </w:r>
      <w:proofErr w:type="spellEnd"/>
      <w:r w:rsidRPr="00B13F8F">
        <w:rPr>
          <w:szCs w:val="22"/>
        </w:rPr>
        <w:t xml:space="preserve"> {číslo}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br w:type="page"/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r w:rsidRPr="00B13F8F">
        <w:rPr>
          <w:b/>
          <w:szCs w:val="22"/>
        </w:rPr>
        <w:lastRenderedPageBreak/>
        <w:t>PÍSOMNÁ INFORMÁCIA PRE POUŽÍVATEĽOV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1.</w:t>
      </w:r>
      <w:r w:rsidRPr="00B13F8F">
        <w:tab/>
        <w:t>Názov veterinárneho lieku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Dophacyl</w:t>
      </w:r>
      <w:proofErr w:type="spellEnd"/>
      <w:r w:rsidRPr="00B13F8F">
        <w:rPr>
          <w:szCs w:val="22"/>
        </w:rPr>
        <w:t xml:space="preserve"> SB, 1000 mg/g, prášok na použitie v pitnej vode/mlieku pre hovädzí dobytok a ošípané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2.</w:t>
      </w:r>
      <w:r w:rsidRPr="00B13F8F">
        <w:tab/>
        <w:t>Zloženie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Salicyl</w:t>
      </w:r>
      <w:r w:rsidR="00D24C36" w:rsidRPr="00B13F8F">
        <w:rPr>
          <w:szCs w:val="22"/>
        </w:rPr>
        <w:t>át</w:t>
      </w:r>
      <w:proofErr w:type="spellEnd"/>
      <w:r w:rsidR="00D24C36" w:rsidRPr="00B13F8F">
        <w:rPr>
          <w:szCs w:val="22"/>
        </w:rPr>
        <w:t xml:space="preserve"> </w:t>
      </w:r>
      <w:r w:rsidRPr="00B13F8F">
        <w:rPr>
          <w:szCs w:val="22"/>
        </w:rPr>
        <w:t>sodný: 1 000 mg/g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(zodpovedá 863 mg/g kyseliny salicylovej)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Biely alebo takmer biely prášok.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3.</w:t>
      </w:r>
      <w:r w:rsidRPr="00B13F8F">
        <w:tab/>
        <w:t>Cieľové druhy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Hovädzí dobytok (teľatá) a ošípané.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4.</w:t>
      </w:r>
      <w:r w:rsidRPr="00B13F8F">
        <w:tab/>
        <w:t>Indikácie na použitie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Teľatá: podporná liečba horúčky pri akútnom ochorení dýchacích ciest – v prípade potreby v kombinácii s vhodnou (napr. </w:t>
      </w:r>
      <w:proofErr w:type="spellStart"/>
      <w:r w:rsidRPr="00B13F8F">
        <w:rPr>
          <w:szCs w:val="22"/>
        </w:rPr>
        <w:t>protiinfekčnou</w:t>
      </w:r>
      <w:proofErr w:type="spellEnd"/>
      <w:r w:rsidRPr="00B13F8F">
        <w:rPr>
          <w:szCs w:val="22"/>
        </w:rPr>
        <w:t>) terapiou.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 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Ošípané: 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-na liečbu zápalu v prípade potreby v kombinácii s vhodnou (napr. </w:t>
      </w:r>
      <w:proofErr w:type="spellStart"/>
      <w:r w:rsidRPr="00B13F8F">
        <w:rPr>
          <w:szCs w:val="22"/>
        </w:rPr>
        <w:t>protiinfekčnou</w:t>
      </w:r>
      <w:proofErr w:type="spellEnd"/>
      <w:r w:rsidRPr="00B13F8F">
        <w:rPr>
          <w:szCs w:val="22"/>
        </w:rPr>
        <w:t>) terapiou.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- na podporu obnovy dýchania a na zmiernenie kašľa pri infekciách dýchacích ciest v kombinácii so súbežnou antibiotickou liečbou.</w:t>
      </w:r>
    </w:p>
    <w:p w:rsidR="00D24C36" w:rsidRPr="00B13F8F" w:rsidRDefault="00D24C36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5.</w:t>
      </w:r>
      <w:r w:rsidRPr="00B13F8F">
        <w:tab/>
        <w:t>Kontraindikácie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v prípadoch precitlivenosti na účinnú látku.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Nepoužívať v prípade závažnej </w:t>
      </w:r>
      <w:proofErr w:type="spellStart"/>
      <w:r w:rsidRPr="00B13F8F">
        <w:rPr>
          <w:szCs w:val="22"/>
        </w:rPr>
        <w:t>hypoproteinémie</w:t>
      </w:r>
      <w:proofErr w:type="spellEnd"/>
      <w:r w:rsidRPr="00B13F8F">
        <w:rPr>
          <w:szCs w:val="22"/>
        </w:rPr>
        <w:t xml:space="preserve"> či poruchy pečene alebo obličiek.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u novonarodených teliat a u teliat do veku 2 týždňov.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u ciciakov do veku 4 týždňov.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Nepoužívať v prípade </w:t>
      </w:r>
      <w:proofErr w:type="spellStart"/>
      <w:r w:rsidRPr="00B13F8F">
        <w:rPr>
          <w:szCs w:val="22"/>
        </w:rPr>
        <w:t>gastrointestinálnej</w:t>
      </w:r>
      <w:proofErr w:type="spellEnd"/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ulcerácie</w:t>
      </w:r>
      <w:proofErr w:type="spellEnd"/>
      <w:r w:rsidRPr="00B13F8F">
        <w:rPr>
          <w:szCs w:val="22"/>
        </w:rPr>
        <w:t xml:space="preserve"> a chronických </w:t>
      </w:r>
      <w:proofErr w:type="spellStart"/>
      <w:r w:rsidRPr="00B13F8F">
        <w:rPr>
          <w:szCs w:val="22"/>
        </w:rPr>
        <w:t>gastrointestinálych</w:t>
      </w:r>
      <w:proofErr w:type="spellEnd"/>
      <w:r w:rsidRPr="00B13F8F">
        <w:rPr>
          <w:szCs w:val="22"/>
        </w:rPr>
        <w:t xml:space="preserve"> porúch.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Nepoužívať v prípade porúch krvotvorby, </w:t>
      </w:r>
      <w:proofErr w:type="spellStart"/>
      <w:r w:rsidRPr="00B13F8F">
        <w:rPr>
          <w:szCs w:val="22"/>
        </w:rPr>
        <w:t>koagulopatie</w:t>
      </w:r>
      <w:proofErr w:type="spellEnd"/>
      <w:r w:rsidRPr="00B13F8F">
        <w:rPr>
          <w:szCs w:val="22"/>
        </w:rPr>
        <w:t xml:space="preserve"> a </w:t>
      </w:r>
      <w:proofErr w:type="spellStart"/>
      <w:r w:rsidRPr="00B13F8F">
        <w:rPr>
          <w:szCs w:val="22"/>
        </w:rPr>
        <w:t>hemoragickej</w:t>
      </w:r>
      <w:proofErr w:type="spellEnd"/>
      <w:r w:rsidRPr="00B13F8F">
        <w:rPr>
          <w:szCs w:val="22"/>
        </w:rPr>
        <w:t xml:space="preserve"> diatézy.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6.</w:t>
      </w:r>
      <w:r w:rsidRPr="00B13F8F">
        <w:tab/>
        <w:t>Osobitné upozornenia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  <w:u w:val="single"/>
        </w:rPr>
        <w:t>Osobitné opatrenia na používanie u cieľových druhov</w:t>
      </w:r>
      <w:r w:rsidRPr="00B13F8F">
        <w:rPr>
          <w:szCs w:val="22"/>
        </w:rPr>
        <w:t>: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Vzhľadom na to, že </w:t>
      </w:r>
      <w:proofErr w:type="spellStart"/>
      <w:r w:rsidRPr="00B13F8F">
        <w:rPr>
          <w:szCs w:val="22"/>
        </w:rPr>
        <w:t>salicylát</w:t>
      </w:r>
      <w:proofErr w:type="spellEnd"/>
      <w:r w:rsidRPr="00B13F8F">
        <w:rPr>
          <w:szCs w:val="22"/>
        </w:rPr>
        <w:t xml:space="preserve"> sodný môže potláčať zrážanlivosť krvi, neodporúča sa vykonávať </w:t>
      </w:r>
      <w:proofErr w:type="spellStart"/>
      <w:r w:rsidRPr="00B13F8F">
        <w:rPr>
          <w:szCs w:val="22"/>
        </w:rPr>
        <w:t>elektívne</w:t>
      </w:r>
      <w:proofErr w:type="spellEnd"/>
      <w:r w:rsidRPr="00B13F8F">
        <w:rPr>
          <w:szCs w:val="22"/>
        </w:rPr>
        <w:t xml:space="preserve"> operácie na zvieratách do 7 dní od ukončenia liečby.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  <w:lang w:eastAsia="sv-SE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rFonts w:eastAsia="SimSun"/>
          <w:szCs w:val="22"/>
          <w:lang w:eastAsia="zh-CN"/>
        </w:rPr>
      </w:pPr>
      <w:r w:rsidRPr="00B13F8F">
        <w:rPr>
          <w:rFonts w:eastAsia="SimSun"/>
          <w:szCs w:val="22"/>
          <w:u w:val="single"/>
          <w:lang w:eastAsia="zh-CN"/>
        </w:rPr>
        <w:t>Osobitné opatrenia, ktoré má urobiť osoba podávajúca liek zvieratám: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Tento veterinárny liek môže spôsobiť reakcie z precitlivenosti. Osoby so známou precitlivenosťou (alergia) na </w:t>
      </w:r>
      <w:proofErr w:type="spellStart"/>
      <w:r w:rsidRPr="00B13F8F">
        <w:rPr>
          <w:szCs w:val="22"/>
        </w:rPr>
        <w:t>salicylát</w:t>
      </w:r>
      <w:proofErr w:type="spellEnd"/>
      <w:r w:rsidRPr="00B13F8F">
        <w:rPr>
          <w:szCs w:val="22"/>
        </w:rPr>
        <w:t xml:space="preserve"> sodný alebo príbuzné látky (napr. aspirín) by sa mali vyhnúť kontaktu s veterinárnym liekom. Ak sa po náhodnom kontakte objaví vyrážka, ihneď vyhľadajte lekársku pomoc a ukážte lekárovi písomnú informáciu pre používateľov alebo obal. Opuch tváre, pier alebo očí alebo ťažkosti s dýchaním sú závažnejšie príznaky, ktoré si vyžadujú okamžitú lekársku pomoc.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Tento veterinárny liek môže spôsobiť podráždenie kože, očí a dýchacích ciest. Je potrebné vyhnúť sa priamemu kontaktu s pokožkou a očami a vdýchnutiu prášku.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Pri manipulácii s veterinárnym liekom používajte osobné ochranné pomôcky skladajúce sa z ochranných rukavíc (napr. gumy alebo latexu), ochranných okuliarov a vhodnej prachovej masky (napr. jednorazového respirátora s </w:t>
      </w:r>
      <w:proofErr w:type="spellStart"/>
      <w:r w:rsidRPr="00B13F8F">
        <w:rPr>
          <w:szCs w:val="22"/>
        </w:rPr>
        <w:t>polomaskou</w:t>
      </w:r>
      <w:proofErr w:type="spellEnd"/>
      <w:r w:rsidRPr="00B13F8F">
        <w:rPr>
          <w:szCs w:val="22"/>
        </w:rPr>
        <w:t xml:space="preserve"> v súlade s európskou normou EN149).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V prípade náhodného kontaktu s pokožkou, exponované miesto umyť vodou. V prípade náhodného kontaktu s očami vyplachujte oči veľkým množstvom vody po dobu 15 minút a ak podráždenie pretrváva vyhľadajte lekársku pomoc.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Po použití si umyte ruky. </w:t>
      </w:r>
    </w:p>
    <w:p w:rsidR="00D24C36" w:rsidRPr="00B13F8F" w:rsidRDefault="00D24C36" w:rsidP="00D24C3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Počas manipulácie s veterinárnym liekom nefajčite, nejedzte ani nepite.</w:t>
      </w:r>
    </w:p>
    <w:p w:rsidR="00B919E7" w:rsidRPr="00B13F8F" w:rsidRDefault="00B919E7" w:rsidP="00B919E7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sv-SE"/>
        </w:rPr>
      </w:pPr>
      <w:r w:rsidRPr="00B13F8F">
        <w:rPr>
          <w:szCs w:val="22"/>
          <w:u w:val="single"/>
          <w:lang w:eastAsia="sv-SE"/>
        </w:rPr>
        <w:t>Gravidita a laktácia: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počas gravidity a laktácie.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Laboratórne štúdie u potkanov preukázali </w:t>
      </w:r>
      <w:proofErr w:type="spellStart"/>
      <w:r w:rsidRPr="00B13F8F">
        <w:rPr>
          <w:szCs w:val="22"/>
        </w:rPr>
        <w:t>teratogénne</w:t>
      </w:r>
      <w:proofErr w:type="spellEnd"/>
      <w:r w:rsidRPr="00B13F8F">
        <w:rPr>
          <w:szCs w:val="22"/>
        </w:rPr>
        <w:t xml:space="preserve"> a </w:t>
      </w:r>
      <w:proofErr w:type="spellStart"/>
      <w:r w:rsidRPr="00B13F8F">
        <w:rPr>
          <w:szCs w:val="22"/>
        </w:rPr>
        <w:t>fetotoxické</w:t>
      </w:r>
      <w:proofErr w:type="spellEnd"/>
      <w:r w:rsidRPr="00B13F8F">
        <w:rPr>
          <w:szCs w:val="22"/>
        </w:rPr>
        <w:t xml:space="preserve">  účinky.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Kyselina salicylová prechádza placentou a je vylučovaná mliekom. Polčas </w:t>
      </w:r>
      <w:r w:rsidR="00B736BA" w:rsidRPr="00B13F8F">
        <w:rPr>
          <w:szCs w:val="22"/>
        </w:rPr>
        <w:t xml:space="preserve">rozpadu </w:t>
      </w:r>
      <w:r w:rsidRPr="00B13F8F">
        <w:rPr>
          <w:szCs w:val="22"/>
        </w:rPr>
        <w:t>je u novorodených mláďat dlhší a tak sa môžu príznaky toxicity objaviť oveľa skôr. Okrem toho potláča zhlukovanie krvných doštičiek a predlžuje čas krvácania, čo nie je vhodné pri pôrode / cisárskom reze. V niektorých štúdiách sa uvádza, že pôrod je oneskorený.</w:t>
      </w:r>
    </w:p>
    <w:p w:rsidR="00B919E7" w:rsidRPr="00B13F8F" w:rsidRDefault="00B919E7" w:rsidP="00B919E7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rFonts w:eastAsia="SimSun"/>
          <w:szCs w:val="22"/>
          <w:lang w:eastAsia="zh-CN"/>
        </w:rPr>
      </w:pPr>
      <w:r w:rsidRPr="00B13F8F">
        <w:rPr>
          <w:rFonts w:eastAsia="SimSun"/>
          <w:szCs w:val="22"/>
          <w:u w:val="single"/>
          <w:lang w:eastAsia="zh-CN"/>
        </w:rPr>
        <w:t>Interakcie s inými liekmi a ďalšie formy interakcií</w:t>
      </w:r>
      <w:r w:rsidRPr="00B13F8F">
        <w:rPr>
          <w:rFonts w:eastAsia="SimSun"/>
          <w:szCs w:val="22"/>
          <w:lang w:eastAsia="zh-CN"/>
        </w:rPr>
        <w:t>: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Je potrebné vyhýbať sa súbežnému podávaniu potenciálne </w:t>
      </w:r>
      <w:proofErr w:type="spellStart"/>
      <w:r w:rsidRPr="00B13F8F">
        <w:rPr>
          <w:szCs w:val="22"/>
        </w:rPr>
        <w:t>nefrotoxických</w:t>
      </w:r>
      <w:proofErr w:type="spellEnd"/>
      <w:r w:rsidRPr="00B13F8F">
        <w:rPr>
          <w:szCs w:val="22"/>
        </w:rPr>
        <w:t xml:space="preserve"> liekov (napríklad </w:t>
      </w:r>
      <w:proofErr w:type="spellStart"/>
      <w:r w:rsidRPr="00B13F8F">
        <w:rPr>
          <w:szCs w:val="22"/>
        </w:rPr>
        <w:t>aminoglykozidov</w:t>
      </w:r>
      <w:proofErr w:type="spellEnd"/>
      <w:r w:rsidRPr="00B13F8F">
        <w:rPr>
          <w:szCs w:val="22"/>
        </w:rPr>
        <w:t>).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Kyselina salicylová sa pevne viaže na sérový albumín a súťaží s množstvom látok (napríklad </w:t>
      </w:r>
      <w:proofErr w:type="spellStart"/>
      <w:r w:rsidRPr="00B13F8F">
        <w:rPr>
          <w:szCs w:val="22"/>
        </w:rPr>
        <w:t>ketoprofénom</w:t>
      </w:r>
      <w:proofErr w:type="spellEnd"/>
      <w:r w:rsidRPr="00B13F8F">
        <w:rPr>
          <w:szCs w:val="22"/>
        </w:rPr>
        <w:t>) o väzbové miesta plazmatických bielkovín.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Zistilo sa, že plazmatický </w:t>
      </w:r>
      <w:proofErr w:type="spellStart"/>
      <w:r w:rsidRPr="00B13F8F">
        <w:rPr>
          <w:szCs w:val="22"/>
        </w:rPr>
        <w:t>klírens</w:t>
      </w:r>
      <w:proofErr w:type="spellEnd"/>
      <w:r w:rsidRPr="00B13F8F">
        <w:rPr>
          <w:szCs w:val="22"/>
        </w:rPr>
        <w:t xml:space="preserve"> kyseliny salicylovej sa zvyšuje v kombinácii s </w:t>
      </w:r>
      <w:proofErr w:type="spellStart"/>
      <w:r w:rsidRPr="00B13F8F">
        <w:rPr>
          <w:szCs w:val="22"/>
        </w:rPr>
        <w:t>kortikosteroidmi</w:t>
      </w:r>
      <w:proofErr w:type="spellEnd"/>
      <w:r w:rsidRPr="00B13F8F">
        <w:rPr>
          <w:szCs w:val="22"/>
        </w:rPr>
        <w:t xml:space="preserve"> pravdepodobne v dôsledku indukcie metabolizmu kyseliny salicylovej.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Neodporúča sa súčasné podávanie s inými </w:t>
      </w:r>
      <w:proofErr w:type="spellStart"/>
      <w:r w:rsidRPr="00B13F8F">
        <w:rPr>
          <w:szCs w:val="22"/>
        </w:rPr>
        <w:t>nesteroidovými</w:t>
      </w:r>
      <w:proofErr w:type="spellEnd"/>
      <w:r w:rsidRPr="00B13F8F">
        <w:rPr>
          <w:szCs w:val="22"/>
        </w:rPr>
        <w:t xml:space="preserve"> protizápalovými liekmi (NSAID) kvôli zvýšenému riziku </w:t>
      </w:r>
      <w:proofErr w:type="spellStart"/>
      <w:r w:rsidRPr="00B13F8F">
        <w:rPr>
          <w:szCs w:val="22"/>
        </w:rPr>
        <w:t>gastrointestinálnej</w:t>
      </w:r>
      <w:proofErr w:type="spellEnd"/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ulcerácie</w:t>
      </w:r>
      <w:proofErr w:type="spellEnd"/>
      <w:r w:rsidRPr="00B13F8F">
        <w:rPr>
          <w:szCs w:val="22"/>
        </w:rPr>
        <w:t>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Nepodávať v kombinácii s liekmi, ktoré ovplyvňujú zrážanie krvi.</w:t>
      </w:r>
    </w:p>
    <w:p w:rsidR="00AA19B1" w:rsidRPr="00B13F8F" w:rsidRDefault="00AA19B1" w:rsidP="00B919E7">
      <w:pPr>
        <w:tabs>
          <w:tab w:val="clear" w:pos="567"/>
          <w:tab w:val="left" w:pos="708"/>
        </w:tabs>
        <w:spacing w:line="240" w:lineRule="auto"/>
        <w:rPr>
          <w:rFonts w:eastAsia="SimSun"/>
          <w:szCs w:val="22"/>
          <w:lang w:eastAsia="zh-CN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rFonts w:eastAsia="SimSun"/>
          <w:szCs w:val="22"/>
          <w:lang w:eastAsia="zh-CN"/>
        </w:rPr>
      </w:pPr>
      <w:r w:rsidRPr="00B13F8F">
        <w:rPr>
          <w:rFonts w:eastAsia="SimSun"/>
          <w:szCs w:val="22"/>
          <w:u w:val="single"/>
          <w:lang w:eastAsia="zh-CN"/>
        </w:rPr>
        <w:t>Predávkovanie</w:t>
      </w:r>
      <w:r w:rsidRPr="00B13F8F">
        <w:rPr>
          <w:rFonts w:eastAsia="SimSun"/>
          <w:szCs w:val="22"/>
          <w:lang w:eastAsia="zh-CN"/>
        </w:rPr>
        <w:t>:</w:t>
      </w:r>
    </w:p>
    <w:p w:rsidR="00AA19B1" w:rsidRPr="00B13F8F" w:rsidRDefault="00AA19B1" w:rsidP="00AA19B1">
      <w:pPr>
        <w:pStyle w:val="Style1"/>
        <w:rPr>
          <w:b w:val="0"/>
        </w:rPr>
      </w:pPr>
      <w:r w:rsidRPr="00B13F8F">
        <w:rPr>
          <w:b w:val="0"/>
        </w:rPr>
        <w:t>Príznaky predávkovania možno pozorovať u teliat pri dávkach nad 80 mg/kg počas 5 dní alebo</w:t>
      </w:r>
    </w:p>
    <w:p w:rsidR="00AA19B1" w:rsidRPr="00B13F8F" w:rsidRDefault="00AA19B1" w:rsidP="00AA19B1">
      <w:pPr>
        <w:pStyle w:val="Style1"/>
        <w:rPr>
          <w:b w:val="0"/>
        </w:rPr>
      </w:pPr>
      <w:r w:rsidRPr="00B13F8F">
        <w:rPr>
          <w:b w:val="0"/>
        </w:rPr>
        <w:t>40 mg/kg počas 10 dní.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V prípade akútneho predávkovania vyvolá intravenózna infúzia bikarbonátu vyšší </w:t>
      </w:r>
      <w:proofErr w:type="spellStart"/>
      <w:r w:rsidRPr="00B13F8F">
        <w:rPr>
          <w:szCs w:val="22"/>
        </w:rPr>
        <w:t>klírens</w:t>
      </w:r>
      <w:proofErr w:type="spellEnd"/>
      <w:r w:rsidRPr="00B13F8F">
        <w:rPr>
          <w:szCs w:val="22"/>
        </w:rPr>
        <w:t xml:space="preserve"> kyseliny salicylovej </w:t>
      </w:r>
      <w:proofErr w:type="spellStart"/>
      <w:r w:rsidRPr="00B13F8F">
        <w:rPr>
          <w:szCs w:val="22"/>
        </w:rPr>
        <w:t>alkalizáciou</w:t>
      </w:r>
      <w:proofErr w:type="spellEnd"/>
      <w:r w:rsidRPr="00B13F8F">
        <w:rPr>
          <w:szCs w:val="22"/>
        </w:rPr>
        <w:t xml:space="preserve"> moču a môže byť prínosná pri korekcii (sekundárnej metabolickej) </w:t>
      </w:r>
      <w:proofErr w:type="spellStart"/>
      <w:r w:rsidRPr="00B13F8F">
        <w:rPr>
          <w:szCs w:val="22"/>
        </w:rPr>
        <w:t>acidózy</w:t>
      </w:r>
      <w:proofErr w:type="spellEnd"/>
      <w:r w:rsidRPr="00B13F8F">
        <w:rPr>
          <w:szCs w:val="22"/>
        </w:rPr>
        <w:t>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rFonts w:eastAsia="SimSun"/>
          <w:szCs w:val="22"/>
          <w:lang w:eastAsia="zh-CN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rFonts w:eastAsia="SimSun"/>
          <w:szCs w:val="22"/>
          <w:lang w:eastAsia="zh-CN"/>
        </w:rPr>
      </w:pPr>
      <w:r w:rsidRPr="00B13F8F">
        <w:rPr>
          <w:rFonts w:eastAsia="SimSun"/>
          <w:szCs w:val="22"/>
          <w:u w:val="single"/>
          <w:lang w:eastAsia="zh-CN"/>
        </w:rPr>
        <w:t>Závažné inkompatibility</w:t>
      </w:r>
      <w:r w:rsidRPr="00B13F8F">
        <w:rPr>
          <w:rFonts w:eastAsia="SimSun"/>
          <w:szCs w:val="22"/>
          <w:lang w:eastAsia="zh-CN"/>
        </w:rPr>
        <w:t>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  <w:lang w:eastAsia="sv-SE"/>
        </w:rPr>
      </w:pPr>
      <w:r w:rsidRPr="00B13F8F">
        <w:rPr>
          <w:szCs w:val="22"/>
          <w:lang w:eastAsia="sv-SE"/>
        </w:rPr>
        <w:t>Tento liek nemiešať s iným veterinárnym liekom.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7.</w:t>
      </w:r>
      <w:r w:rsidRPr="00B13F8F">
        <w:tab/>
        <w:t>Nežiaduce účinky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  <w:lang w:eastAsia="sv-SE"/>
        </w:rPr>
      </w:pPr>
    </w:p>
    <w:p w:rsidR="00B919E7" w:rsidRPr="00B13F8F" w:rsidRDefault="00B919E7" w:rsidP="00B919E7">
      <w:pPr>
        <w:rPr>
          <w:szCs w:val="22"/>
        </w:rPr>
      </w:pPr>
      <w:r w:rsidRPr="00B13F8F">
        <w:rPr>
          <w:szCs w:val="22"/>
        </w:rPr>
        <w:t>Hovädzí dobytok (teľatá) a ošípané:</w:t>
      </w:r>
    </w:p>
    <w:p w:rsidR="00AA19B1" w:rsidRPr="00B13F8F" w:rsidRDefault="00AA19B1" w:rsidP="00AA19B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AA19B1" w:rsidRPr="00B13F8F" w:rsidTr="00AA19B1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1" w:rsidRPr="00B13F8F" w:rsidRDefault="00AA19B1" w:rsidP="00AA19B1">
            <w:pPr>
              <w:spacing w:before="60" w:after="60"/>
              <w:rPr>
                <w:szCs w:val="22"/>
              </w:rPr>
            </w:pPr>
            <w:r w:rsidRPr="00B13F8F">
              <w:rPr>
                <w:szCs w:val="22"/>
              </w:rPr>
              <w:t>Neznáme (frekvenciu nemožno odhadnúť z dostupných údajov):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9B1" w:rsidRPr="00B13F8F" w:rsidRDefault="00AA19B1" w:rsidP="00AA19B1">
            <w:pPr>
              <w:spacing w:before="60" w:after="60"/>
              <w:rPr>
                <w:szCs w:val="22"/>
              </w:rPr>
            </w:pPr>
            <w:r w:rsidRPr="00B13F8F">
              <w:rPr>
                <w:szCs w:val="22"/>
              </w:rPr>
              <w:t>Porucha tráviaceho traktu</w:t>
            </w:r>
            <w:r w:rsidRPr="00B13F8F">
              <w:rPr>
                <w:szCs w:val="22"/>
                <w:vertAlign w:val="superscript"/>
              </w:rPr>
              <w:t>1</w:t>
            </w:r>
          </w:p>
          <w:p w:rsidR="00AA19B1" w:rsidRPr="00B13F8F" w:rsidRDefault="00AA19B1" w:rsidP="00AA19B1">
            <w:pPr>
              <w:spacing w:before="60" w:after="60"/>
              <w:rPr>
                <w:iCs/>
                <w:szCs w:val="22"/>
              </w:rPr>
            </w:pPr>
            <w:r w:rsidRPr="00B13F8F">
              <w:rPr>
                <w:szCs w:val="22"/>
              </w:rPr>
              <w:t>Predĺžené krvácanie</w:t>
            </w:r>
            <w:r w:rsidRPr="00B13F8F">
              <w:rPr>
                <w:szCs w:val="22"/>
                <w:vertAlign w:val="superscript"/>
              </w:rPr>
              <w:t>2</w:t>
            </w:r>
          </w:p>
        </w:tc>
      </w:tr>
    </w:tbl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  <w:vertAlign w:val="superscript"/>
        </w:rPr>
      </w:pPr>
      <w:r w:rsidRPr="00B13F8F">
        <w:rPr>
          <w:szCs w:val="22"/>
          <w:vertAlign w:val="superscript"/>
        </w:rPr>
        <w:t>1</w:t>
      </w:r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Gastrointestinálne</w:t>
      </w:r>
      <w:proofErr w:type="spellEnd"/>
      <w:r w:rsidRPr="00B13F8F">
        <w:rPr>
          <w:szCs w:val="22"/>
        </w:rPr>
        <w:t xml:space="preserve"> podráždenie,  najmä u zvierat, ktoré prekonali </w:t>
      </w:r>
      <w:proofErr w:type="spellStart"/>
      <w:r w:rsidRPr="00B13F8F">
        <w:rPr>
          <w:szCs w:val="22"/>
        </w:rPr>
        <w:t>gastrointestinálne</w:t>
      </w:r>
      <w:proofErr w:type="spellEnd"/>
      <w:r w:rsidRPr="00B13F8F">
        <w:rPr>
          <w:szCs w:val="22"/>
        </w:rPr>
        <w:t xml:space="preserve"> ochorenie.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  <w:vertAlign w:val="superscript"/>
        </w:rPr>
        <w:t>2</w:t>
      </w:r>
      <w:r w:rsidRPr="00B13F8F">
        <w:rPr>
          <w:szCs w:val="22"/>
        </w:rPr>
        <w:t xml:space="preserve"> Zvratná inhibícia normálnej zrážanlivosti krvi, efekt ustúpi približne o 7 dní.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B919E7" w:rsidRPr="00B13F8F" w:rsidRDefault="00B919E7" w:rsidP="00B919E7">
      <w:pPr>
        <w:rPr>
          <w:szCs w:val="22"/>
        </w:rPr>
      </w:pPr>
      <w:r w:rsidRPr="00B13F8F">
        <w:rPr>
          <w:szCs w:val="22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AA19B1" w:rsidRPr="00B13F8F" w:rsidRDefault="00AA19B1" w:rsidP="00B919E7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lastRenderedPageBreak/>
        <w:t>8.</w:t>
      </w:r>
      <w:r w:rsidRPr="00B13F8F">
        <w:tab/>
        <w:t>Dávkovanie pre každý druh, cesty a spôsob podania lieku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Podanie v pitnej vode/mlieku.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Teľatá:</w:t>
      </w:r>
      <w:r w:rsidRPr="00B13F8F">
        <w:rPr>
          <w:szCs w:val="22"/>
        </w:rPr>
        <w:tab/>
        <w:t xml:space="preserve"> 40 mg </w:t>
      </w:r>
      <w:proofErr w:type="spellStart"/>
      <w:r w:rsidRPr="00B13F8F">
        <w:rPr>
          <w:szCs w:val="22"/>
        </w:rPr>
        <w:t>salicylátu</w:t>
      </w:r>
      <w:proofErr w:type="spellEnd"/>
      <w:r w:rsidRPr="00B13F8F">
        <w:rPr>
          <w:szCs w:val="22"/>
        </w:rPr>
        <w:t xml:space="preserve"> sodného na kilogram živej hmotnosti raz denne, po dobu 1 až 3 dní.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Ošípané: 35 mg </w:t>
      </w:r>
      <w:proofErr w:type="spellStart"/>
      <w:r w:rsidRPr="00B13F8F">
        <w:rPr>
          <w:szCs w:val="22"/>
        </w:rPr>
        <w:t>salicylátu</w:t>
      </w:r>
      <w:proofErr w:type="spellEnd"/>
      <w:r w:rsidRPr="00B13F8F">
        <w:rPr>
          <w:szCs w:val="22"/>
        </w:rPr>
        <w:t xml:space="preserve"> sodného na kilogram živej hmotnosti/deň po dobu 3 až 5 dní.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9.</w:t>
      </w:r>
      <w:r w:rsidRPr="00B13F8F">
        <w:tab/>
        <w:t>Pokyn o správnom podaní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Aby sa zabezpečilo správne dávkovanie, živá hmotnosť by sa mala stanoviť čo najpresnejšie.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Príjem </w:t>
      </w:r>
      <w:proofErr w:type="spellStart"/>
      <w:r w:rsidRPr="00B13F8F">
        <w:rPr>
          <w:szCs w:val="22"/>
        </w:rPr>
        <w:t>medikovanej</w:t>
      </w:r>
      <w:proofErr w:type="spellEnd"/>
      <w:r w:rsidRPr="00B13F8F">
        <w:rPr>
          <w:szCs w:val="22"/>
        </w:rPr>
        <w:t xml:space="preserve"> vody/mliečnej náhrady závisí od klinického stavu zvierat. Na dosiahnutie správneho dávkovania môže byť potrebné primerane upraviť koncentráciu </w:t>
      </w:r>
      <w:proofErr w:type="spellStart"/>
      <w:r w:rsidRPr="00B13F8F">
        <w:rPr>
          <w:szCs w:val="22"/>
        </w:rPr>
        <w:t>salicylátu</w:t>
      </w:r>
      <w:proofErr w:type="spellEnd"/>
      <w:r w:rsidRPr="00B13F8F">
        <w:rPr>
          <w:szCs w:val="22"/>
        </w:rPr>
        <w:t xml:space="preserve"> sodného. 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Odporúča sa použitie vhodných kalibrovaných meracích prostriedkov.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Na základe odporúčanej dávky a počtu a hmotnosti liečených zvierat je potrebné vypočítať presnú dennú koncentráciu veterinárneho lieku podľa nasledujúceho vzorca:</w:t>
      </w:r>
    </w:p>
    <w:tbl>
      <w:tblPr>
        <w:tblStyle w:val="TableNormal1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3019"/>
        <w:gridCol w:w="589"/>
        <w:gridCol w:w="2851"/>
        <w:gridCol w:w="2206"/>
      </w:tblGrid>
      <w:tr w:rsidR="00AA19B1" w:rsidTr="00AA19B1">
        <w:trPr>
          <w:trHeight w:val="1236"/>
        </w:trPr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A19B1" w:rsidRDefault="00AA19B1" w:rsidP="00AA19B1">
            <w:pPr>
              <w:tabs>
                <w:tab w:val="left" w:leader="dot" w:pos="347"/>
              </w:tabs>
              <w:spacing w:line="247" w:lineRule="exact"/>
              <w:ind w:left="71"/>
              <w:rPr>
                <w:spacing w:val="-10"/>
              </w:rPr>
            </w:pPr>
          </w:p>
          <w:p w:rsidR="00AA19B1" w:rsidRDefault="00AA19B1" w:rsidP="00AA19B1">
            <w:pPr>
              <w:tabs>
                <w:tab w:val="left" w:leader="dot" w:pos="347"/>
              </w:tabs>
              <w:spacing w:line="247" w:lineRule="exact"/>
              <w:ind w:left="71"/>
              <w:rPr>
                <w:spacing w:val="-10"/>
              </w:rPr>
            </w:pPr>
          </w:p>
          <w:p w:rsidR="00AA19B1" w:rsidRDefault="00AA19B1" w:rsidP="00AA19B1">
            <w:pPr>
              <w:tabs>
                <w:tab w:val="left" w:leader="dot" w:pos="347"/>
              </w:tabs>
              <w:spacing w:line="247" w:lineRule="exact"/>
              <w:ind w:left="71"/>
              <w:rPr>
                <w:sz w:val="20"/>
              </w:rPr>
            </w:pPr>
            <w:r>
              <w:rPr>
                <w:spacing w:val="-10"/>
              </w:rPr>
              <w:t>.</w:t>
            </w:r>
            <w:r>
              <w:tab/>
              <w:t xml:space="preserve">mg </w:t>
            </w:r>
            <w:proofErr w:type="spellStart"/>
            <w:r>
              <w:t>veterinárny</w:t>
            </w:r>
            <w:proofErr w:type="spellEnd"/>
            <w:r>
              <w:t xml:space="preserve"> </w:t>
            </w:r>
            <w:proofErr w:type="spellStart"/>
            <w:r>
              <w:t>lieku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/kg</w:t>
            </w:r>
          </w:p>
          <w:p w:rsidR="00AA19B1" w:rsidRDefault="00AA19B1" w:rsidP="00AA19B1">
            <w:pPr>
              <w:tabs>
                <w:tab w:val="clear" w:pos="567"/>
                <w:tab w:val="left" w:pos="708"/>
              </w:tabs>
              <w:spacing w:line="240" w:lineRule="auto"/>
              <w:ind w:left="237"/>
              <w:rPr>
                <w:spacing w:val="-2"/>
              </w:rPr>
            </w:pPr>
            <w:proofErr w:type="spellStart"/>
            <w:r>
              <w:t>živej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hmotnosti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deň</w:t>
            </w:r>
            <w:proofErr w:type="spellEnd"/>
          </w:p>
          <w:p w:rsidR="00AA19B1" w:rsidRDefault="00AA19B1" w:rsidP="00AA19B1">
            <w:pPr>
              <w:tabs>
                <w:tab w:val="clear" w:pos="567"/>
                <w:tab w:val="left" w:pos="708"/>
              </w:tabs>
              <w:spacing w:line="240" w:lineRule="auto"/>
              <w:ind w:left="237"/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A19B1" w:rsidRDefault="00AA19B1" w:rsidP="00AA19B1">
            <w:pPr>
              <w:tabs>
                <w:tab w:val="clear" w:pos="567"/>
                <w:tab w:val="left" w:pos="708"/>
              </w:tabs>
              <w:spacing w:before="8" w:line="240" w:lineRule="auto"/>
              <w:rPr>
                <w:sz w:val="24"/>
              </w:rPr>
            </w:pPr>
          </w:p>
          <w:p w:rsidR="00AA19B1" w:rsidRDefault="00AA19B1" w:rsidP="00AA19B1">
            <w:pPr>
              <w:tabs>
                <w:tab w:val="clear" w:pos="567"/>
                <w:tab w:val="left" w:pos="708"/>
              </w:tabs>
              <w:spacing w:line="240" w:lineRule="auto"/>
              <w:ind w:right="83"/>
              <w:jc w:val="right"/>
            </w:pPr>
          </w:p>
          <w:p w:rsidR="00AA19B1" w:rsidRDefault="00AA19B1" w:rsidP="00AA19B1">
            <w:pPr>
              <w:tabs>
                <w:tab w:val="clear" w:pos="567"/>
                <w:tab w:val="left" w:pos="708"/>
              </w:tabs>
              <w:spacing w:line="240" w:lineRule="auto"/>
              <w:ind w:right="83"/>
              <w:jc w:val="right"/>
            </w:pPr>
            <w:r>
              <w:t>x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A19B1" w:rsidRDefault="00AA19B1" w:rsidP="00AA19B1">
            <w:pPr>
              <w:tabs>
                <w:tab w:val="clear" w:pos="567"/>
                <w:tab w:val="left" w:pos="708"/>
              </w:tabs>
              <w:spacing w:line="276" w:lineRule="auto"/>
              <w:ind w:left="87"/>
            </w:pPr>
          </w:p>
          <w:p w:rsidR="00AA19B1" w:rsidRDefault="00AA19B1" w:rsidP="00AA19B1">
            <w:pPr>
              <w:tabs>
                <w:tab w:val="clear" w:pos="567"/>
                <w:tab w:val="left" w:pos="708"/>
              </w:tabs>
              <w:spacing w:line="276" w:lineRule="auto"/>
              <w:ind w:left="87"/>
            </w:pPr>
          </w:p>
          <w:p w:rsidR="00AA19B1" w:rsidRDefault="00AA19B1" w:rsidP="00AA19B1">
            <w:pPr>
              <w:tabs>
                <w:tab w:val="clear" w:pos="567"/>
                <w:tab w:val="left" w:pos="708"/>
              </w:tabs>
              <w:spacing w:line="276" w:lineRule="auto"/>
              <w:ind w:left="87"/>
            </w:pPr>
            <w:proofErr w:type="spellStart"/>
            <w:r>
              <w:t>priemerná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živá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hmotnosť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(kg) </w:t>
            </w:r>
            <w:proofErr w:type="spellStart"/>
            <w:r>
              <w:t>zvierat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majú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liečené</w:t>
            </w:r>
            <w:proofErr w:type="spellEnd"/>
          </w:p>
        </w:tc>
        <w:tc>
          <w:tcPr>
            <w:tcW w:w="2206" w:type="dxa"/>
          </w:tcPr>
          <w:p w:rsidR="00AA19B1" w:rsidRDefault="00AA19B1" w:rsidP="00AA19B1">
            <w:pPr>
              <w:tabs>
                <w:tab w:val="clear" w:pos="567"/>
                <w:tab w:val="left" w:pos="708"/>
              </w:tabs>
              <w:spacing w:before="5" w:line="240" w:lineRule="auto"/>
              <w:rPr>
                <w:sz w:val="24"/>
                <w:lang w:val="nl-NL"/>
              </w:rPr>
            </w:pPr>
          </w:p>
          <w:p w:rsidR="00AA19B1" w:rsidRDefault="00AA19B1" w:rsidP="00AA19B1">
            <w:pPr>
              <w:tabs>
                <w:tab w:val="clear" w:pos="567"/>
                <w:tab w:val="left" w:pos="708"/>
              </w:tabs>
              <w:spacing w:before="43" w:line="240" w:lineRule="auto"/>
              <w:ind w:left="30"/>
              <w:rPr>
                <w:lang w:val="nl-NL"/>
              </w:rPr>
            </w:pPr>
          </w:p>
        </w:tc>
      </w:tr>
      <w:tr w:rsidR="00AA19B1" w:rsidTr="00AA19B1">
        <w:trPr>
          <w:trHeight w:val="70"/>
        </w:trPr>
        <w:tc>
          <w:tcPr>
            <w:tcW w:w="64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A19B1" w:rsidRDefault="00AA19B1" w:rsidP="00AA19B1">
            <w:pPr>
              <w:tabs>
                <w:tab w:val="clear" w:pos="567"/>
                <w:tab w:val="left" w:pos="708"/>
              </w:tabs>
              <w:spacing w:line="232" w:lineRule="exact"/>
              <w:ind w:left="71"/>
              <w:rPr>
                <w:lang w:val="nl-NL"/>
              </w:rPr>
            </w:pPr>
          </w:p>
          <w:p w:rsidR="00AA19B1" w:rsidRDefault="00AA19B1" w:rsidP="00AA19B1">
            <w:pPr>
              <w:tabs>
                <w:tab w:val="clear" w:pos="567"/>
                <w:tab w:val="left" w:pos="708"/>
              </w:tabs>
              <w:spacing w:line="232" w:lineRule="exact"/>
              <w:ind w:left="71"/>
              <w:rPr>
                <w:lang w:val="pt-PT"/>
              </w:rPr>
            </w:pPr>
            <w:r>
              <w:rPr>
                <w:lang w:val="pt-PT"/>
              </w:rPr>
              <w:t>priemerná</w:t>
            </w:r>
            <w:r>
              <w:rPr>
                <w:spacing w:val="-5"/>
                <w:lang w:val="pt-PT"/>
              </w:rPr>
              <w:t xml:space="preserve"> </w:t>
            </w:r>
            <w:r>
              <w:rPr>
                <w:lang w:val="pt-PT"/>
              </w:rPr>
              <w:t>denná</w:t>
            </w:r>
            <w:r>
              <w:rPr>
                <w:spacing w:val="-2"/>
                <w:lang w:val="pt-PT"/>
              </w:rPr>
              <w:t xml:space="preserve"> </w:t>
            </w:r>
            <w:r>
              <w:rPr>
                <w:lang w:val="pt-PT"/>
              </w:rPr>
              <w:t>spotreba</w:t>
            </w:r>
            <w:r>
              <w:rPr>
                <w:spacing w:val="-2"/>
                <w:lang w:val="pt-PT"/>
              </w:rPr>
              <w:t xml:space="preserve"> </w:t>
            </w:r>
            <w:r>
              <w:rPr>
                <w:lang w:val="pt-PT"/>
              </w:rPr>
              <w:t>vody</w:t>
            </w:r>
            <w:r>
              <w:rPr>
                <w:spacing w:val="-5"/>
                <w:lang w:val="pt-PT"/>
              </w:rPr>
              <w:t xml:space="preserve"> </w:t>
            </w:r>
            <w:r>
              <w:rPr>
                <w:lang w:val="pt-PT"/>
              </w:rPr>
              <w:t>/</w:t>
            </w:r>
            <w:r>
              <w:rPr>
                <w:spacing w:val="-1"/>
                <w:lang w:val="pt-PT"/>
              </w:rPr>
              <w:t xml:space="preserve"> </w:t>
            </w:r>
            <w:r>
              <w:rPr>
                <w:lang w:val="pt-PT"/>
              </w:rPr>
              <w:t>mlieka</w:t>
            </w:r>
            <w:r>
              <w:rPr>
                <w:spacing w:val="-2"/>
                <w:lang w:val="pt-PT"/>
              </w:rPr>
              <w:t xml:space="preserve"> </w:t>
            </w:r>
            <w:r>
              <w:rPr>
                <w:lang w:val="pt-PT"/>
              </w:rPr>
              <w:t>(l)</w:t>
            </w:r>
            <w:r>
              <w:rPr>
                <w:spacing w:val="-4"/>
                <w:lang w:val="pt-PT"/>
              </w:rPr>
              <w:t xml:space="preserve"> </w:t>
            </w:r>
            <w:r>
              <w:rPr>
                <w:lang w:val="pt-PT"/>
              </w:rPr>
              <w:t>na</w:t>
            </w:r>
            <w:r>
              <w:rPr>
                <w:spacing w:val="-2"/>
                <w:lang w:val="pt-PT"/>
              </w:rPr>
              <w:t xml:space="preserve"> zviera   </w:t>
            </w:r>
          </w:p>
        </w:tc>
        <w:tc>
          <w:tcPr>
            <w:tcW w:w="2206" w:type="dxa"/>
          </w:tcPr>
          <w:p w:rsidR="00AA19B1" w:rsidRDefault="00AA19B1" w:rsidP="00AA19B1">
            <w:pPr>
              <w:tabs>
                <w:tab w:val="left" w:leader="dot" w:pos="477"/>
              </w:tabs>
              <w:spacing w:line="240" w:lineRule="auto"/>
              <w:ind w:left="21"/>
              <w:jc w:val="center"/>
              <w:rPr>
                <w:lang w:val="nl-NL"/>
              </w:rPr>
            </w:pPr>
            <w:r>
              <w:rPr>
                <w:spacing w:val="-10"/>
                <w:lang w:val="nl-NL"/>
              </w:rPr>
              <w:t xml:space="preserve"> = </w:t>
            </w:r>
            <w:r>
              <w:rPr>
                <w:lang w:val="nl-NL"/>
              </w:rPr>
              <w:tab/>
              <w:t>mg</w:t>
            </w:r>
            <w:r>
              <w:rPr>
                <w:spacing w:val="-5"/>
                <w:lang w:val="nl-NL"/>
              </w:rPr>
              <w:t xml:space="preserve"> </w:t>
            </w:r>
            <w:r>
              <w:rPr>
                <w:lang w:val="nl-NL"/>
              </w:rPr>
              <w:t>veterinárneho lieku</w:t>
            </w:r>
            <w:r>
              <w:rPr>
                <w:spacing w:val="-2"/>
                <w:lang w:val="nl-NL"/>
              </w:rPr>
              <w:t xml:space="preserve">  </w:t>
            </w:r>
            <w:r>
              <w:rPr>
                <w:lang w:val="nl-NL"/>
              </w:rPr>
              <w:t>na</w:t>
            </w:r>
            <w:r>
              <w:rPr>
                <w:spacing w:val="-3"/>
                <w:lang w:val="nl-NL"/>
              </w:rPr>
              <w:t xml:space="preserve"> 1 liter</w:t>
            </w:r>
          </w:p>
          <w:p w:rsidR="00AA19B1" w:rsidRDefault="00AA19B1" w:rsidP="00AA19B1">
            <w:pPr>
              <w:tabs>
                <w:tab w:val="clear" w:pos="567"/>
                <w:tab w:val="left" w:pos="708"/>
              </w:tabs>
              <w:spacing w:line="240" w:lineRule="auto"/>
              <w:rPr>
                <w:sz w:val="18"/>
                <w:lang w:val="pt-PT"/>
              </w:rPr>
            </w:pPr>
            <w:r>
              <w:rPr>
                <w:lang w:val="nl-NL"/>
              </w:rPr>
              <w:t xml:space="preserve">      pitnej</w:t>
            </w:r>
            <w:r>
              <w:rPr>
                <w:spacing w:val="-2"/>
                <w:lang w:val="nl-NL"/>
              </w:rPr>
              <w:t xml:space="preserve"> </w:t>
            </w:r>
            <w:r>
              <w:rPr>
                <w:lang w:val="nl-NL"/>
              </w:rPr>
              <w:t>vody</w:t>
            </w:r>
            <w:r>
              <w:rPr>
                <w:spacing w:val="-4"/>
                <w:lang w:val="nl-NL"/>
              </w:rPr>
              <w:t xml:space="preserve"> </w:t>
            </w:r>
            <w:r>
              <w:rPr>
                <w:lang w:val="nl-NL"/>
              </w:rPr>
              <w:t>/</w:t>
            </w:r>
            <w:r>
              <w:rPr>
                <w:spacing w:val="-1"/>
                <w:lang w:val="nl-NL"/>
              </w:rPr>
              <w:t xml:space="preserve"> </w:t>
            </w:r>
            <w:r>
              <w:rPr>
                <w:spacing w:val="-2"/>
                <w:lang w:val="nl-NL"/>
              </w:rPr>
              <w:t>mlieka</w:t>
            </w:r>
          </w:p>
        </w:tc>
      </w:tr>
    </w:tbl>
    <w:p w:rsidR="00AA19B1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Maximálna rozpustnosť lieku testovaného v náhradke mlieka pri 65 °C je 10 g/l. Mliečna náhrada by mala byť pripravená pred pridaním lieku. Roztok by sa mal miešať 5 minút.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mliečna náhrada by sa mala spotrebovať do 6 hodín po príprave.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Maximálna rozpustnosť lieku vo vode (mäkká/tvrdá) pri 4 ºC/20 ºC je 250 g/l.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Pri zásobných roztokoch a pri použití dávkovača dbajte na to, aby ste neprekročili maximálnu rozpustnosť, ktorú je možné za daných podmienok dosiahnuť. Upravte nastavenie prietoku dávkovacieho čerpadla podľa koncentrácie zásobného roztoku a príjmu vody zvierat, ktoré majú byť ošetrené.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pitná voda by mala byť čerstvo pripravená každých 24 hodín.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Počas liečby sa má v častých intervaloch monitorovať príjem vody.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pitná voda by mala byť jediným zdrojom pitnej vody počas trvania liečby. Akákoľvek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pitná voda, ktorá sa nespotrebuje do 24 hodín, sa má zlikvidovať.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Po skončení obdobia liečby sa má systém prívodu vody vhodne vyčistiť, aby sa zabránilo príjmu </w:t>
      </w:r>
      <w:proofErr w:type="spellStart"/>
      <w:r w:rsidRPr="00B13F8F">
        <w:rPr>
          <w:szCs w:val="22"/>
        </w:rPr>
        <w:t>subterapeutických</w:t>
      </w:r>
      <w:proofErr w:type="spellEnd"/>
      <w:r w:rsidRPr="00B13F8F">
        <w:rPr>
          <w:szCs w:val="22"/>
        </w:rPr>
        <w:t xml:space="preserve"> množstiev účinnej látky.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10.</w:t>
      </w:r>
      <w:r w:rsidRPr="00B13F8F">
        <w:tab/>
        <w:t>Ochranné lehoty</w:t>
      </w:r>
    </w:p>
    <w:p w:rsidR="00B919E7" w:rsidRPr="00B13F8F" w:rsidRDefault="00B919E7" w:rsidP="00B919E7">
      <w:pPr>
        <w:rPr>
          <w:szCs w:val="22"/>
        </w:rPr>
      </w:pP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Hovädzí dobytok (teľatá) a ošípané: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Mäso a vnútornosti: 0 dní.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Nie je registrovaný na použitie u zvierat produkujúcich mlieko na ľudskú spotrebu.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11.</w:t>
      </w:r>
      <w:r w:rsidRPr="00B13F8F">
        <w:tab/>
        <w:t>Osobitné opatrenia na uchovávanie</w:t>
      </w:r>
    </w:p>
    <w:p w:rsidR="00B919E7" w:rsidRPr="00B13F8F" w:rsidRDefault="00B919E7" w:rsidP="00B919E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Uchovávať mimo dohľadu a dosahu detí.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Tento veterinárny liek nevyžaduje žiadne zvláštne teplotné podmienky na uchovávanie.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Uchovávať v pôvodnom obale aby bol chránený pred svetlom.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pitná voda by mala byť chránená pred svetlom.</w:t>
      </w:r>
    </w:p>
    <w:p w:rsidR="00AA19B1" w:rsidRPr="00B13F8F" w:rsidRDefault="00AA19B1" w:rsidP="00AA19B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Liečivá náhradka mlieka nevyžaduje žiadne osobitné podmienky na uchovávanie.</w:t>
      </w:r>
    </w:p>
    <w:p w:rsidR="00AA19B1" w:rsidRPr="00B13F8F" w:rsidRDefault="00AA19B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A19B1" w:rsidRPr="00B13F8F" w:rsidRDefault="00AA19B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Nepoužívať tento veterinárny liek po dátume exspirácie uvedenom na etikete po </w:t>
      </w:r>
      <w:proofErr w:type="spellStart"/>
      <w:r w:rsidRPr="00B13F8F">
        <w:rPr>
          <w:szCs w:val="22"/>
        </w:rPr>
        <w:t>Exp</w:t>
      </w:r>
      <w:proofErr w:type="spellEnd"/>
      <w:r w:rsidRPr="00B13F8F">
        <w:rPr>
          <w:szCs w:val="22"/>
        </w:rPr>
        <w:t>. Dátum exspirácie sa vzťahuje na posledný deň v uvedenom mesiaci.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Čas použiteľnosti po prvom otvorení vnútorného obalu: 3 mesiac</w:t>
      </w:r>
      <w:r w:rsidR="00AA19B1" w:rsidRPr="00B13F8F">
        <w:rPr>
          <w:szCs w:val="22"/>
        </w:rPr>
        <w:t>e</w:t>
      </w:r>
      <w:r w:rsidRPr="00B13F8F">
        <w:rPr>
          <w:szCs w:val="22"/>
        </w:rPr>
        <w:t>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Čas použiteľnosti po rozpustení podľa návodu: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- v pitnej vode: 24 hodín.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- v mlieku (náhrade): 6 hodín.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12.</w:t>
      </w:r>
      <w:r w:rsidRPr="00B13F8F">
        <w:tab/>
        <w:t>Špeciálne opatrenia na likvidáciu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Nelikvidujte lieky odpadovou vodou alebo domovým odpadom.</w:t>
      </w:r>
    </w:p>
    <w:p w:rsidR="00B919E7" w:rsidRPr="00B13F8F" w:rsidRDefault="00B919E7" w:rsidP="00B919E7">
      <w:pPr>
        <w:rPr>
          <w:szCs w:val="22"/>
        </w:rPr>
      </w:pPr>
      <w:r w:rsidRPr="00B13F8F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O spôsobe likvidácie liekov, ktoré už nepotrebujete, sa poraďte s veterinárnym lekárom alebo lekárnikom.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bCs/>
          <w:szCs w:val="22"/>
          <w:highlight w:val="lightGray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13.</w:t>
      </w:r>
      <w:r w:rsidRPr="00B13F8F">
        <w:tab/>
        <w:t>Klasifikácia veterinárnych liekov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numPr>
          <w:ilvl w:val="12"/>
          <w:numId w:val="0"/>
        </w:numPr>
        <w:rPr>
          <w:szCs w:val="22"/>
        </w:rPr>
      </w:pPr>
      <w:r w:rsidRPr="00B13F8F">
        <w:rPr>
          <w:szCs w:val="22"/>
        </w:rPr>
        <w:t>Výdaj lieku je viazaný na veterinárny predpis.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14.</w:t>
      </w:r>
      <w:r w:rsidRPr="00B13F8F">
        <w:tab/>
        <w:t>Registračné čísla a veľkosti balenia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A12A99" w:rsidRPr="00B13F8F" w:rsidRDefault="00A12A99" w:rsidP="00A12A9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96/031/DC/23-S</w:t>
      </w:r>
    </w:p>
    <w:p w:rsidR="00A12A99" w:rsidRPr="00B13F8F" w:rsidRDefault="00A12A99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Bezpečnostný obal: 500 g, 1 kg.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Vedro: 1 kg, 2</w:t>
      </w:r>
      <w:r w:rsidR="00AA19B1" w:rsidRPr="00B13F8F">
        <w:rPr>
          <w:szCs w:val="22"/>
        </w:rPr>
        <w:t>,</w:t>
      </w:r>
      <w:r w:rsidRPr="00B13F8F">
        <w:rPr>
          <w:szCs w:val="22"/>
        </w:rPr>
        <w:t xml:space="preserve">5 kg </w:t>
      </w:r>
      <w:r w:rsidR="00AA19B1" w:rsidRPr="00B13F8F">
        <w:rPr>
          <w:szCs w:val="22"/>
        </w:rPr>
        <w:t>alebo</w:t>
      </w:r>
      <w:r w:rsidRPr="00B13F8F">
        <w:rPr>
          <w:szCs w:val="22"/>
        </w:rPr>
        <w:t xml:space="preserve"> 5 kg.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Na trh nemusia byť uvedené všetky veľkosti balenia.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15.</w:t>
      </w:r>
      <w:r w:rsidRPr="00B13F8F">
        <w:tab/>
        <w:t>Dátum poslednej revízie písomnej informácie pre používateľov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Podrobné informácie o veterinárnom lieku sú dostupné v databáze liekov Únie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(</w:t>
      </w:r>
      <w:hyperlink r:id="rId9" w:history="1">
        <w:r w:rsidRPr="00B13F8F">
          <w:rPr>
            <w:rStyle w:val="Hypertextovprepojenie"/>
            <w:szCs w:val="22"/>
          </w:rPr>
          <w:t>https://medicines.health.europa.eu/veterinary</w:t>
        </w:r>
      </w:hyperlink>
      <w:r w:rsidRPr="00B13F8F">
        <w:rPr>
          <w:szCs w:val="22"/>
        </w:rPr>
        <w:t>).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16.</w:t>
      </w:r>
      <w:r w:rsidRPr="00B13F8F">
        <w:tab/>
        <w:t>Kontaktné údaje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E123A" w:rsidRPr="00B13F8F" w:rsidRDefault="00BE123A" w:rsidP="00BE123A">
      <w:pPr>
        <w:rPr>
          <w:iCs/>
          <w:szCs w:val="22"/>
          <w:u w:val="single"/>
        </w:rPr>
      </w:pPr>
      <w:r w:rsidRPr="00B13F8F">
        <w:rPr>
          <w:iCs/>
          <w:szCs w:val="22"/>
          <w:u w:val="single"/>
        </w:rPr>
        <w:t>Držiteľ rozhodnutia o registrácii a kontaktné údaje na hlásenie podozrenia na nežiaduce účinky: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Dopharma</w:t>
      </w:r>
      <w:proofErr w:type="spellEnd"/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Research</w:t>
      </w:r>
      <w:proofErr w:type="spellEnd"/>
      <w:r w:rsidRPr="00B13F8F">
        <w:rPr>
          <w:szCs w:val="22"/>
        </w:rPr>
        <w:t xml:space="preserve"> B.V.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Zalmweg</w:t>
      </w:r>
      <w:proofErr w:type="spellEnd"/>
      <w:r w:rsidRPr="00B13F8F">
        <w:rPr>
          <w:szCs w:val="22"/>
        </w:rPr>
        <w:t xml:space="preserve"> 24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NL 4941 VX </w:t>
      </w:r>
      <w:proofErr w:type="spellStart"/>
      <w:r w:rsidRPr="00B13F8F">
        <w:rPr>
          <w:szCs w:val="22"/>
        </w:rPr>
        <w:t>Raamsdonksveer</w:t>
      </w:r>
      <w:proofErr w:type="spellEnd"/>
    </w:p>
    <w:p w:rsidR="00AA19B1" w:rsidRPr="00B13F8F" w:rsidRDefault="00AA19B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Holandsko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B13F8F">
        <w:rPr>
          <w:szCs w:val="22"/>
          <w:lang w:val="nl-NL"/>
        </w:rPr>
        <w:t>Tel: +31-162-582000</w:t>
      </w:r>
    </w:p>
    <w:p w:rsidR="00946121" w:rsidRPr="00B13F8F" w:rsidRDefault="00C304A5" w:rsidP="00946121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hyperlink r:id="rId10" w:history="1">
        <w:r w:rsidR="00946121" w:rsidRPr="00B13F8F">
          <w:rPr>
            <w:rStyle w:val="Hypertextovprepojenie"/>
            <w:szCs w:val="22"/>
            <w:lang w:val="nl-NL"/>
          </w:rPr>
          <w:t>pharmacovigilance@dopharma.com</w:t>
        </w:r>
      </w:hyperlink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rPr>
          <w:bCs/>
          <w:szCs w:val="22"/>
        </w:rPr>
      </w:pPr>
      <w:r w:rsidRPr="00B13F8F">
        <w:rPr>
          <w:bCs/>
          <w:szCs w:val="22"/>
          <w:u w:val="single"/>
        </w:rPr>
        <w:t>Výrobca zodpovedný za uvoľnenie šarže</w:t>
      </w:r>
      <w:r w:rsidRPr="00B13F8F">
        <w:rPr>
          <w:szCs w:val="22"/>
        </w:rPr>
        <w:t>:</w:t>
      </w:r>
    </w:p>
    <w:p w:rsidR="00B919E7" w:rsidRPr="00B13F8F" w:rsidRDefault="00B919E7" w:rsidP="00B919E7">
      <w:pPr>
        <w:rPr>
          <w:bCs/>
          <w:szCs w:val="22"/>
        </w:rPr>
      </w:pPr>
      <w:proofErr w:type="spellStart"/>
      <w:r w:rsidRPr="00B13F8F">
        <w:rPr>
          <w:bCs/>
          <w:szCs w:val="22"/>
        </w:rPr>
        <w:t>Dopharma</w:t>
      </w:r>
      <w:proofErr w:type="spellEnd"/>
      <w:r w:rsidRPr="00B13F8F">
        <w:rPr>
          <w:bCs/>
          <w:szCs w:val="22"/>
        </w:rPr>
        <w:t xml:space="preserve"> B.V.</w:t>
      </w:r>
    </w:p>
    <w:p w:rsidR="00B919E7" w:rsidRPr="00B13F8F" w:rsidRDefault="00B919E7" w:rsidP="00B919E7">
      <w:pPr>
        <w:rPr>
          <w:bCs/>
          <w:szCs w:val="22"/>
        </w:rPr>
      </w:pPr>
      <w:proofErr w:type="spellStart"/>
      <w:r w:rsidRPr="00B13F8F">
        <w:rPr>
          <w:bCs/>
          <w:szCs w:val="22"/>
        </w:rPr>
        <w:t>Zalmweg</w:t>
      </w:r>
      <w:proofErr w:type="spellEnd"/>
      <w:r w:rsidRPr="00B13F8F">
        <w:rPr>
          <w:bCs/>
          <w:szCs w:val="22"/>
        </w:rPr>
        <w:t xml:space="preserve"> 24</w:t>
      </w:r>
    </w:p>
    <w:p w:rsidR="00B919E7" w:rsidRPr="00B13F8F" w:rsidRDefault="00B919E7" w:rsidP="00B919E7">
      <w:pPr>
        <w:rPr>
          <w:bCs/>
          <w:szCs w:val="22"/>
        </w:rPr>
      </w:pPr>
      <w:r w:rsidRPr="00B13F8F">
        <w:rPr>
          <w:bCs/>
          <w:szCs w:val="22"/>
        </w:rPr>
        <w:t xml:space="preserve">NL 4941 VX </w:t>
      </w:r>
      <w:proofErr w:type="spellStart"/>
      <w:r w:rsidRPr="00B13F8F">
        <w:rPr>
          <w:bCs/>
          <w:szCs w:val="22"/>
        </w:rPr>
        <w:t>Raamsdonksveer</w:t>
      </w:r>
      <w:proofErr w:type="spellEnd"/>
    </w:p>
    <w:p w:rsidR="00AA19B1" w:rsidRPr="00B13F8F" w:rsidRDefault="00AA19B1" w:rsidP="00B919E7">
      <w:pPr>
        <w:rPr>
          <w:bCs/>
          <w:szCs w:val="22"/>
        </w:rPr>
      </w:pPr>
      <w:r w:rsidRPr="00B13F8F">
        <w:rPr>
          <w:bCs/>
          <w:szCs w:val="22"/>
        </w:rPr>
        <w:t>Holandsko</w:t>
      </w:r>
    </w:p>
    <w:p w:rsidR="00B919E7" w:rsidRPr="00B13F8F" w:rsidRDefault="00B919E7" w:rsidP="00B919E7">
      <w:pPr>
        <w:rPr>
          <w:bCs/>
          <w:szCs w:val="22"/>
        </w:rPr>
      </w:pPr>
    </w:p>
    <w:p w:rsidR="00A12A99" w:rsidRPr="00B13F8F" w:rsidRDefault="00A12A99" w:rsidP="00B919E7">
      <w:pPr>
        <w:rPr>
          <w:bCs/>
          <w:szCs w:val="22"/>
        </w:rPr>
      </w:pPr>
    </w:p>
    <w:p w:rsidR="00B919E7" w:rsidRPr="00B13F8F" w:rsidRDefault="00B919E7" w:rsidP="00B919E7">
      <w:pPr>
        <w:pStyle w:val="Style4"/>
      </w:pPr>
      <w:bookmarkStart w:id="3" w:name="_Hlk73552585"/>
      <w:r w:rsidRPr="00B13F8F">
        <w:rPr>
          <w:u w:val="single"/>
        </w:rPr>
        <w:lastRenderedPageBreak/>
        <w:t>Miestni zástupcovia a kontaktné údaje na hlásenie podozrenia na nežiaduce účinky</w:t>
      </w:r>
      <w:r w:rsidRPr="00B13F8F">
        <w:t>:</w:t>
      </w:r>
    </w:p>
    <w:p w:rsidR="00B919E7" w:rsidRPr="00B13F8F" w:rsidRDefault="00B919E7" w:rsidP="00B919E7">
      <w:pPr>
        <w:pStyle w:val="Style4"/>
      </w:pPr>
      <w:proofErr w:type="spellStart"/>
      <w:r w:rsidRPr="00B13F8F">
        <w:t>Cymedica</w:t>
      </w:r>
      <w:proofErr w:type="spellEnd"/>
      <w:r w:rsidRPr="00B13F8F">
        <w:t>, spol. s r.o.</w:t>
      </w:r>
    </w:p>
    <w:p w:rsidR="00B919E7" w:rsidRPr="00B13F8F" w:rsidRDefault="00B919E7" w:rsidP="00B919E7">
      <w:pPr>
        <w:pStyle w:val="Style4"/>
      </w:pPr>
      <w:r w:rsidRPr="00B13F8F">
        <w:t>Pod Nádražím 308/24</w:t>
      </w:r>
    </w:p>
    <w:p w:rsidR="00B919E7" w:rsidRPr="00B13F8F" w:rsidRDefault="00B919E7" w:rsidP="00B919E7">
      <w:pPr>
        <w:pStyle w:val="Style4"/>
        <w:spacing w:line="240" w:lineRule="auto"/>
      </w:pPr>
      <w:r w:rsidRPr="00B13F8F">
        <w:t xml:space="preserve">268 01 </w:t>
      </w:r>
      <w:proofErr w:type="spellStart"/>
      <w:r w:rsidRPr="00B13F8F">
        <w:t>Hořovice</w:t>
      </w:r>
      <w:proofErr w:type="spellEnd"/>
    </w:p>
    <w:p w:rsidR="00946121" w:rsidRPr="00B13F8F" w:rsidRDefault="00946121" w:rsidP="00B919E7">
      <w:pPr>
        <w:pStyle w:val="Style4"/>
        <w:spacing w:line="240" w:lineRule="auto"/>
      </w:pPr>
      <w:r w:rsidRPr="00B13F8F">
        <w:t>Česká republika</w:t>
      </w:r>
    </w:p>
    <w:p w:rsidR="00B919E7" w:rsidRPr="00B13F8F" w:rsidRDefault="00B919E7" w:rsidP="00B919E7">
      <w:pPr>
        <w:pStyle w:val="Style4"/>
        <w:spacing w:line="240" w:lineRule="auto"/>
        <w:rPr>
          <w:bCs/>
        </w:rPr>
      </w:pPr>
      <w:r w:rsidRPr="00B13F8F">
        <w:rPr>
          <w:bCs/>
          <w:lang w:val="cs-CZ"/>
        </w:rPr>
        <w:t>Tel: +</w:t>
      </w:r>
      <w:r w:rsidRPr="00B13F8F">
        <w:rPr>
          <w:bCs/>
        </w:rPr>
        <w:t>420 311 706 211</w:t>
      </w:r>
    </w:p>
    <w:p w:rsidR="00B919E7" w:rsidRPr="00B13F8F" w:rsidRDefault="00C304A5" w:rsidP="00B919E7">
      <w:pPr>
        <w:pStyle w:val="Style4"/>
        <w:spacing w:line="240" w:lineRule="auto"/>
      </w:pPr>
      <w:hyperlink r:id="rId11" w:history="1">
        <w:r w:rsidR="00B919E7" w:rsidRPr="00B13F8F">
          <w:rPr>
            <w:rStyle w:val="Hypertextovprepojenie"/>
          </w:rPr>
          <w:t>farmakovigilance@cymedica.com</w:t>
        </w:r>
      </w:hyperlink>
    </w:p>
    <w:bookmarkEnd w:id="3"/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919E7" w:rsidRPr="00B13F8F" w:rsidRDefault="00B919E7" w:rsidP="00B919E7">
      <w:pPr>
        <w:pStyle w:val="Style1"/>
      </w:pPr>
      <w:r w:rsidRPr="00B13F8F">
        <w:rPr>
          <w:highlight w:val="lightGray"/>
        </w:rPr>
        <w:t>17.</w:t>
      </w:r>
      <w:r w:rsidRPr="00B13F8F">
        <w:tab/>
        <w:t>Ďalšie informácie</w:t>
      </w:r>
    </w:p>
    <w:p w:rsidR="00B919E7" w:rsidRPr="00B13F8F" w:rsidRDefault="00B919E7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E35B2" w:rsidRPr="00B13F8F" w:rsidRDefault="00BE35B2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Default="00946121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E35B2" w:rsidRDefault="00BE35B2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E35B2" w:rsidRDefault="00BE35B2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E35B2" w:rsidRPr="00B13F8F" w:rsidRDefault="00BE35B2" w:rsidP="00B13F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B13F8F">
        <w:rPr>
          <w:b/>
          <w:szCs w:val="22"/>
        </w:rPr>
        <w:t xml:space="preserve">ÚDAJE, KTORÉ MAJÚ BYŤ UVEDENÉ NA VNÚTORNOM OBALE </w:t>
      </w:r>
      <w:r w:rsidRPr="00B13F8F">
        <w:rPr>
          <w:b/>
          <w:szCs w:val="22"/>
          <w:lang w:eastAsia="sv-SE"/>
        </w:rPr>
        <w:t xml:space="preserve">– </w:t>
      </w:r>
      <w:r w:rsidRPr="00B13F8F">
        <w:rPr>
          <w:b/>
          <w:szCs w:val="22"/>
          <w:u w:val="single"/>
          <w:lang w:eastAsia="sv-SE"/>
        </w:rPr>
        <w:t>KOMBINOVANÝ OBAL A PÍSOMNÁ INFORMÁCIA PRE POUŽÍVATEĽOV</w:t>
      </w:r>
    </w:p>
    <w:p w:rsidR="00BE35B2" w:rsidRPr="00B13F8F" w:rsidRDefault="00BE35B2" w:rsidP="00B13F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/>
          <w:szCs w:val="22"/>
          <w:lang w:eastAsia="zh-CN"/>
        </w:rPr>
      </w:pPr>
    </w:p>
    <w:p w:rsidR="00BE35B2" w:rsidRPr="00B13F8F" w:rsidRDefault="00BE35B2" w:rsidP="00B13F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B13F8F">
        <w:rPr>
          <w:b/>
          <w:szCs w:val="22"/>
        </w:rPr>
        <w:t>Bezpečnostný obal</w:t>
      </w:r>
      <w:r w:rsidRPr="00B13F8F">
        <w:rPr>
          <w:b/>
          <w:szCs w:val="22"/>
          <w:lang w:eastAsia="sv-SE"/>
        </w:rPr>
        <w:t>, vedro</w:t>
      </w:r>
    </w:p>
    <w:p w:rsidR="00BE35B2" w:rsidRPr="00B13F8F" w:rsidRDefault="00BE35B2" w:rsidP="00BE35B2">
      <w:pPr>
        <w:rPr>
          <w:b/>
          <w:szCs w:val="22"/>
          <w:lang w:eastAsia="sv-SE"/>
        </w:rPr>
      </w:pP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/>
          <w:szCs w:val="22"/>
          <w:lang w:eastAsia="sv-SE"/>
        </w:rPr>
      </w:pPr>
      <w:r w:rsidRPr="00B13F8F">
        <w:rPr>
          <w:b/>
          <w:color w:val="000000"/>
          <w:szCs w:val="22"/>
          <w:lang w:eastAsia="sv-SE"/>
        </w:rPr>
        <w:t>1.</w:t>
      </w:r>
      <w:r w:rsidRPr="00B13F8F">
        <w:rPr>
          <w:b/>
          <w:color w:val="000000"/>
          <w:szCs w:val="22"/>
          <w:lang w:eastAsia="sv-SE"/>
        </w:rPr>
        <w:tab/>
        <w:t>NÁZOV VETERINÁRNEHO LIEKU</w:t>
      </w:r>
    </w:p>
    <w:p w:rsidR="00BE35B2" w:rsidRPr="00B13F8F" w:rsidRDefault="00BE35B2" w:rsidP="00BE35B2">
      <w:pPr>
        <w:rPr>
          <w:rFonts w:eastAsia="SimSun"/>
          <w:szCs w:val="22"/>
          <w:lang w:eastAsia="zh-CN"/>
        </w:rPr>
      </w:pPr>
    </w:p>
    <w:p w:rsidR="00BE35B2" w:rsidRPr="00B13F8F" w:rsidRDefault="00BE35B2" w:rsidP="00BE35B2">
      <w:pPr>
        <w:rPr>
          <w:szCs w:val="22"/>
          <w:lang w:eastAsia="sv-SE"/>
        </w:rPr>
      </w:pPr>
      <w:proofErr w:type="spellStart"/>
      <w:r w:rsidRPr="00B13F8F">
        <w:rPr>
          <w:szCs w:val="22"/>
        </w:rPr>
        <w:t>Dophacyl</w:t>
      </w:r>
      <w:proofErr w:type="spellEnd"/>
      <w:r w:rsidRPr="00B13F8F">
        <w:rPr>
          <w:szCs w:val="22"/>
        </w:rPr>
        <w:t xml:space="preserve"> SB, 1000 mg/g, prášok na použitie v pitnej vode/mlieku 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/>
          <w:szCs w:val="22"/>
          <w:u w:val="single"/>
          <w:lang w:eastAsia="sv-SE"/>
        </w:rPr>
      </w:pPr>
      <w:r w:rsidRPr="00B13F8F">
        <w:rPr>
          <w:b/>
          <w:bCs/>
          <w:szCs w:val="22"/>
          <w:lang w:eastAsia="sv-SE"/>
        </w:rPr>
        <w:t>2.</w:t>
      </w:r>
      <w:r w:rsidRPr="00B13F8F">
        <w:rPr>
          <w:b/>
          <w:bCs/>
          <w:szCs w:val="22"/>
          <w:lang w:eastAsia="sv-SE"/>
        </w:rPr>
        <w:tab/>
        <w:t>ZLOŽENIE</w:t>
      </w:r>
    </w:p>
    <w:p w:rsidR="00BE35B2" w:rsidRPr="00B13F8F" w:rsidRDefault="00BE35B2" w:rsidP="00BE35B2">
      <w:pPr>
        <w:rPr>
          <w:rFonts w:eastAsia="SimSun"/>
          <w:szCs w:val="22"/>
          <w:lang w:eastAsia="zh-CN"/>
        </w:rPr>
      </w:pPr>
    </w:p>
    <w:p w:rsidR="00BE35B2" w:rsidRPr="00B13F8F" w:rsidRDefault="00BE35B2" w:rsidP="00BE35B2">
      <w:pPr>
        <w:rPr>
          <w:szCs w:val="22"/>
        </w:rPr>
      </w:pPr>
      <w:proofErr w:type="spellStart"/>
      <w:r w:rsidRPr="00B13F8F">
        <w:rPr>
          <w:szCs w:val="22"/>
        </w:rPr>
        <w:t>Salicyl</w:t>
      </w:r>
      <w:r w:rsidR="00946121" w:rsidRPr="00B13F8F">
        <w:rPr>
          <w:szCs w:val="22"/>
        </w:rPr>
        <w:t>át</w:t>
      </w:r>
      <w:proofErr w:type="spellEnd"/>
      <w:r w:rsidR="00946121" w:rsidRPr="00B13F8F">
        <w:rPr>
          <w:szCs w:val="22"/>
        </w:rPr>
        <w:t xml:space="preserve"> </w:t>
      </w:r>
      <w:r w:rsidRPr="00B13F8F">
        <w:rPr>
          <w:szCs w:val="22"/>
        </w:rPr>
        <w:t>sodný: 1 000 mg/g</w:t>
      </w: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</w:rPr>
        <w:t>(zodpovedá 863 mg/g kyseliny salicylovej)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</w:rPr>
        <w:t>Biely alebo takmer biely prášok.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B13F8F">
        <w:rPr>
          <w:b/>
          <w:szCs w:val="22"/>
          <w:lang w:eastAsia="sv-SE"/>
        </w:rPr>
        <w:t>3.</w:t>
      </w:r>
      <w:r w:rsidRPr="00B13F8F">
        <w:rPr>
          <w:b/>
          <w:szCs w:val="22"/>
          <w:lang w:eastAsia="sv-SE"/>
        </w:rPr>
        <w:tab/>
        <w:t>VEĽKOSŤ BALENIA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rFonts w:eastAsia="SimSun"/>
          <w:szCs w:val="22"/>
          <w:lang w:eastAsia="en-GB"/>
        </w:rPr>
      </w:pPr>
      <w:r w:rsidRPr="00B13F8F">
        <w:rPr>
          <w:szCs w:val="22"/>
          <w:lang w:eastAsia="en-GB"/>
        </w:rPr>
        <w:t>500 g</w:t>
      </w:r>
      <w:r w:rsidRPr="00B13F8F">
        <w:rPr>
          <w:szCs w:val="22"/>
          <w:highlight w:val="lightGray"/>
          <w:lang w:eastAsia="en-GB"/>
        </w:rPr>
        <w:t>, 1 kg, 2</w:t>
      </w:r>
      <w:r w:rsidR="00946121" w:rsidRPr="00B13F8F">
        <w:rPr>
          <w:szCs w:val="22"/>
          <w:highlight w:val="lightGray"/>
          <w:lang w:eastAsia="en-GB"/>
        </w:rPr>
        <w:t>,</w:t>
      </w:r>
      <w:r w:rsidRPr="00B13F8F">
        <w:rPr>
          <w:szCs w:val="22"/>
          <w:highlight w:val="lightGray"/>
          <w:lang w:eastAsia="en-GB"/>
        </w:rPr>
        <w:t>5 kg, 5 kg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4.</w:t>
      </w:r>
      <w:r w:rsidRPr="00B13F8F">
        <w:rPr>
          <w:b/>
          <w:bCs/>
          <w:szCs w:val="22"/>
          <w:lang w:eastAsia="sv-SE"/>
        </w:rPr>
        <w:tab/>
        <w:t>CIEĽOVÉ DRUHY</w:t>
      </w:r>
    </w:p>
    <w:p w:rsidR="00BE35B2" w:rsidRPr="00B13F8F" w:rsidRDefault="00BE35B2" w:rsidP="00BE35B2">
      <w:pPr>
        <w:rPr>
          <w:i/>
          <w:iCs/>
          <w:szCs w:val="22"/>
          <w:lang w:eastAsia="sv-SE"/>
        </w:rPr>
      </w:pPr>
    </w:p>
    <w:p w:rsidR="00BE35B2" w:rsidRPr="00B13F8F" w:rsidRDefault="00BE35B2" w:rsidP="00BE35B2">
      <w:pPr>
        <w:rPr>
          <w:iCs/>
          <w:szCs w:val="22"/>
          <w:lang w:eastAsia="sv-SE"/>
        </w:rPr>
      </w:pPr>
      <w:r w:rsidRPr="00B13F8F">
        <w:rPr>
          <w:iCs/>
          <w:szCs w:val="22"/>
          <w:lang w:eastAsia="sv-SE"/>
        </w:rPr>
        <w:t>Hovädzí dobytok (teľatá) a ošípané.</w:t>
      </w:r>
    </w:p>
    <w:p w:rsidR="00BE35B2" w:rsidRPr="00B13F8F" w:rsidRDefault="00BE35B2" w:rsidP="00BE35B2">
      <w:pPr>
        <w:rPr>
          <w:i/>
          <w:iCs/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5.</w:t>
      </w:r>
      <w:r w:rsidRPr="00B13F8F">
        <w:rPr>
          <w:b/>
          <w:bCs/>
          <w:szCs w:val="22"/>
          <w:lang w:eastAsia="sv-SE"/>
        </w:rPr>
        <w:tab/>
        <w:t>INDIKÁCIE NA POUŽITIE</w:t>
      </w:r>
    </w:p>
    <w:p w:rsidR="00BE35B2" w:rsidRPr="00B13F8F" w:rsidRDefault="00BE35B2" w:rsidP="00BE35B2">
      <w:pPr>
        <w:rPr>
          <w:i/>
          <w:iCs/>
          <w:szCs w:val="22"/>
          <w:lang w:eastAsia="sv-SE"/>
        </w:rPr>
      </w:pPr>
    </w:p>
    <w:p w:rsidR="00BE35B2" w:rsidRPr="00B13F8F" w:rsidRDefault="00BE35B2" w:rsidP="00BE35B2">
      <w:pPr>
        <w:rPr>
          <w:b/>
          <w:iCs/>
          <w:szCs w:val="22"/>
          <w:lang w:eastAsia="sv-SE"/>
        </w:rPr>
      </w:pPr>
      <w:r w:rsidRPr="00B13F8F">
        <w:rPr>
          <w:b/>
          <w:iCs/>
          <w:szCs w:val="22"/>
          <w:lang w:eastAsia="sv-SE"/>
        </w:rPr>
        <w:t>Indikácie na použitie</w:t>
      </w:r>
    </w:p>
    <w:p w:rsidR="00BE35B2" w:rsidRPr="00B13F8F" w:rsidRDefault="00BE35B2" w:rsidP="00BE35B2">
      <w:pPr>
        <w:rPr>
          <w:szCs w:val="22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Teľatá: podporná liečba horúčky pri akútnom ochorení dýchacích ciest – v prípade potreby v kombinácii s vhodnou (napr. </w:t>
      </w:r>
      <w:proofErr w:type="spellStart"/>
      <w:r w:rsidRPr="00B13F8F">
        <w:rPr>
          <w:szCs w:val="22"/>
        </w:rPr>
        <w:t>protiinfekčnou</w:t>
      </w:r>
      <w:proofErr w:type="spellEnd"/>
      <w:r w:rsidRPr="00B13F8F">
        <w:rPr>
          <w:szCs w:val="22"/>
        </w:rPr>
        <w:t>) terapiou.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 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Ošípané: 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-na liečbu zápalu v prípade potreby v kombinácii s vhodnou (napr. </w:t>
      </w:r>
      <w:proofErr w:type="spellStart"/>
      <w:r w:rsidRPr="00B13F8F">
        <w:rPr>
          <w:szCs w:val="22"/>
        </w:rPr>
        <w:t>protiinfekčnou</w:t>
      </w:r>
      <w:proofErr w:type="spellEnd"/>
      <w:r w:rsidRPr="00B13F8F">
        <w:rPr>
          <w:szCs w:val="22"/>
        </w:rPr>
        <w:t>) terapiou.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- na podporu obnovy dýchania a na zmiernenie kašľa pri infekciách dýchacích ciest v kombinácii so súbežnou antibiotickou liečbou.</w:t>
      </w:r>
    </w:p>
    <w:p w:rsidR="00BE35B2" w:rsidRPr="00B13F8F" w:rsidRDefault="00BE35B2" w:rsidP="00BE35B2">
      <w:pPr>
        <w:rPr>
          <w:i/>
          <w:iCs/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6.</w:t>
      </w:r>
      <w:r w:rsidRPr="00B13F8F">
        <w:rPr>
          <w:b/>
          <w:bCs/>
          <w:szCs w:val="22"/>
          <w:lang w:eastAsia="sv-SE"/>
        </w:rPr>
        <w:tab/>
        <w:t>KONTRAINDIKÁCIE</w:t>
      </w:r>
    </w:p>
    <w:p w:rsidR="00BE35B2" w:rsidRPr="00B13F8F" w:rsidRDefault="00BE35B2" w:rsidP="00BE35B2">
      <w:pPr>
        <w:rPr>
          <w:i/>
          <w:iCs/>
          <w:szCs w:val="22"/>
          <w:lang w:eastAsia="sv-SE"/>
        </w:rPr>
      </w:pPr>
    </w:p>
    <w:p w:rsidR="00BE35B2" w:rsidRPr="00B13F8F" w:rsidRDefault="00BE35B2" w:rsidP="00BE35B2">
      <w:pPr>
        <w:rPr>
          <w:b/>
          <w:iCs/>
          <w:szCs w:val="22"/>
          <w:lang w:eastAsia="sv-SE"/>
        </w:rPr>
      </w:pPr>
      <w:r w:rsidRPr="00B13F8F">
        <w:rPr>
          <w:b/>
          <w:iCs/>
          <w:szCs w:val="22"/>
          <w:lang w:eastAsia="sv-SE"/>
        </w:rPr>
        <w:t>Kontraindikácie</w:t>
      </w:r>
    </w:p>
    <w:p w:rsidR="00BE35B2" w:rsidRPr="00B13F8F" w:rsidRDefault="00BE35B2" w:rsidP="00BE35B2">
      <w:pPr>
        <w:rPr>
          <w:szCs w:val="22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v prípadoch precitlivenosti na účinnú látku.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Nepoužívať v prípade závažnej </w:t>
      </w:r>
      <w:proofErr w:type="spellStart"/>
      <w:r w:rsidRPr="00B13F8F">
        <w:rPr>
          <w:szCs w:val="22"/>
        </w:rPr>
        <w:t>hypoproteinémie</w:t>
      </w:r>
      <w:proofErr w:type="spellEnd"/>
      <w:r w:rsidRPr="00B13F8F">
        <w:rPr>
          <w:szCs w:val="22"/>
        </w:rPr>
        <w:t xml:space="preserve"> či poruchy pečene alebo obličiek.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u novonarodených teliat a u teliat do veku 2 týždňov.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u ciciakov do veku 4 týždňov.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Nepoužívať v prípade </w:t>
      </w:r>
      <w:proofErr w:type="spellStart"/>
      <w:r w:rsidRPr="00B13F8F">
        <w:rPr>
          <w:szCs w:val="22"/>
        </w:rPr>
        <w:t>gastrointestinálnej</w:t>
      </w:r>
      <w:proofErr w:type="spellEnd"/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ulcerácie</w:t>
      </w:r>
      <w:proofErr w:type="spellEnd"/>
      <w:r w:rsidRPr="00B13F8F">
        <w:rPr>
          <w:szCs w:val="22"/>
        </w:rPr>
        <w:t xml:space="preserve"> a chronických </w:t>
      </w:r>
      <w:proofErr w:type="spellStart"/>
      <w:r w:rsidRPr="00B13F8F">
        <w:rPr>
          <w:szCs w:val="22"/>
        </w:rPr>
        <w:t>gastrointestinálych</w:t>
      </w:r>
      <w:proofErr w:type="spellEnd"/>
      <w:r w:rsidRPr="00B13F8F">
        <w:rPr>
          <w:szCs w:val="22"/>
        </w:rPr>
        <w:t xml:space="preserve"> porúch.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Nepoužívať v prípade porúch krvotvorby, </w:t>
      </w:r>
      <w:proofErr w:type="spellStart"/>
      <w:r w:rsidRPr="00B13F8F">
        <w:rPr>
          <w:szCs w:val="22"/>
        </w:rPr>
        <w:t>koagulopatie</w:t>
      </w:r>
      <w:proofErr w:type="spellEnd"/>
      <w:r w:rsidRPr="00B13F8F">
        <w:rPr>
          <w:szCs w:val="22"/>
        </w:rPr>
        <w:t xml:space="preserve"> a </w:t>
      </w:r>
      <w:proofErr w:type="spellStart"/>
      <w:r w:rsidRPr="00B13F8F">
        <w:rPr>
          <w:szCs w:val="22"/>
        </w:rPr>
        <w:t>hemoragickej</w:t>
      </w:r>
      <w:proofErr w:type="spellEnd"/>
      <w:r w:rsidRPr="00B13F8F">
        <w:rPr>
          <w:szCs w:val="22"/>
        </w:rPr>
        <w:t xml:space="preserve"> diatézy.</w:t>
      </w:r>
    </w:p>
    <w:p w:rsidR="00BE35B2" w:rsidRPr="00B13F8F" w:rsidRDefault="00BE35B2" w:rsidP="00BE35B2">
      <w:pPr>
        <w:rPr>
          <w:i/>
          <w:iCs/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7.</w:t>
      </w:r>
      <w:r w:rsidRPr="00B13F8F">
        <w:rPr>
          <w:b/>
          <w:bCs/>
          <w:szCs w:val="22"/>
          <w:lang w:eastAsia="sv-SE"/>
        </w:rPr>
        <w:tab/>
        <w:t>OSOBITNÉ UPOZORNENIE (-IA)</w:t>
      </w:r>
    </w:p>
    <w:p w:rsidR="00BE35B2" w:rsidRPr="00B13F8F" w:rsidRDefault="00BE35B2" w:rsidP="00BE35B2">
      <w:pPr>
        <w:rPr>
          <w:i/>
          <w:iCs/>
          <w:szCs w:val="22"/>
          <w:lang w:eastAsia="sv-SE"/>
        </w:rPr>
      </w:pPr>
    </w:p>
    <w:p w:rsidR="00BE35B2" w:rsidRPr="00B13F8F" w:rsidRDefault="00BE35B2" w:rsidP="00BE35B2">
      <w:pPr>
        <w:rPr>
          <w:b/>
          <w:szCs w:val="22"/>
          <w:lang w:eastAsia="sv-SE"/>
        </w:rPr>
      </w:pPr>
      <w:r w:rsidRPr="00B13F8F">
        <w:rPr>
          <w:b/>
          <w:szCs w:val="22"/>
          <w:lang w:eastAsia="sv-SE"/>
        </w:rPr>
        <w:t>Osobitné upozornenia</w:t>
      </w:r>
    </w:p>
    <w:p w:rsidR="00BE35B2" w:rsidRPr="00B13F8F" w:rsidRDefault="00BE35B2" w:rsidP="00BE35B2">
      <w:pPr>
        <w:rPr>
          <w:rFonts w:eastAsia="SimSun"/>
          <w:szCs w:val="22"/>
          <w:lang w:eastAsia="zh-CN"/>
        </w:rPr>
      </w:pP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  <w:u w:val="single"/>
        </w:rPr>
        <w:t>Osobitné opatrenia na bezpečné používanie u cieľových druhov: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Vzhľadom na to, že </w:t>
      </w:r>
      <w:proofErr w:type="spellStart"/>
      <w:r w:rsidRPr="00B13F8F">
        <w:rPr>
          <w:szCs w:val="22"/>
        </w:rPr>
        <w:t>salicylát</w:t>
      </w:r>
      <w:proofErr w:type="spellEnd"/>
      <w:r w:rsidRPr="00B13F8F">
        <w:rPr>
          <w:szCs w:val="22"/>
        </w:rPr>
        <w:t xml:space="preserve"> sodný môže potláčať zrážanlivosť krvi, neodporúča sa vykonávať </w:t>
      </w:r>
      <w:proofErr w:type="spellStart"/>
      <w:r w:rsidRPr="00B13F8F">
        <w:rPr>
          <w:szCs w:val="22"/>
        </w:rPr>
        <w:t>elektívne</w:t>
      </w:r>
      <w:proofErr w:type="spellEnd"/>
      <w:r w:rsidRPr="00B13F8F">
        <w:rPr>
          <w:szCs w:val="22"/>
        </w:rPr>
        <w:t xml:space="preserve"> operácie na zvieratách do 7 dní od ukončenia liečby.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B13F8F">
        <w:rPr>
          <w:szCs w:val="22"/>
          <w:u w:val="single"/>
        </w:rPr>
        <w:t>Osobitné opatrenia, ktoré má urobiť osoba podávajúca liek zvieratám: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Tento veterinárny liek môže spôsobiť reakcie z precitlivenosti. Osoby so známou precitlivenosťou (alergia) na </w:t>
      </w:r>
      <w:proofErr w:type="spellStart"/>
      <w:r w:rsidRPr="00B13F8F">
        <w:rPr>
          <w:szCs w:val="22"/>
        </w:rPr>
        <w:t>salicylát</w:t>
      </w:r>
      <w:proofErr w:type="spellEnd"/>
      <w:r w:rsidRPr="00B13F8F">
        <w:rPr>
          <w:szCs w:val="22"/>
        </w:rPr>
        <w:t xml:space="preserve"> sodný alebo príbuzné látky (napr. aspirín) by sa mali vyhnúť kontaktu s veterinárnym liekom. Ak sa po náhodnom kontakte objaví vyrážka, ihneď vyhľadajte lekársku pomoc a ukážte lekárovi písomnú informáciu pre používateľov alebo obal. Opuch tváre, pier alebo očí alebo ťažkosti s dýchaním sú závažnejšie príznaky, ktoré si vyžadujú okamžitú lekársku pomoc.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Tento veterinárny liek môže spôsobiť podráždenie kože, očí a dýchacích ciest. Je potrebné vyhnúť sa priamemu kontaktu s pokožkou a očami a vdýchnutiu prášku.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Pri manipulácii s veterinárnym liekom používajte osobné ochranné pomôcky skladajúce sa z ochranných rukavíc (napr. gumy alebo latexu), ochranných okuliarov a vhodnej prachovej masky (napr. jednorazového respirátora s </w:t>
      </w:r>
      <w:proofErr w:type="spellStart"/>
      <w:r w:rsidRPr="00B13F8F">
        <w:rPr>
          <w:szCs w:val="22"/>
        </w:rPr>
        <w:t>polomaskou</w:t>
      </w:r>
      <w:proofErr w:type="spellEnd"/>
      <w:r w:rsidRPr="00B13F8F">
        <w:rPr>
          <w:szCs w:val="22"/>
        </w:rPr>
        <w:t xml:space="preserve"> v súlade s európskou normou EN149).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V prípade náhodného kontaktu s pokožkou, exponované miesto umyť vodou. V prípade náhodného kontaktu s očami vyplachujte oči veľkým množstvom vody po dobu 15 minút a ak podráždenie pretrváva vyhľadajte lekársku pomoc.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Po použití si umyte ruky. 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Počas manipulácie s veterinárnym liekom nefajčite, nejedzte ani nepite.</w:t>
      </w:r>
    </w:p>
    <w:p w:rsidR="00BE35B2" w:rsidRPr="00B13F8F" w:rsidRDefault="00BE35B2" w:rsidP="00BE35B2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:rsidR="00BE35B2" w:rsidRPr="00B13F8F" w:rsidRDefault="00BE35B2" w:rsidP="00BE35B2">
      <w:pPr>
        <w:autoSpaceDE w:val="0"/>
        <w:autoSpaceDN w:val="0"/>
        <w:adjustRightInd w:val="0"/>
        <w:rPr>
          <w:color w:val="000000"/>
          <w:szCs w:val="22"/>
          <w:u w:val="single"/>
          <w:lang w:eastAsia="sv-SE"/>
        </w:rPr>
      </w:pPr>
      <w:r w:rsidRPr="00B13F8F">
        <w:rPr>
          <w:color w:val="000000"/>
          <w:szCs w:val="22"/>
          <w:u w:val="single"/>
          <w:lang w:eastAsia="sv-SE"/>
        </w:rPr>
        <w:t>Gravidita a laktácia: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Nepoužívať počas gravidity a laktácie.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Laboratórne štúdie u potkanov preukázali </w:t>
      </w:r>
      <w:proofErr w:type="spellStart"/>
      <w:r w:rsidRPr="00B13F8F">
        <w:rPr>
          <w:szCs w:val="22"/>
        </w:rPr>
        <w:t>teratogénne</w:t>
      </w:r>
      <w:proofErr w:type="spellEnd"/>
      <w:r w:rsidRPr="00B13F8F">
        <w:rPr>
          <w:szCs w:val="22"/>
        </w:rPr>
        <w:t xml:space="preserve"> a </w:t>
      </w:r>
      <w:proofErr w:type="spellStart"/>
      <w:r w:rsidRPr="00B13F8F">
        <w:rPr>
          <w:szCs w:val="22"/>
        </w:rPr>
        <w:t>fetotoxické</w:t>
      </w:r>
      <w:proofErr w:type="spellEnd"/>
      <w:r w:rsidRPr="00B13F8F">
        <w:rPr>
          <w:szCs w:val="22"/>
        </w:rPr>
        <w:t xml:space="preserve">  účinky.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Kyselina salicylová prechádza placentou a je vylučovaná mliekom. Polčas </w:t>
      </w:r>
      <w:r w:rsidR="00B736BA" w:rsidRPr="00B13F8F">
        <w:rPr>
          <w:szCs w:val="22"/>
        </w:rPr>
        <w:t xml:space="preserve">rozpadu </w:t>
      </w:r>
      <w:r w:rsidRPr="00B13F8F">
        <w:rPr>
          <w:szCs w:val="22"/>
        </w:rPr>
        <w:t>je u novorodených mláďat dlhší a tak sa môžu príznaky toxicity objaviť oveľa skôr. Okrem toho potláča zhlukovanie krvných doštičiek a predlžuje čas krvácania, čo nie je vhodné pri pôrode / cisárskom reze. V niektorých štúdiách sa uvádza, že pôrod je oneskorený.</w:t>
      </w:r>
    </w:p>
    <w:p w:rsidR="00BE35B2" w:rsidRPr="00B13F8F" w:rsidRDefault="00BE35B2" w:rsidP="00BE35B2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:rsidR="00BE35B2" w:rsidRPr="00B13F8F" w:rsidRDefault="00BE35B2" w:rsidP="00BE35B2">
      <w:pPr>
        <w:rPr>
          <w:rFonts w:eastAsia="SimSun"/>
          <w:szCs w:val="22"/>
          <w:lang w:eastAsia="zh-CN"/>
        </w:rPr>
      </w:pPr>
      <w:r w:rsidRPr="00B13F8F">
        <w:rPr>
          <w:szCs w:val="22"/>
          <w:u w:val="single"/>
        </w:rPr>
        <w:t>Interakcie s inými liekmi a ďalšie formy interakcií</w:t>
      </w:r>
      <w:r w:rsidRPr="00B13F8F">
        <w:rPr>
          <w:szCs w:val="22"/>
        </w:rPr>
        <w:t>: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Je potrebné vyhýbať sa súbežnému podávaniu potenciálne </w:t>
      </w:r>
      <w:proofErr w:type="spellStart"/>
      <w:r w:rsidRPr="00B13F8F">
        <w:rPr>
          <w:szCs w:val="22"/>
        </w:rPr>
        <w:t>nefrotoxických</w:t>
      </w:r>
      <w:proofErr w:type="spellEnd"/>
      <w:r w:rsidRPr="00B13F8F">
        <w:rPr>
          <w:szCs w:val="22"/>
        </w:rPr>
        <w:t xml:space="preserve"> liekov (napríklad </w:t>
      </w:r>
      <w:proofErr w:type="spellStart"/>
      <w:r w:rsidRPr="00B13F8F">
        <w:rPr>
          <w:szCs w:val="22"/>
        </w:rPr>
        <w:t>aminoglykozidov</w:t>
      </w:r>
      <w:proofErr w:type="spellEnd"/>
      <w:r w:rsidRPr="00B13F8F">
        <w:rPr>
          <w:szCs w:val="22"/>
        </w:rPr>
        <w:t>).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Kyselina salicylová sa pevne viaže na sérový albumín a súťaží s množstvom látok (napríklad </w:t>
      </w:r>
      <w:proofErr w:type="spellStart"/>
      <w:r w:rsidRPr="00B13F8F">
        <w:rPr>
          <w:szCs w:val="22"/>
        </w:rPr>
        <w:t>ketoprofénom</w:t>
      </w:r>
      <w:proofErr w:type="spellEnd"/>
      <w:r w:rsidRPr="00B13F8F">
        <w:rPr>
          <w:szCs w:val="22"/>
        </w:rPr>
        <w:t>) o väzbové miesta plazmatických bielkovín.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Zistilo sa, že plazmatický </w:t>
      </w:r>
      <w:proofErr w:type="spellStart"/>
      <w:r w:rsidRPr="00B13F8F">
        <w:rPr>
          <w:szCs w:val="22"/>
        </w:rPr>
        <w:t>klírens</w:t>
      </w:r>
      <w:proofErr w:type="spellEnd"/>
      <w:r w:rsidRPr="00B13F8F">
        <w:rPr>
          <w:szCs w:val="22"/>
        </w:rPr>
        <w:t xml:space="preserve"> kyseliny salicylovej sa zvyšuje v kombinácii s </w:t>
      </w:r>
      <w:proofErr w:type="spellStart"/>
      <w:r w:rsidRPr="00B13F8F">
        <w:rPr>
          <w:szCs w:val="22"/>
        </w:rPr>
        <w:t>kortikosteroidmi</w:t>
      </w:r>
      <w:proofErr w:type="spellEnd"/>
      <w:r w:rsidRPr="00B13F8F">
        <w:rPr>
          <w:szCs w:val="22"/>
        </w:rPr>
        <w:t xml:space="preserve"> pravdepodobne v dôsledku indukcie metabolizmu kyseliny salicylovej.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Neodporúča sa súčasné podávanie s inými </w:t>
      </w:r>
      <w:proofErr w:type="spellStart"/>
      <w:r w:rsidRPr="00B13F8F">
        <w:rPr>
          <w:szCs w:val="22"/>
        </w:rPr>
        <w:t>nesteroidovými</w:t>
      </w:r>
      <w:proofErr w:type="spellEnd"/>
      <w:r w:rsidRPr="00B13F8F">
        <w:rPr>
          <w:szCs w:val="22"/>
        </w:rPr>
        <w:t xml:space="preserve"> protizápalovými liekmi (NSAID) kvôli zvýšenému riziku </w:t>
      </w:r>
      <w:proofErr w:type="spellStart"/>
      <w:r w:rsidRPr="00B13F8F">
        <w:rPr>
          <w:szCs w:val="22"/>
        </w:rPr>
        <w:t>gastrointestinálnej</w:t>
      </w:r>
      <w:proofErr w:type="spellEnd"/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ulcerácie</w:t>
      </w:r>
      <w:proofErr w:type="spellEnd"/>
      <w:r w:rsidRPr="00B13F8F">
        <w:rPr>
          <w:szCs w:val="22"/>
        </w:rPr>
        <w:t>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Nepodávať v kombinácii s liekmi, ktoré ovplyvňujú zrážanie krvi.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  <w:u w:val="single"/>
        </w:rPr>
        <w:t>Predávkovanie</w:t>
      </w:r>
      <w:r w:rsidRPr="00B13F8F">
        <w:rPr>
          <w:szCs w:val="22"/>
        </w:rPr>
        <w:t>:</w:t>
      </w:r>
    </w:p>
    <w:p w:rsidR="00946121" w:rsidRPr="00B13F8F" w:rsidRDefault="00946121" w:rsidP="00946121">
      <w:pPr>
        <w:pStyle w:val="Style1"/>
        <w:rPr>
          <w:b w:val="0"/>
        </w:rPr>
      </w:pPr>
      <w:r w:rsidRPr="00B13F8F">
        <w:rPr>
          <w:b w:val="0"/>
        </w:rPr>
        <w:t>Príznaky predávkovania možno pozorovať u teliat pri dávkach nad 80 mg/kg počas 5 dní alebo</w:t>
      </w:r>
    </w:p>
    <w:p w:rsidR="00946121" w:rsidRPr="00B13F8F" w:rsidRDefault="00946121" w:rsidP="00946121">
      <w:pPr>
        <w:pStyle w:val="Style1"/>
        <w:rPr>
          <w:b w:val="0"/>
        </w:rPr>
      </w:pPr>
      <w:r w:rsidRPr="00B13F8F">
        <w:rPr>
          <w:b w:val="0"/>
        </w:rPr>
        <w:t>40 mg/kg počas 10 dní.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V prípade akútneho predávkovania vyvolá intravenózna infúzia bikarbonátu vyšší </w:t>
      </w:r>
      <w:proofErr w:type="spellStart"/>
      <w:r w:rsidRPr="00B13F8F">
        <w:rPr>
          <w:szCs w:val="22"/>
        </w:rPr>
        <w:t>klírens</w:t>
      </w:r>
      <w:proofErr w:type="spellEnd"/>
      <w:r w:rsidRPr="00B13F8F">
        <w:rPr>
          <w:szCs w:val="22"/>
        </w:rPr>
        <w:t xml:space="preserve"> kyseliny salicylovej </w:t>
      </w:r>
      <w:proofErr w:type="spellStart"/>
      <w:r w:rsidRPr="00B13F8F">
        <w:rPr>
          <w:szCs w:val="22"/>
        </w:rPr>
        <w:t>alkalizáciou</w:t>
      </w:r>
      <w:proofErr w:type="spellEnd"/>
      <w:r w:rsidRPr="00B13F8F">
        <w:rPr>
          <w:szCs w:val="22"/>
        </w:rPr>
        <w:t xml:space="preserve"> moču a môže byť prínosná pri korekcii (sekundárnej metabolickej) </w:t>
      </w:r>
      <w:proofErr w:type="spellStart"/>
      <w:r w:rsidRPr="00B13F8F">
        <w:rPr>
          <w:szCs w:val="22"/>
        </w:rPr>
        <w:t>acidózy</w:t>
      </w:r>
      <w:proofErr w:type="spellEnd"/>
      <w:r w:rsidRPr="00B13F8F">
        <w:rPr>
          <w:szCs w:val="22"/>
        </w:rPr>
        <w:t>.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  <w:u w:val="single"/>
        </w:rPr>
        <w:t>Závažné inkompatibility</w:t>
      </w:r>
      <w:r w:rsidRPr="00B13F8F">
        <w:rPr>
          <w:szCs w:val="22"/>
        </w:rPr>
        <w:t>:</w:t>
      </w:r>
    </w:p>
    <w:p w:rsidR="00BE35B2" w:rsidRPr="00B13F8F" w:rsidRDefault="00BE35B2" w:rsidP="00BE35B2">
      <w:pPr>
        <w:rPr>
          <w:szCs w:val="22"/>
          <w:lang w:eastAsia="sv-SE"/>
        </w:rPr>
      </w:pPr>
      <w:r w:rsidRPr="00B13F8F">
        <w:rPr>
          <w:szCs w:val="22"/>
          <w:lang w:eastAsia="sv-SE"/>
        </w:rPr>
        <w:t>Tento liek nemiešať s iným veterinárnym liekom.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946121" w:rsidRPr="00B13F8F" w:rsidRDefault="00946121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lastRenderedPageBreak/>
        <w:t>8.</w:t>
      </w:r>
      <w:r w:rsidRPr="00B13F8F">
        <w:rPr>
          <w:b/>
          <w:bCs/>
          <w:szCs w:val="22"/>
          <w:lang w:eastAsia="sv-SE"/>
        </w:rPr>
        <w:tab/>
        <w:t>NEŽIADUCE ÚČINKY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b/>
          <w:szCs w:val="22"/>
          <w:lang w:eastAsia="sv-SE"/>
        </w:rPr>
      </w:pPr>
      <w:r w:rsidRPr="00B13F8F">
        <w:rPr>
          <w:b/>
          <w:szCs w:val="22"/>
          <w:lang w:eastAsia="sv-SE"/>
        </w:rPr>
        <w:t>Nežiaduce účinky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</w:rPr>
        <w:t>Hovädzí dobytok (teľatá) a ošípané:</w:t>
      </w:r>
    </w:p>
    <w:p w:rsidR="00946121" w:rsidRPr="00B13F8F" w:rsidRDefault="00946121" w:rsidP="0094612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946121" w:rsidRPr="00B13F8F" w:rsidTr="00BE123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1" w:rsidRPr="00B13F8F" w:rsidRDefault="00946121" w:rsidP="00BE123A">
            <w:pPr>
              <w:spacing w:before="60" w:after="60"/>
              <w:rPr>
                <w:szCs w:val="22"/>
              </w:rPr>
            </w:pPr>
            <w:r w:rsidRPr="00B13F8F">
              <w:rPr>
                <w:szCs w:val="22"/>
              </w:rPr>
              <w:t>Neznáme (frekvenciu nemožno odhadnúť z dostupných údajov):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121" w:rsidRPr="00B13F8F" w:rsidRDefault="00946121" w:rsidP="00BE123A">
            <w:pPr>
              <w:spacing w:before="60" w:after="60"/>
              <w:rPr>
                <w:szCs w:val="22"/>
              </w:rPr>
            </w:pPr>
            <w:r w:rsidRPr="00B13F8F">
              <w:rPr>
                <w:szCs w:val="22"/>
              </w:rPr>
              <w:t>Porucha tráviaceho traktu</w:t>
            </w:r>
            <w:r w:rsidRPr="00B13F8F">
              <w:rPr>
                <w:szCs w:val="22"/>
                <w:vertAlign w:val="superscript"/>
              </w:rPr>
              <w:t>1</w:t>
            </w:r>
          </w:p>
          <w:p w:rsidR="00946121" w:rsidRPr="00B13F8F" w:rsidRDefault="00946121" w:rsidP="00BE123A">
            <w:pPr>
              <w:spacing w:before="60" w:after="60"/>
              <w:rPr>
                <w:iCs/>
                <w:szCs w:val="22"/>
              </w:rPr>
            </w:pPr>
            <w:r w:rsidRPr="00B13F8F">
              <w:rPr>
                <w:szCs w:val="22"/>
              </w:rPr>
              <w:t>Predĺžené krvácanie</w:t>
            </w:r>
            <w:r w:rsidRPr="00B13F8F">
              <w:rPr>
                <w:szCs w:val="22"/>
                <w:vertAlign w:val="superscript"/>
              </w:rPr>
              <w:t>2</w:t>
            </w:r>
          </w:p>
        </w:tc>
      </w:tr>
    </w:tbl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  <w:vertAlign w:val="superscript"/>
        </w:rPr>
      </w:pPr>
      <w:r w:rsidRPr="00B13F8F">
        <w:rPr>
          <w:szCs w:val="22"/>
          <w:vertAlign w:val="superscript"/>
        </w:rPr>
        <w:t>1</w:t>
      </w:r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Gastrointestinálne</w:t>
      </w:r>
      <w:proofErr w:type="spellEnd"/>
      <w:r w:rsidRPr="00B13F8F">
        <w:rPr>
          <w:szCs w:val="22"/>
        </w:rPr>
        <w:t xml:space="preserve"> podráždenie,  najmä u zvierat, ktoré prekonali </w:t>
      </w:r>
      <w:proofErr w:type="spellStart"/>
      <w:r w:rsidRPr="00B13F8F">
        <w:rPr>
          <w:szCs w:val="22"/>
        </w:rPr>
        <w:t>gastrointestinálne</w:t>
      </w:r>
      <w:proofErr w:type="spellEnd"/>
      <w:r w:rsidRPr="00B13F8F">
        <w:rPr>
          <w:szCs w:val="22"/>
        </w:rPr>
        <w:t xml:space="preserve"> ochorenie.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  <w:vertAlign w:val="superscript"/>
        </w:rPr>
        <w:t>2</w:t>
      </w:r>
      <w:r w:rsidRPr="00B13F8F">
        <w:rPr>
          <w:szCs w:val="22"/>
        </w:rPr>
        <w:t xml:space="preserve"> Zvratná inhibícia normálnej zrážanlivosti krvi, efekt ustúpi približne o 7 dní.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hlásenia.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9.</w:t>
      </w:r>
      <w:r w:rsidRPr="00B13F8F">
        <w:rPr>
          <w:b/>
          <w:bCs/>
          <w:szCs w:val="22"/>
          <w:lang w:eastAsia="sv-SE"/>
        </w:rPr>
        <w:tab/>
        <w:t>DÁVKOVANIE PRE KAŽDÝ CIEĽOVÝ DRUH, CESTA (-Y) A SPÔSOB PODANIA LIEKU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i/>
          <w:iCs/>
          <w:szCs w:val="22"/>
          <w:lang w:eastAsia="sv-SE"/>
        </w:rPr>
      </w:pPr>
      <w:r w:rsidRPr="00B13F8F">
        <w:rPr>
          <w:b/>
          <w:bCs/>
          <w:szCs w:val="22"/>
        </w:rPr>
        <w:t>Dávkovanie pre každý druh, cesta(-y) a spôsob podania lieku</w:t>
      </w:r>
      <w:r w:rsidRPr="00B13F8F">
        <w:rPr>
          <w:b/>
          <w:bCs/>
          <w:szCs w:val="22"/>
          <w:lang w:eastAsia="sv-SE"/>
        </w:rPr>
        <w:t xml:space="preserve"> </w:t>
      </w:r>
    </w:p>
    <w:p w:rsidR="00BE35B2" w:rsidRPr="00B13F8F" w:rsidRDefault="00BE35B2" w:rsidP="00BE35B2">
      <w:pPr>
        <w:rPr>
          <w:szCs w:val="22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Podanie v pitnej vode/mlieku.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Teľatá:</w:t>
      </w:r>
      <w:r w:rsidRPr="00B13F8F">
        <w:rPr>
          <w:szCs w:val="22"/>
        </w:rPr>
        <w:tab/>
        <w:t xml:space="preserve"> 40 mg </w:t>
      </w:r>
      <w:proofErr w:type="spellStart"/>
      <w:r w:rsidRPr="00B13F8F">
        <w:rPr>
          <w:szCs w:val="22"/>
        </w:rPr>
        <w:t>salicylátu</w:t>
      </w:r>
      <w:proofErr w:type="spellEnd"/>
      <w:r w:rsidRPr="00B13F8F">
        <w:rPr>
          <w:szCs w:val="22"/>
        </w:rPr>
        <w:t xml:space="preserve"> sodného na kilogram živej hmotnosti raz denne, po dobu 1 až 3 dní.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Ošípané: 35 mg </w:t>
      </w:r>
      <w:proofErr w:type="spellStart"/>
      <w:r w:rsidRPr="00B13F8F">
        <w:rPr>
          <w:szCs w:val="22"/>
        </w:rPr>
        <w:t>salicylátu</w:t>
      </w:r>
      <w:proofErr w:type="spellEnd"/>
      <w:r w:rsidRPr="00B13F8F">
        <w:rPr>
          <w:szCs w:val="22"/>
        </w:rPr>
        <w:t xml:space="preserve"> sodného na kilogram živej hmotnosti/deň po dobu 3 až 5 dní.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10.</w:t>
      </w:r>
      <w:r w:rsidRPr="00B13F8F">
        <w:rPr>
          <w:b/>
          <w:bCs/>
          <w:szCs w:val="22"/>
          <w:lang w:eastAsia="sv-SE"/>
        </w:rPr>
        <w:tab/>
        <w:t>POKYN O SPRÁVNOM PODANÍ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b/>
          <w:bCs/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Pokyn o správnom podaní</w:t>
      </w:r>
    </w:p>
    <w:p w:rsidR="00BE35B2" w:rsidRPr="00B13F8F" w:rsidRDefault="00BE35B2" w:rsidP="00BE35B2">
      <w:pPr>
        <w:rPr>
          <w:b/>
          <w:bCs/>
          <w:szCs w:val="22"/>
          <w:lang w:eastAsia="sv-SE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Aby sa zabezpečilo správne dávkovanie, živá hmotnosť by sa mala stanoviť čo najpresnejšie.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Príjem </w:t>
      </w:r>
      <w:proofErr w:type="spellStart"/>
      <w:r w:rsidRPr="00B13F8F">
        <w:rPr>
          <w:szCs w:val="22"/>
        </w:rPr>
        <w:t>medikovanej</w:t>
      </w:r>
      <w:proofErr w:type="spellEnd"/>
      <w:r w:rsidRPr="00B13F8F">
        <w:rPr>
          <w:szCs w:val="22"/>
        </w:rPr>
        <w:t xml:space="preserve"> vody/mliečnej náhrady závisí od klinického stavu zvierat. Na dosiahnutie správneho dávkovania môže byť potrebné primerane upraviť koncentráciu </w:t>
      </w:r>
      <w:proofErr w:type="spellStart"/>
      <w:r w:rsidRPr="00B13F8F">
        <w:rPr>
          <w:szCs w:val="22"/>
        </w:rPr>
        <w:t>salicylátu</w:t>
      </w:r>
      <w:proofErr w:type="spellEnd"/>
      <w:r w:rsidRPr="00B13F8F">
        <w:rPr>
          <w:szCs w:val="22"/>
        </w:rPr>
        <w:t xml:space="preserve"> sodného. 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Odporúča sa použitie vhodných kalibrovaných meracích prostriedkov.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Na základe odporúčanej dávky a počtu a hmotnosti liečených zvierat je potrebné vypočítať presnú dennú koncentráciu veterinárneho lieku podľa nasledujúceho vzorca:</w:t>
      </w:r>
    </w:p>
    <w:tbl>
      <w:tblPr>
        <w:tblStyle w:val="TableNormal1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3019"/>
        <w:gridCol w:w="589"/>
        <w:gridCol w:w="2851"/>
        <w:gridCol w:w="2206"/>
      </w:tblGrid>
      <w:tr w:rsidR="00946121" w:rsidTr="00BE123A">
        <w:trPr>
          <w:trHeight w:val="1236"/>
        </w:trPr>
        <w:tc>
          <w:tcPr>
            <w:tcW w:w="30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6121" w:rsidRDefault="00946121" w:rsidP="00BE123A">
            <w:pPr>
              <w:tabs>
                <w:tab w:val="left" w:leader="dot" w:pos="347"/>
              </w:tabs>
              <w:spacing w:line="247" w:lineRule="exact"/>
              <w:ind w:left="71"/>
              <w:rPr>
                <w:spacing w:val="-10"/>
              </w:rPr>
            </w:pPr>
          </w:p>
          <w:p w:rsidR="00946121" w:rsidRDefault="00946121" w:rsidP="00BE123A">
            <w:pPr>
              <w:tabs>
                <w:tab w:val="left" w:leader="dot" w:pos="347"/>
              </w:tabs>
              <w:spacing w:line="247" w:lineRule="exact"/>
              <w:ind w:left="71"/>
              <w:rPr>
                <w:sz w:val="20"/>
              </w:rPr>
            </w:pPr>
            <w:r>
              <w:rPr>
                <w:spacing w:val="-10"/>
              </w:rPr>
              <w:t>.</w:t>
            </w:r>
            <w:r>
              <w:tab/>
              <w:t xml:space="preserve">mg </w:t>
            </w:r>
            <w:proofErr w:type="spellStart"/>
            <w:r>
              <w:t>veterinárny</w:t>
            </w:r>
            <w:proofErr w:type="spellEnd"/>
            <w:r>
              <w:t xml:space="preserve"> </w:t>
            </w:r>
            <w:proofErr w:type="spellStart"/>
            <w:r>
              <w:t>lieku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/kg</w:t>
            </w:r>
          </w:p>
          <w:p w:rsidR="00946121" w:rsidRDefault="00946121" w:rsidP="00BE123A">
            <w:pPr>
              <w:tabs>
                <w:tab w:val="clear" w:pos="567"/>
                <w:tab w:val="left" w:pos="708"/>
              </w:tabs>
              <w:spacing w:line="240" w:lineRule="auto"/>
              <w:ind w:left="237"/>
              <w:rPr>
                <w:spacing w:val="-2"/>
              </w:rPr>
            </w:pPr>
            <w:proofErr w:type="spellStart"/>
            <w:r>
              <w:t>živej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hmotnosti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deň</w:t>
            </w:r>
            <w:proofErr w:type="spellEnd"/>
          </w:p>
          <w:p w:rsidR="00946121" w:rsidRDefault="00946121" w:rsidP="00BE123A">
            <w:pPr>
              <w:tabs>
                <w:tab w:val="clear" w:pos="567"/>
                <w:tab w:val="left" w:pos="708"/>
              </w:tabs>
              <w:spacing w:line="240" w:lineRule="auto"/>
              <w:ind w:left="237"/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6121" w:rsidRDefault="00946121" w:rsidP="00BE123A">
            <w:pPr>
              <w:tabs>
                <w:tab w:val="clear" w:pos="567"/>
                <w:tab w:val="left" w:pos="708"/>
              </w:tabs>
              <w:spacing w:before="8" w:line="240" w:lineRule="auto"/>
              <w:rPr>
                <w:sz w:val="24"/>
              </w:rPr>
            </w:pPr>
          </w:p>
          <w:p w:rsidR="00946121" w:rsidRDefault="00946121" w:rsidP="00BE123A">
            <w:pPr>
              <w:tabs>
                <w:tab w:val="clear" w:pos="567"/>
                <w:tab w:val="left" w:pos="708"/>
              </w:tabs>
              <w:spacing w:line="240" w:lineRule="auto"/>
              <w:ind w:right="83"/>
              <w:jc w:val="right"/>
            </w:pPr>
          </w:p>
          <w:p w:rsidR="00946121" w:rsidRDefault="00946121" w:rsidP="00BE123A">
            <w:pPr>
              <w:tabs>
                <w:tab w:val="clear" w:pos="567"/>
                <w:tab w:val="left" w:pos="708"/>
              </w:tabs>
              <w:spacing w:line="240" w:lineRule="auto"/>
              <w:ind w:right="83"/>
              <w:jc w:val="right"/>
            </w:pPr>
            <w:r>
              <w:t>x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46121" w:rsidRDefault="00946121" w:rsidP="00BE123A">
            <w:pPr>
              <w:tabs>
                <w:tab w:val="clear" w:pos="567"/>
                <w:tab w:val="left" w:pos="708"/>
              </w:tabs>
              <w:spacing w:line="276" w:lineRule="auto"/>
              <w:ind w:left="87"/>
            </w:pPr>
          </w:p>
          <w:p w:rsidR="00946121" w:rsidRDefault="00946121" w:rsidP="00BE123A">
            <w:pPr>
              <w:tabs>
                <w:tab w:val="clear" w:pos="567"/>
                <w:tab w:val="left" w:pos="708"/>
              </w:tabs>
              <w:spacing w:line="276" w:lineRule="auto"/>
              <w:ind w:left="87"/>
            </w:pPr>
            <w:proofErr w:type="spellStart"/>
            <w:r>
              <w:t>priemerná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živá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hmotnosť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(kg) </w:t>
            </w:r>
            <w:proofErr w:type="spellStart"/>
            <w:r>
              <w:t>zvierat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majú</w:t>
            </w:r>
            <w:proofErr w:type="spellEnd"/>
            <w:r>
              <w:t xml:space="preserve"> </w:t>
            </w:r>
            <w:proofErr w:type="spellStart"/>
            <w:r>
              <w:t>byť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liečené</w:t>
            </w:r>
            <w:proofErr w:type="spellEnd"/>
          </w:p>
        </w:tc>
        <w:tc>
          <w:tcPr>
            <w:tcW w:w="2206" w:type="dxa"/>
          </w:tcPr>
          <w:p w:rsidR="00946121" w:rsidRDefault="00946121" w:rsidP="00BE123A">
            <w:pPr>
              <w:tabs>
                <w:tab w:val="clear" w:pos="567"/>
                <w:tab w:val="left" w:pos="708"/>
              </w:tabs>
              <w:spacing w:before="5" w:line="240" w:lineRule="auto"/>
              <w:rPr>
                <w:sz w:val="24"/>
                <w:lang w:val="nl-NL"/>
              </w:rPr>
            </w:pPr>
          </w:p>
          <w:p w:rsidR="00946121" w:rsidRDefault="00946121" w:rsidP="00BE123A">
            <w:pPr>
              <w:tabs>
                <w:tab w:val="clear" w:pos="567"/>
                <w:tab w:val="left" w:pos="708"/>
              </w:tabs>
              <w:spacing w:before="43" w:line="240" w:lineRule="auto"/>
              <w:ind w:left="30"/>
              <w:rPr>
                <w:lang w:val="nl-NL"/>
              </w:rPr>
            </w:pPr>
          </w:p>
        </w:tc>
      </w:tr>
      <w:tr w:rsidR="00946121" w:rsidTr="00BE123A">
        <w:trPr>
          <w:trHeight w:val="70"/>
        </w:trPr>
        <w:tc>
          <w:tcPr>
            <w:tcW w:w="64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46121" w:rsidRDefault="00946121" w:rsidP="00BE123A">
            <w:pPr>
              <w:tabs>
                <w:tab w:val="clear" w:pos="567"/>
                <w:tab w:val="left" w:pos="708"/>
              </w:tabs>
              <w:spacing w:line="232" w:lineRule="exact"/>
              <w:ind w:left="71"/>
              <w:rPr>
                <w:lang w:val="nl-NL"/>
              </w:rPr>
            </w:pPr>
          </w:p>
          <w:p w:rsidR="00946121" w:rsidRDefault="00946121" w:rsidP="00BE123A">
            <w:pPr>
              <w:tabs>
                <w:tab w:val="clear" w:pos="567"/>
                <w:tab w:val="left" w:pos="708"/>
              </w:tabs>
              <w:spacing w:line="232" w:lineRule="exact"/>
              <w:ind w:left="71"/>
              <w:rPr>
                <w:lang w:val="pt-PT"/>
              </w:rPr>
            </w:pPr>
            <w:r>
              <w:rPr>
                <w:lang w:val="pt-PT"/>
              </w:rPr>
              <w:t>priemerná</w:t>
            </w:r>
            <w:r>
              <w:rPr>
                <w:spacing w:val="-5"/>
                <w:lang w:val="pt-PT"/>
              </w:rPr>
              <w:t xml:space="preserve"> </w:t>
            </w:r>
            <w:r>
              <w:rPr>
                <w:lang w:val="pt-PT"/>
              </w:rPr>
              <w:t>denná</w:t>
            </w:r>
            <w:r>
              <w:rPr>
                <w:spacing w:val="-2"/>
                <w:lang w:val="pt-PT"/>
              </w:rPr>
              <w:t xml:space="preserve"> </w:t>
            </w:r>
            <w:r>
              <w:rPr>
                <w:lang w:val="pt-PT"/>
              </w:rPr>
              <w:t>spotreba</w:t>
            </w:r>
            <w:r>
              <w:rPr>
                <w:spacing w:val="-2"/>
                <w:lang w:val="pt-PT"/>
              </w:rPr>
              <w:t xml:space="preserve"> </w:t>
            </w:r>
            <w:r>
              <w:rPr>
                <w:lang w:val="pt-PT"/>
              </w:rPr>
              <w:t>vody</w:t>
            </w:r>
            <w:r>
              <w:rPr>
                <w:spacing w:val="-5"/>
                <w:lang w:val="pt-PT"/>
              </w:rPr>
              <w:t xml:space="preserve"> </w:t>
            </w:r>
            <w:r>
              <w:rPr>
                <w:lang w:val="pt-PT"/>
              </w:rPr>
              <w:t>/</w:t>
            </w:r>
            <w:r>
              <w:rPr>
                <w:spacing w:val="-1"/>
                <w:lang w:val="pt-PT"/>
              </w:rPr>
              <w:t xml:space="preserve"> </w:t>
            </w:r>
            <w:r>
              <w:rPr>
                <w:lang w:val="pt-PT"/>
              </w:rPr>
              <w:t>mlieka</w:t>
            </w:r>
            <w:r>
              <w:rPr>
                <w:spacing w:val="-2"/>
                <w:lang w:val="pt-PT"/>
              </w:rPr>
              <w:t xml:space="preserve"> </w:t>
            </w:r>
            <w:r>
              <w:rPr>
                <w:lang w:val="pt-PT"/>
              </w:rPr>
              <w:t>(l)</w:t>
            </w:r>
            <w:r>
              <w:rPr>
                <w:spacing w:val="-4"/>
                <w:lang w:val="pt-PT"/>
              </w:rPr>
              <w:t xml:space="preserve"> </w:t>
            </w:r>
            <w:r>
              <w:rPr>
                <w:lang w:val="pt-PT"/>
              </w:rPr>
              <w:t>na</w:t>
            </w:r>
            <w:r>
              <w:rPr>
                <w:spacing w:val="-2"/>
                <w:lang w:val="pt-PT"/>
              </w:rPr>
              <w:t xml:space="preserve"> zviera   </w:t>
            </w:r>
          </w:p>
        </w:tc>
        <w:tc>
          <w:tcPr>
            <w:tcW w:w="2206" w:type="dxa"/>
          </w:tcPr>
          <w:p w:rsidR="00946121" w:rsidRDefault="00946121" w:rsidP="00BE123A">
            <w:pPr>
              <w:tabs>
                <w:tab w:val="left" w:leader="dot" w:pos="477"/>
              </w:tabs>
              <w:spacing w:line="240" w:lineRule="auto"/>
              <w:ind w:left="21"/>
              <w:jc w:val="center"/>
              <w:rPr>
                <w:lang w:val="nl-NL"/>
              </w:rPr>
            </w:pPr>
            <w:r>
              <w:rPr>
                <w:spacing w:val="-10"/>
                <w:lang w:val="nl-NL"/>
              </w:rPr>
              <w:t xml:space="preserve"> = </w:t>
            </w:r>
            <w:r>
              <w:rPr>
                <w:lang w:val="nl-NL"/>
              </w:rPr>
              <w:tab/>
              <w:t>mg</w:t>
            </w:r>
            <w:r>
              <w:rPr>
                <w:spacing w:val="-5"/>
                <w:lang w:val="nl-NL"/>
              </w:rPr>
              <w:t xml:space="preserve"> </w:t>
            </w:r>
            <w:r>
              <w:rPr>
                <w:lang w:val="nl-NL"/>
              </w:rPr>
              <w:t>veterinárneho lieku</w:t>
            </w:r>
            <w:r>
              <w:rPr>
                <w:spacing w:val="-2"/>
                <w:lang w:val="nl-NL"/>
              </w:rPr>
              <w:t xml:space="preserve">  </w:t>
            </w:r>
            <w:r>
              <w:rPr>
                <w:lang w:val="nl-NL"/>
              </w:rPr>
              <w:t>na</w:t>
            </w:r>
            <w:r>
              <w:rPr>
                <w:spacing w:val="-3"/>
                <w:lang w:val="nl-NL"/>
              </w:rPr>
              <w:t xml:space="preserve"> 1 liter</w:t>
            </w:r>
          </w:p>
          <w:p w:rsidR="00946121" w:rsidRDefault="00946121" w:rsidP="00BE123A">
            <w:pPr>
              <w:tabs>
                <w:tab w:val="clear" w:pos="567"/>
                <w:tab w:val="left" w:pos="708"/>
              </w:tabs>
              <w:spacing w:line="240" w:lineRule="auto"/>
              <w:rPr>
                <w:sz w:val="18"/>
                <w:lang w:val="pt-PT"/>
              </w:rPr>
            </w:pPr>
            <w:r>
              <w:rPr>
                <w:lang w:val="nl-NL"/>
              </w:rPr>
              <w:t xml:space="preserve">      pitnej</w:t>
            </w:r>
            <w:r>
              <w:rPr>
                <w:spacing w:val="-2"/>
                <w:lang w:val="nl-NL"/>
              </w:rPr>
              <w:t xml:space="preserve"> </w:t>
            </w:r>
            <w:r>
              <w:rPr>
                <w:lang w:val="nl-NL"/>
              </w:rPr>
              <w:t>vody</w:t>
            </w:r>
            <w:r>
              <w:rPr>
                <w:spacing w:val="-4"/>
                <w:lang w:val="nl-NL"/>
              </w:rPr>
              <w:t xml:space="preserve"> </w:t>
            </w:r>
            <w:r>
              <w:rPr>
                <w:lang w:val="nl-NL"/>
              </w:rPr>
              <w:t>/</w:t>
            </w:r>
            <w:r>
              <w:rPr>
                <w:spacing w:val="-1"/>
                <w:lang w:val="nl-NL"/>
              </w:rPr>
              <w:t xml:space="preserve"> </w:t>
            </w:r>
            <w:r>
              <w:rPr>
                <w:spacing w:val="-2"/>
                <w:lang w:val="nl-NL"/>
              </w:rPr>
              <w:t>mlieka</w:t>
            </w:r>
          </w:p>
        </w:tc>
      </w:tr>
    </w:tbl>
    <w:p w:rsidR="00946121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Maximálna rozpustnosť lieku testovaného v náhradke mlieka pri 65 °C je 10 g/l. Mliečna náhrada by mala byť pripravená pred pridaním lieku. Roztok by sa mal miešať 5 minút.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mliečna náhrada by sa mala spotrebovať do 6 hodín po príprave.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Maximálna rozpustnosť lieku vo vode (mäkká/tvrdá) pri 4 ºC/20 ºC je 250 g/l.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Pri zásobných roztokoch a pri použití dávkovača dbajte na to, aby ste neprekročili maximálnu rozpustnosť, ktorú je možné za daných podmienok dosiahnuť. Upravte nastavenie prietoku </w:t>
      </w:r>
      <w:r w:rsidRPr="00B13F8F">
        <w:rPr>
          <w:szCs w:val="22"/>
        </w:rPr>
        <w:lastRenderedPageBreak/>
        <w:t xml:space="preserve">dávkovacieho čerpadla podľa koncentrácie zásobného roztoku a príjmu vody zvierat, ktoré majú byť ošetrené.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pitná voda by mala byť čerstvo pripravená každých 24 hodín.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Počas liečby sa má v častých intervaloch monitorovať príjem vody.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pitná voda by mala byť jediným zdrojom pitnej vody počas trvania liečby. Akákoľvek </w:t>
      </w: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pitná voda, ktorá sa nespotrebuje do 24 hodín, sa má zlikvidovať.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Po skončení obdobia liečby sa má systém prívodu vody vhodne vyčistiť, aby sa zabránilo príjmu </w:t>
      </w:r>
      <w:proofErr w:type="spellStart"/>
      <w:r w:rsidRPr="00B13F8F">
        <w:rPr>
          <w:szCs w:val="22"/>
        </w:rPr>
        <w:t>subterapeutických</w:t>
      </w:r>
      <w:proofErr w:type="spellEnd"/>
      <w:r w:rsidRPr="00B13F8F">
        <w:rPr>
          <w:szCs w:val="22"/>
        </w:rPr>
        <w:t xml:space="preserve"> množstiev účinnej látky.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11.</w:t>
      </w:r>
      <w:r w:rsidRPr="00B13F8F">
        <w:rPr>
          <w:b/>
          <w:bCs/>
          <w:szCs w:val="22"/>
          <w:lang w:eastAsia="sv-SE"/>
        </w:rPr>
        <w:tab/>
        <w:t>OCHRANNÉ LEHOTY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b/>
          <w:szCs w:val="22"/>
          <w:lang w:eastAsia="sv-SE"/>
        </w:rPr>
      </w:pPr>
      <w:r w:rsidRPr="00B13F8F">
        <w:rPr>
          <w:b/>
          <w:szCs w:val="22"/>
          <w:lang w:eastAsia="sv-SE"/>
        </w:rPr>
        <w:t>Ochranné lehoty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Hovädzí dobytok (teľatá) a ošípané: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Mäso a vnútornosti: 0 dní.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Nie je registrovaný na použitie u zvierat produkujúcich mlieko na ľudskú spotrebu.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12.</w:t>
      </w:r>
      <w:r w:rsidRPr="00B13F8F">
        <w:rPr>
          <w:b/>
          <w:bCs/>
          <w:szCs w:val="22"/>
          <w:lang w:eastAsia="sv-SE"/>
        </w:rPr>
        <w:tab/>
        <w:t>OSOBITNÉ OPATRENIA NA UCHOVÁVANIE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Osobitné opatrenia na uchovávanie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numPr>
          <w:ilvl w:val="12"/>
          <w:numId w:val="0"/>
        </w:numPr>
        <w:rPr>
          <w:rFonts w:eastAsia="SimSun"/>
          <w:szCs w:val="22"/>
          <w:lang w:eastAsia="zh-CN"/>
        </w:rPr>
      </w:pPr>
      <w:r w:rsidRPr="00B13F8F">
        <w:rPr>
          <w:szCs w:val="22"/>
        </w:rPr>
        <w:t>Uchovávať mimo dohľadu a dosahu detí.</w:t>
      </w:r>
    </w:p>
    <w:p w:rsidR="00BE35B2" w:rsidRPr="00B13F8F" w:rsidRDefault="00BE35B2" w:rsidP="00BE35B2">
      <w:pPr>
        <w:numPr>
          <w:ilvl w:val="12"/>
          <w:numId w:val="0"/>
        </w:numPr>
        <w:rPr>
          <w:szCs w:val="22"/>
        </w:rPr>
      </w:pP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Tento veterinárny liek nevyžaduje žiadne zvláštne teplotné podmienky na uchovávanie.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Uchovávať v pôvodnom obale aby bol chránený pred svetlom.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Medikovaná</w:t>
      </w:r>
      <w:proofErr w:type="spellEnd"/>
      <w:r w:rsidRPr="00B13F8F">
        <w:rPr>
          <w:szCs w:val="22"/>
        </w:rPr>
        <w:t xml:space="preserve"> pitná voda by mala byť chránená pred svetlom.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Liečivá náhradka mlieka nevyžaduje žiadne osobitné podmienky na uchovávanie.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946121" w:rsidRPr="00B13F8F" w:rsidRDefault="00946121" w:rsidP="00946121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Nepoužívať tento veterinárny liek po dátume exspirácie uvedenom na etikete po </w:t>
      </w:r>
      <w:proofErr w:type="spellStart"/>
      <w:r w:rsidRPr="00B13F8F">
        <w:rPr>
          <w:szCs w:val="22"/>
        </w:rPr>
        <w:t>Exp</w:t>
      </w:r>
      <w:proofErr w:type="spellEnd"/>
      <w:r w:rsidRPr="00B13F8F">
        <w:rPr>
          <w:szCs w:val="22"/>
        </w:rPr>
        <w:t>. Dátum exspirácie sa vzťahuje na posledný deň v uvedenom mesiaci.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13.</w:t>
      </w:r>
      <w:r w:rsidRPr="00B13F8F">
        <w:rPr>
          <w:b/>
          <w:bCs/>
          <w:szCs w:val="22"/>
          <w:lang w:eastAsia="sv-SE"/>
        </w:rPr>
        <w:tab/>
        <w:t>OSOBITNÉ OPATRENIA NA LIKVIDÁCIU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b/>
          <w:iCs/>
          <w:szCs w:val="22"/>
          <w:lang w:eastAsia="sv-SE"/>
        </w:rPr>
      </w:pPr>
      <w:r w:rsidRPr="00B13F8F">
        <w:rPr>
          <w:b/>
          <w:iCs/>
          <w:szCs w:val="22"/>
          <w:lang w:eastAsia="sv-SE"/>
        </w:rPr>
        <w:t>Osobitné opatrenia na likvidáciu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rFonts w:eastAsia="SimSun"/>
          <w:szCs w:val="22"/>
          <w:lang w:eastAsia="zh-CN"/>
        </w:rPr>
      </w:pPr>
      <w:r w:rsidRPr="00B13F8F">
        <w:rPr>
          <w:szCs w:val="22"/>
        </w:rPr>
        <w:t>Nelikvidujte lieky odpadovou vodou alebo domovým odpadom.</w:t>
      </w: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</w:rPr>
        <w:t>O spôsobe likvidácie liekov, ktoré už nepotrebujete, sa poraďte s veterinárnym lekárom alebo lekárnikom.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14.</w:t>
      </w:r>
      <w:r w:rsidRPr="00B13F8F">
        <w:rPr>
          <w:b/>
          <w:bCs/>
          <w:szCs w:val="22"/>
          <w:lang w:eastAsia="sv-SE"/>
        </w:rPr>
        <w:tab/>
      </w:r>
      <w:r w:rsidRPr="00B13F8F">
        <w:rPr>
          <w:b/>
          <w:szCs w:val="22"/>
        </w:rPr>
        <w:t>KLASIFIKÁCIA VETERINÁRNYCH LIEKOV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szCs w:val="22"/>
          <w:lang w:eastAsia="sv-SE"/>
        </w:rPr>
      </w:pPr>
      <w:r w:rsidRPr="00B13F8F">
        <w:rPr>
          <w:b/>
          <w:szCs w:val="22"/>
          <w:lang w:eastAsia="sv-SE"/>
        </w:rPr>
        <w:t>Klasifikácia veterinárnych liekov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szCs w:val="22"/>
          <w:lang w:eastAsia="sv-SE"/>
        </w:rPr>
      </w:pPr>
      <w:r w:rsidRPr="00B13F8F">
        <w:rPr>
          <w:szCs w:val="22"/>
          <w:lang w:eastAsia="sv-SE"/>
        </w:rPr>
        <w:t>Výdaj lieku je viazaný na veterinárny predpis.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15.</w:t>
      </w:r>
      <w:r w:rsidRPr="00B13F8F">
        <w:rPr>
          <w:b/>
          <w:bCs/>
          <w:szCs w:val="22"/>
          <w:lang w:eastAsia="sv-SE"/>
        </w:rPr>
        <w:tab/>
        <w:t>REGISTRAČNÉ ČÍSLO A VEĽKOSŤ BALENIA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A12A99" w:rsidRPr="00B13F8F" w:rsidRDefault="00A12A99" w:rsidP="00A12A99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96/031/DC/23-S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b/>
          <w:szCs w:val="22"/>
          <w:lang w:eastAsia="sv-SE"/>
        </w:rPr>
      </w:pPr>
      <w:r w:rsidRPr="00B13F8F">
        <w:rPr>
          <w:b/>
          <w:szCs w:val="22"/>
          <w:lang w:eastAsia="sv-SE"/>
        </w:rPr>
        <w:t>Veľkosti balenia</w:t>
      </w:r>
    </w:p>
    <w:p w:rsidR="00BE35B2" w:rsidRPr="00B13F8F" w:rsidRDefault="00BE35B2" w:rsidP="00BE35B2">
      <w:pPr>
        <w:rPr>
          <w:szCs w:val="22"/>
          <w:lang w:eastAsia="sv-SE"/>
        </w:rPr>
      </w:pPr>
      <w:r w:rsidRPr="00B13F8F">
        <w:rPr>
          <w:szCs w:val="22"/>
          <w:lang w:eastAsia="sv-SE"/>
        </w:rPr>
        <w:t>Bezpečnostný obal: 500 g, 1 kg.</w:t>
      </w:r>
    </w:p>
    <w:p w:rsidR="00BE35B2" w:rsidRPr="00B13F8F" w:rsidRDefault="00BE35B2" w:rsidP="00BE35B2">
      <w:pPr>
        <w:rPr>
          <w:szCs w:val="22"/>
          <w:lang w:eastAsia="sv-SE"/>
        </w:rPr>
      </w:pPr>
      <w:r w:rsidRPr="00B13F8F">
        <w:rPr>
          <w:szCs w:val="22"/>
          <w:lang w:eastAsia="sv-SE"/>
        </w:rPr>
        <w:lastRenderedPageBreak/>
        <w:t>Vedro: 1 kg, 2</w:t>
      </w:r>
      <w:r w:rsidR="00BD1C06" w:rsidRPr="00B13F8F">
        <w:rPr>
          <w:szCs w:val="22"/>
          <w:lang w:eastAsia="sv-SE"/>
        </w:rPr>
        <w:t>,</w:t>
      </w:r>
      <w:r w:rsidRPr="00B13F8F">
        <w:rPr>
          <w:szCs w:val="22"/>
          <w:lang w:eastAsia="sv-SE"/>
        </w:rPr>
        <w:t xml:space="preserve">5 kg </w:t>
      </w:r>
      <w:r w:rsidR="00BD1C06" w:rsidRPr="00B13F8F">
        <w:rPr>
          <w:szCs w:val="22"/>
          <w:lang w:eastAsia="sv-SE"/>
        </w:rPr>
        <w:t>alebo</w:t>
      </w:r>
      <w:r w:rsidRPr="00B13F8F">
        <w:rPr>
          <w:szCs w:val="22"/>
          <w:lang w:eastAsia="sv-SE"/>
        </w:rPr>
        <w:t xml:space="preserve"> 5 kg.</w:t>
      </w:r>
    </w:p>
    <w:p w:rsidR="00BE35B2" w:rsidRPr="00B13F8F" w:rsidRDefault="00BE35B2" w:rsidP="00BE35B2">
      <w:pPr>
        <w:rPr>
          <w:rFonts w:eastAsia="SimSun"/>
          <w:szCs w:val="22"/>
          <w:lang w:eastAsia="zh-CN"/>
        </w:rPr>
      </w:pPr>
      <w:r w:rsidRPr="00B13F8F">
        <w:rPr>
          <w:szCs w:val="22"/>
        </w:rPr>
        <w:t>Na trh nemusia byť uvedené všetky veľkosti balenia.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16.</w:t>
      </w:r>
      <w:r w:rsidRPr="00B13F8F">
        <w:rPr>
          <w:b/>
          <w:bCs/>
          <w:szCs w:val="22"/>
          <w:lang w:eastAsia="sv-SE"/>
        </w:rPr>
        <w:tab/>
        <w:t>DÁTUM POSLEDNEJ REVÍZIE TEXTU NA OBALE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b/>
          <w:szCs w:val="22"/>
          <w:lang w:eastAsia="sv-SE"/>
        </w:rPr>
      </w:pPr>
      <w:r w:rsidRPr="00B13F8F">
        <w:rPr>
          <w:b/>
          <w:szCs w:val="22"/>
          <w:lang w:eastAsia="sv-SE"/>
        </w:rPr>
        <w:t>Dátum poslednej revízie textu na obale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rFonts w:eastAsia="SimSun"/>
          <w:szCs w:val="22"/>
          <w:lang w:eastAsia="zh-CN"/>
        </w:rPr>
      </w:pPr>
      <w:r w:rsidRPr="00B13F8F">
        <w:rPr>
          <w:szCs w:val="22"/>
        </w:rPr>
        <w:t xml:space="preserve"> 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ind w:right="-318"/>
        <w:rPr>
          <w:rFonts w:eastAsia="SimSun"/>
          <w:szCs w:val="22"/>
          <w:lang w:eastAsia="zh-CN"/>
        </w:rPr>
      </w:pPr>
      <w:r w:rsidRPr="00B13F8F">
        <w:rPr>
          <w:szCs w:val="22"/>
        </w:rPr>
        <w:t>Podrobné informácie o veterinárnom lieku sú dostupné v databáze liekov Únie (</w:t>
      </w:r>
      <w:hyperlink r:id="rId12" w:history="1">
        <w:r w:rsidRPr="00B13F8F">
          <w:rPr>
            <w:rStyle w:val="Hypertextovprepojenie"/>
            <w:szCs w:val="22"/>
          </w:rPr>
          <w:t>https://medicines.health.europa.eu/veterinary</w:t>
        </w:r>
      </w:hyperlink>
      <w:r w:rsidRPr="00B13F8F">
        <w:rPr>
          <w:szCs w:val="22"/>
        </w:rPr>
        <w:t>).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B13F8F">
        <w:rPr>
          <w:b/>
          <w:bCs/>
          <w:szCs w:val="22"/>
          <w:lang w:eastAsia="sv-SE"/>
        </w:rPr>
        <w:t>17.</w:t>
      </w:r>
      <w:r w:rsidRPr="00B13F8F">
        <w:rPr>
          <w:b/>
          <w:bCs/>
          <w:szCs w:val="22"/>
          <w:lang w:eastAsia="sv-SE"/>
        </w:rPr>
        <w:tab/>
        <w:t>KONTAKTNÉ ÚDAJE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b/>
          <w:szCs w:val="22"/>
          <w:lang w:eastAsia="sv-SE"/>
        </w:rPr>
      </w:pPr>
      <w:r w:rsidRPr="00B13F8F">
        <w:rPr>
          <w:b/>
          <w:szCs w:val="22"/>
          <w:lang w:eastAsia="sv-SE"/>
        </w:rPr>
        <w:t>Kontaktné údaje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iCs/>
          <w:szCs w:val="22"/>
          <w:u w:val="single"/>
        </w:rPr>
      </w:pPr>
      <w:r w:rsidRPr="00B13F8F">
        <w:rPr>
          <w:iCs/>
          <w:szCs w:val="22"/>
          <w:u w:val="single"/>
        </w:rPr>
        <w:t>Držiteľ rozhodnutia o</w:t>
      </w:r>
      <w:r w:rsidR="00BD1C06" w:rsidRPr="00B13F8F">
        <w:rPr>
          <w:iCs/>
          <w:szCs w:val="22"/>
          <w:u w:val="single"/>
        </w:rPr>
        <w:t> </w:t>
      </w:r>
      <w:r w:rsidRPr="00B13F8F">
        <w:rPr>
          <w:iCs/>
          <w:szCs w:val="22"/>
          <w:u w:val="single"/>
        </w:rPr>
        <w:t>registrácii</w:t>
      </w:r>
      <w:r w:rsidR="00BD1C06" w:rsidRPr="00B13F8F">
        <w:rPr>
          <w:iCs/>
          <w:szCs w:val="22"/>
          <w:u w:val="single"/>
        </w:rPr>
        <w:t xml:space="preserve"> a kontaktné údaje na hlásenie podozrenia na nežiaduce účinky</w:t>
      </w:r>
      <w:r w:rsidRPr="00B13F8F">
        <w:rPr>
          <w:iCs/>
          <w:szCs w:val="22"/>
          <w:u w:val="single"/>
        </w:rPr>
        <w:t>:</w:t>
      </w:r>
    </w:p>
    <w:p w:rsidR="00BD1C06" w:rsidRPr="00B13F8F" w:rsidRDefault="00BD1C06" w:rsidP="00BD1C0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Dopharma</w:t>
      </w:r>
      <w:proofErr w:type="spellEnd"/>
      <w:r w:rsidRPr="00B13F8F">
        <w:rPr>
          <w:szCs w:val="22"/>
        </w:rPr>
        <w:t xml:space="preserve"> </w:t>
      </w:r>
      <w:proofErr w:type="spellStart"/>
      <w:r w:rsidRPr="00B13F8F">
        <w:rPr>
          <w:szCs w:val="22"/>
        </w:rPr>
        <w:t>Research</w:t>
      </w:r>
      <w:proofErr w:type="spellEnd"/>
      <w:r w:rsidRPr="00B13F8F">
        <w:rPr>
          <w:szCs w:val="22"/>
        </w:rPr>
        <w:t xml:space="preserve"> B.V.</w:t>
      </w:r>
    </w:p>
    <w:p w:rsidR="00BD1C06" w:rsidRPr="00B13F8F" w:rsidRDefault="00BD1C06" w:rsidP="00BD1C0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B13F8F">
        <w:rPr>
          <w:szCs w:val="22"/>
        </w:rPr>
        <w:t>Zalmweg</w:t>
      </w:r>
      <w:proofErr w:type="spellEnd"/>
      <w:r w:rsidRPr="00B13F8F">
        <w:rPr>
          <w:szCs w:val="22"/>
        </w:rPr>
        <w:t xml:space="preserve"> 24</w:t>
      </w:r>
    </w:p>
    <w:p w:rsidR="00BD1C06" w:rsidRPr="00B13F8F" w:rsidRDefault="00BD1C06" w:rsidP="00BD1C0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 xml:space="preserve">NL 4941 VX </w:t>
      </w:r>
      <w:proofErr w:type="spellStart"/>
      <w:r w:rsidRPr="00B13F8F">
        <w:rPr>
          <w:szCs w:val="22"/>
        </w:rPr>
        <w:t>Raamsdonksveer</w:t>
      </w:r>
      <w:proofErr w:type="spellEnd"/>
    </w:p>
    <w:p w:rsidR="00BD1C06" w:rsidRPr="00B13F8F" w:rsidRDefault="00BD1C06" w:rsidP="00BD1C0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Holandsko</w:t>
      </w:r>
    </w:p>
    <w:p w:rsidR="00BD1C06" w:rsidRPr="00B13F8F" w:rsidRDefault="00BD1C06" w:rsidP="00BD1C06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B13F8F">
        <w:rPr>
          <w:szCs w:val="22"/>
          <w:lang w:val="nl-NL"/>
        </w:rPr>
        <w:t>Tel: +31-162-582000</w:t>
      </w:r>
    </w:p>
    <w:p w:rsidR="00BD1C06" w:rsidRPr="00B13F8F" w:rsidRDefault="00C304A5" w:rsidP="00BD1C06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hyperlink r:id="rId13" w:history="1">
        <w:r w:rsidR="00BD1C06" w:rsidRPr="00B13F8F">
          <w:rPr>
            <w:rStyle w:val="Hypertextovprepojenie"/>
            <w:szCs w:val="22"/>
            <w:lang w:val="nl-NL"/>
          </w:rPr>
          <w:t>pharmacovigilance@dopharma.com</w:t>
        </w:r>
      </w:hyperlink>
    </w:p>
    <w:p w:rsidR="00BD1C06" w:rsidRPr="00B13F8F" w:rsidRDefault="00BD1C06" w:rsidP="00BD1C0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BD1C06" w:rsidRPr="00B13F8F" w:rsidRDefault="00BD1C06" w:rsidP="00BD1C06">
      <w:pPr>
        <w:rPr>
          <w:bCs/>
          <w:szCs w:val="22"/>
        </w:rPr>
      </w:pPr>
      <w:r w:rsidRPr="00B13F8F">
        <w:rPr>
          <w:bCs/>
          <w:szCs w:val="22"/>
          <w:u w:val="single"/>
        </w:rPr>
        <w:t>Výrobca zodpovedný za uvoľnenie šarže</w:t>
      </w:r>
      <w:r w:rsidRPr="00B13F8F">
        <w:rPr>
          <w:szCs w:val="22"/>
        </w:rPr>
        <w:t>:</w:t>
      </w:r>
    </w:p>
    <w:p w:rsidR="00BD1C06" w:rsidRPr="00B13F8F" w:rsidRDefault="00BD1C06" w:rsidP="00BD1C06">
      <w:pPr>
        <w:rPr>
          <w:bCs/>
          <w:szCs w:val="22"/>
        </w:rPr>
      </w:pPr>
      <w:proofErr w:type="spellStart"/>
      <w:r w:rsidRPr="00B13F8F">
        <w:rPr>
          <w:bCs/>
          <w:szCs w:val="22"/>
        </w:rPr>
        <w:t>Dopharma</w:t>
      </w:r>
      <w:proofErr w:type="spellEnd"/>
      <w:r w:rsidRPr="00B13F8F">
        <w:rPr>
          <w:bCs/>
          <w:szCs w:val="22"/>
        </w:rPr>
        <w:t xml:space="preserve"> B.V.</w:t>
      </w:r>
    </w:p>
    <w:p w:rsidR="00BD1C06" w:rsidRPr="00B13F8F" w:rsidRDefault="00BD1C06" w:rsidP="00BD1C06">
      <w:pPr>
        <w:rPr>
          <w:bCs/>
          <w:szCs w:val="22"/>
        </w:rPr>
      </w:pPr>
      <w:proofErr w:type="spellStart"/>
      <w:r w:rsidRPr="00B13F8F">
        <w:rPr>
          <w:bCs/>
          <w:szCs w:val="22"/>
        </w:rPr>
        <w:t>Zalmweg</w:t>
      </w:r>
      <w:proofErr w:type="spellEnd"/>
      <w:r w:rsidRPr="00B13F8F">
        <w:rPr>
          <w:bCs/>
          <w:szCs w:val="22"/>
        </w:rPr>
        <w:t xml:space="preserve"> 24</w:t>
      </w:r>
    </w:p>
    <w:p w:rsidR="00BD1C06" w:rsidRPr="00B13F8F" w:rsidRDefault="00BD1C06" w:rsidP="00BD1C06">
      <w:pPr>
        <w:rPr>
          <w:bCs/>
          <w:szCs w:val="22"/>
        </w:rPr>
      </w:pPr>
      <w:r w:rsidRPr="00B13F8F">
        <w:rPr>
          <w:bCs/>
          <w:szCs w:val="22"/>
        </w:rPr>
        <w:t xml:space="preserve">NL 4941 VX </w:t>
      </w:r>
      <w:proofErr w:type="spellStart"/>
      <w:r w:rsidRPr="00B13F8F">
        <w:rPr>
          <w:bCs/>
          <w:szCs w:val="22"/>
        </w:rPr>
        <w:t>Raamsdonksveer</w:t>
      </w:r>
      <w:proofErr w:type="spellEnd"/>
    </w:p>
    <w:p w:rsidR="00BD1C06" w:rsidRPr="00B13F8F" w:rsidRDefault="00BD1C06" w:rsidP="00BD1C06">
      <w:pPr>
        <w:rPr>
          <w:bCs/>
          <w:szCs w:val="22"/>
        </w:rPr>
      </w:pPr>
      <w:r w:rsidRPr="00B13F8F">
        <w:rPr>
          <w:bCs/>
          <w:szCs w:val="22"/>
        </w:rPr>
        <w:t>Holandsko</w:t>
      </w:r>
    </w:p>
    <w:p w:rsidR="00BE35B2" w:rsidRPr="00B13F8F" w:rsidRDefault="00BE35B2" w:rsidP="00BE35B2">
      <w:pPr>
        <w:rPr>
          <w:bCs/>
          <w:szCs w:val="22"/>
        </w:rPr>
      </w:pP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  <w:u w:val="single"/>
        </w:rPr>
        <w:t>Miestni zástupcovia a kontaktné údaje na hlásenie podozrenia na nežiaduce účinky</w:t>
      </w:r>
      <w:r w:rsidRPr="00B13F8F">
        <w:rPr>
          <w:szCs w:val="22"/>
        </w:rPr>
        <w:t>:</w:t>
      </w:r>
    </w:p>
    <w:p w:rsidR="00BE35B2" w:rsidRPr="00B13F8F" w:rsidRDefault="00BE35B2" w:rsidP="00BE35B2">
      <w:pPr>
        <w:rPr>
          <w:szCs w:val="22"/>
        </w:rPr>
      </w:pPr>
      <w:proofErr w:type="spellStart"/>
      <w:r w:rsidRPr="00B13F8F">
        <w:rPr>
          <w:szCs w:val="22"/>
        </w:rPr>
        <w:t>Cymedica</w:t>
      </w:r>
      <w:proofErr w:type="spellEnd"/>
      <w:r w:rsidRPr="00B13F8F">
        <w:rPr>
          <w:szCs w:val="22"/>
        </w:rPr>
        <w:t>, spol. s r.o.</w:t>
      </w: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</w:rPr>
        <w:t>Pod Nádražím 308/24</w:t>
      </w: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</w:rPr>
        <w:t xml:space="preserve">CZ 268 01 </w:t>
      </w:r>
      <w:proofErr w:type="spellStart"/>
      <w:r w:rsidRPr="00B13F8F">
        <w:rPr>
          <w:szCs w:val="22"/>
        </w:rPr>
        <w:t>Hořovice</w:t>
      </w:r>
      <w:proofErr w:type="spellEnd"/>
    </w:p>
    <w:p w:rsidR="00BD1C06" w:rsidRPr="00B13F8F" w:rsidRDefault="00BD1C06" w:rsidP="00BE35B2">
      <w:pPr>
        <w:rPr>
          <w:szCs w:val="22"/>
        </w:rPr>
      </w:pPr>
      <w:r w:rsidRPr="00B13F8F">
        <w:rPr>
          <w:szCs w:val="22"/>
        </w:rPr>
        <w:t>Česká republika</w:t>
      </w:r>
    </w:p>
    <w:p w:rsidR="00BE35B2" w:rsidRPr="00B13F8F" w:rsidRDefault="00BE35B2" w:rsidP="00BE35B2">
      <w:pPr>
        <w:rPr>
          <w:bCs/>
          <w:szCs w:val="22"/>
        </w:rPr>
      </w:pPr>
      <w:r w:rsidRPr="00B13F8F">
        <w:rPr>
          <w:bCs/>
          <w:szCs w:val="22"/>
          <w:lang w:val="cs-CZ"/>
        </w:rPr>
        <w:t>Tel: +</w:t>
      </w:r>
      <w:r w:rsidRPr="00B13F8F">
        <w:rPr>
          <w:bCs/>
          <w:szCs w:val="22"/>
        </w:rPr>
        <w:t>420 311 706 211</w:t>
      </w:r>
    </w:p>
    <w:p w:rsidR="00BE35B2" w:rsidRPr="00B13F8F" w:rsidRDefault="00C304A5" w:rsidP="00BE35B2">
      <w:pPr>
        <w:rPr>
          <w:szCs w:val="22"/>
        </w:rPr>
      </w:pPr>
      <w:hyperlink r:id="rId14" w:history="1">
        <w:r w:rsidR="00BE35B2" w:rsidRPr="00B13F8F">
          <w:rPr>
            <w:rStyle w:val="Hypertextovprepojenie"/>
            <w:szCs w:val="22"/>
          </w:rPr>
          <w:t>farmakovigilance@cymedica.com</w:t>
        </w:r>
      </w:hyperlink>
    </w:p>
    <w:p w:rsidR="00BE35B2" w:rsidRPr="00B13F8F" w:rsidRDefault="00BE35B2" w:rsidP="00BE35B2">
      <w:pPr>
        <w:rPr>
          <w:rFonts w:eastAsia="SimSun"/>
          <w:szCs w:val="22"/>
          <w:lang w:eastAsia="zh-CN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b/>
          <w:szCs w:val="22"/>
          <w:lang w:eastAsia="sv-SE"/>
        </w:rPr>
      </w:pPr>
      <w:r w:rsidRPr="00B13F8F">
        <w:rPr>
          <w:b/>
          <w:szCs w:val="22"/>
          <w:lang w:eastAsia="sv-SE"/>
        </w:rPr>
        <w:t>18.</w:t>
      </w:r>
      <w:r w:rsidRPr="00B13F8F">
        <w:rPr>
          <w:b/>
          <w:szCs w:val="22"/>
          <w:lang w:eastAsia="sv-SE"/>
        </w:rPr>
        <w:tab/>
      </w:r>
      <w:r w:rsidRPr="00B13F8F">
        <w:rPr>
          <w:b/>
          <w:bCs/>
          <w:szCs w:val="22"/>
        </w:rPr>
        <w:t>ĎALŠIE INFORMÁCIE</w:t>
      </w:r>
    </w:p>
    <w:p w:rsidR="00BE35B2" w:rsidRPr="00B13F8F" w:rsidRDefault="00BE35B2" w:rsidP="00BE35B2">
      <w:pPr>
        <w:rPr>
          <w:szCs w:val="22"/>
          <w:lang w:eastAsia="sv-SE"/>
        </w:rPr>
      </w:pPr>
    </w:p>
    <w:p w:rsidR="00BE35B2" w:rsidRPr="00B13F8F" w:rsidRDefault="00BE35B2" w:rsidP="00BE35B2">
      <w:pPr>
        <w:rPr>
          <w:rFonts w:eastAsia="SimSun"/>
          <w:b/>
          <w:szCs w:val="22"/>
          <w:lang w:eastAsia="zh-CN"/>
        </w:rPr>
      </w:pPr>
      <w:r w:rsidRPr="00B13F8F">
        <w:rPr>
          <w:b/>
          <w:szCs w:val="22"/>
        </w:rPr>
        <w:t>Ďalšie informácie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</w:rPr>
      </w:pPr>
      <w:r w:rsidRPr="00B13F8F">
        <w:rPr>
          <w:b/>
          <w:szCs w:val="22"/>
          <w:lang w:eastAsia="sv-SE"/>
        </w:rPr>
        <w:t>19.</w:t>
      </w:r>
      <w:r w:rsidRPr="00B13F8F">
        <w:rPr>
          <w:b/>
          <w:szCs w:val="22"/>
          <w:lang w:eastAsia="sv-SE"/>
        </w:rPr>
        <w:tab/>
        <w:t>OZNAČENIE “LEN PRE ZVIERATÁ”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</w:rPr>
        <w:t>Len pre zvieratá.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</w:rPr>
      </w:pPr>
      <w:r w:rsidRPr="00B13F8F">
        <w:rPr>
          <w:b/>
          <w:szCs w:val="22"/>
          <w:lang w:eastAsia="sv-SE"/>
        </w:rPr>
        <w:t>20.</w:t>
      </w:r>
      <w:r w:rsidRPr="00B13F8F">
        <w:rPr>
          <w:b/>
          <w:szCs w:val="22"/>
          <w:lang w:eastAsia="sv-SE"/>
        </w:rPr>
        <w:tab/>
        <w:t>DÁTUM EXSPIRÁCIE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rPr>
          <w:szCs w:val="22"/>
        </w:rPr>
      </w:pPr>
      <w:proofErr w:type="spellStart"/>
      <w:r w:rsidRPr="00B13F8F">
        <w:rPr>
          <w:szCs w:val="22"/>
        </w:rPr>
        <w:t>Exp</w:t>
      </w:r>
      <w:proofErr w:type="spellEnd"/>
      <w:r w:rsidRPr="00B13F8F">
        <w:rPr>
          <w:szCs w:val="22"/>
        </w:rPr>
        <w:t>. {mesiac/rok}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</w:rPr>
        <w:t>Po prvom otvorení použiť do...</w:t>
      </w:r>
    </w:p>
    <w:p w:rsidR="00BE35B2" w:rsidRPr="00B13F8F" w:rsidRDefault="00BE35B2" w:rsidP="00BE35B2">
      <w:pPr>
        <w:rPr>
          <w:szCs w:val="22"/>
        </w:rPr>
      </w:pPr>
      <w:r w:rsidRPr="00B13F8F">
        <w:rPr>
          <w:szCs w:val="22"/>
        </w:rPr>
        <w:t>Po prvom otvorení použiť do 3 mesiacov.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lastRenderedPageBreak/>
        <w:t>Čas použiteľnosti po rozpustení podľa návodu: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- v pitnej vode: 24 hodín.</w:t>
      </w:r>
    </w:p>
    <w:p w:rsidR="00946121" w:rsidRPr="00B13F8F" w:rsidRDefault="00946121" w:rsidP="00946121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B13F8F">
        <w:rPr>
          <w:szCs w:val="22"/>
        </w:rPr>
        <w:t>- v mlieku (náhrade): 6 hodín.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szCs w:val="22"/>
        </w:rPr>
      </w:pPr>
      <w:r w:rsidRPr="00B13F8F">
        <w:rPr>
          <w:b/>
          <w:szCs w:val="22"/>
          <w:lang w:eastAsia="sv-SE"/>
        </w:rPr>
        <w:t>21.</w:t>
      </w:r>
      <w:r w:rsidRPr="00B13F8F">
        <w:rPr>
          <w:b/>
          <w:szCs w:val="22"/>
          <w:lang w:eastAsia="sv-SE"/>
        </w:rPr>
        <w:tab/>
        <w:t>ČÍSLO ŠARŽE</w:t>
      </w:r>
    </w:p>
    <w:p w:rsidR="00BE35B2" w:rsidRPr="00B13F8F" w:rsidRDefault="00BE35B2" w:rsidP="00BE35B2">
      <w:pPr>
        <w:rPr>
          <w:szCs w:val="22"/>
        </w:rPr>
      </w:pPr>
    </w:p>
    <w:p w:rsidR="00BE35B2" w:rsidRPr="00B13F8F" w:rsidRDefault="00BE35B2" w:rsidP="00BE35B2">
      <w:pPr>
        <w:rPr>
          <w:szCs w:val="22"/>
        </w:rPr>
      </w:pPr>
      <w:proofErr w:type="spellStart"/>
      <w:r w:rsidRPr="00B13F8F">
        <w:rPr>
          <w:szCs w:val="22"/>
        </w:rPr>
        <w:t>Lot</w:t>
      </w:r>
      <w:proofErr w:type="spellEnd"/>
      <w:r w:rsidRPr="00B13F8F">
        <w:rPr>
          <w:szCs w:val="22"/>
        </w:rPr>
        <w:t xml:space="preserve"> {číslo}</w:t>
      </w:r>
    </w:p>
    <w:p w:rsidR="00BE35B2" w:rsidRPr="00B13F8F" w:rsidRDefault="00BE35B2" w:rsidP="00B919E7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183A18" w:rsidRPr="00B13F8F" w:rsidRDefault="00183A18">
      <w:pPr>
        <w:rPr>
          <w:szCs w:val="22"/>
        </w:rPr>
      </w:pPr>
    </w:p>
    <w:sectPr w:rsidR="00183A18" w:rsidRPr="00B13F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638" w:rsidRDefault="00113638" w:rsidP="00BD1C06">
      <w:pPr>
        <w:spacing w:line="240" w:lineRule="auto"/>
      </w:pPr>
      <w:r>
        <w:separator/>
      </w:r>
    </w:p>
  </w:endnote>
  <w:endnote w:type="continuationSeparator" w:id="0">
    <w:p w:rsidR="00113638" w:rsidRDefault="00113638" w:rsidP="00BD1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3A" w:rsidRDefault="00BE123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18962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E123A" w:rsidRPr="00BD1C06" w:rsidRDefault="00BE123A">
        <w:pPr>
          <w:pStyle w:val="Pta"/>
          <w:jc w:val="right"/>
          <w:rPr>
            <w:sz w:val="20"/>
          </w:rPr>
        </w:pPr>
        <w:r w:rsidRPr="00BD1C06">
          <w:rPr>
            <w:sz w:val="20"/>
          </w:rPr>
          <w:fldChar w:fldCharType="begin"/>
        </w:r>
        <w:r w:rsidRPr="00BD1C06">
          <w:rPr>
            <w:sz w:val="20"/>
          </w:rPr>
          <w:instrText>PAGE   \* MERGEFORMAT</w:instrText>
        </w:r>
        <w:r w:rsidRPr="00BD1C06">
          <w:rPr>
            <w:sz w:val="20"/>
          </w:rPr>
          <w:fldChar w:fldCharType="separate"/>
        </w:r>
        <w:r w:rsidR="00C304A5">
          <w:rPr>
            <w:noProof/>
            <w:sz w:val="20"/>
          </w:rPr>
          <w:t>5</w:t>
        </w:r>
        <w:r w:rsidRPr="00BD1C06">
          <w:rPr>
            <w:sz w:val="20"/>
          </w:rPr>
          <w:fldChar w:fldCharType="end"/>
        </w:r>
      </w:p>
    </w:sdtContent>
  </w:sdt>
  <w:p w:rsidR="00BE123A" w:rsidRDefault="00BE123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3A" w:rsidRDefault="00BE12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638" w:rsidRDefault="00113638" w:rsidP="00BD1C06">
      <w:pPr>
        <w:spacing w:line="240" w:lineRule="auto"/>
      </w:pPr>
      <w:r>
        <w:separator/>
      </w:r>
    </w:p>
  </w:footnote>
  <w:footnote w:type="continuationSeparator" w:id="0">
    <w:p w:rsidR="00113638" w:rsidRDefault="00113638" w:rsidP="00BD1C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3A" w:rsidRDefault="00BE123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3A" w:rsidRDefault="00BE123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3A" w:rsidRDefault="00BE123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C3C1E"/>
    <w:multiLevelType w:val="hybridMultilevel"/>
    <w:tmpl w:val="BCC6941C"/>
    <w:lvl w:ilvl="0" w:tplc="DECA9AB6">
      <w:start w:val="1"/>
      <w:numFmt w:val="upperLetter"/>
      <w:pStyle w:val="Style3"/>
      <w:suff w:val="space"/>
      <w:lvlText w:val="%1."/>
      <w:lvlJc w:val="left"/>
      <w:pPr>
        <w:ind w:left="0" w:firstLine="0"/>
      </w:pPr>
    </w:lvl>
    <w:lvl w:ilvl="1" w:tplc="B02033CA">
      <w:start w:val="1"/>
      <w:numFmt w:val="lowerLetter"/>
      <w:lvlText w:val="%2."/>
      <w:lvlJc w:val="left"/>
      <w:pPr>
        <w:ind w:left="1440" w:hanging="360"/>
      </w:pPr>
    </w:lvl>
    <w:lvl w:ilvl="2" w:tplc="5930F7AE">
      <w:start w:val="1"/>
      <w:numFmt w:val="lowerRoman"/>
      <w:lvlText w:val="%3."/>
      <w:lvlJc w:val="right"/>
      <w:pPr>
        <w:ind w:left="2160" w:hanging="180"/>
      </w:pPr>
    </w:lvl>
    <w:lvl w:ilvl="3" w:tplc="72802C8A">
      <w:start w:val="1"/>
      <w:numFmt w:val="decimal"/>
      <w:lvlText w:val="%4."/>
      <w:lvlJc w:val="left"/>
      <w:pPr>
        <w:ind w:left="2880" w:hanging="360"/>
      </w:pPr>
    </w:lvl>
    <w:lvl w:ilvl="4" w:tplc="31B4427E">
      <w:start w:val="1"/>
      <w:numFmt w:val="lowerLetter"/>
      <w:lvlText w:val="%5."/>
      <w:lvlJc w:val="left"/>
      <w:pPr>
        <w:ind w:left="3600" w:hanging="360"/>
      </w:pPr>
    </w:lvl>
    <w:lvl w:ilvl="5" w:tplc="3700863A">
      <w:start w:val="1"/>
      <w:numFmt w:val="lowerRoman"/>
      <w:lvlText w:val="%6."/>
      <w:lvlJc w:val="right"/>
      <w:pPr>
        <w:ind w:left="4320" w:hanging="180"/>
      </w:pPr>
    </w:lvl>
    <w:lvl w:ilvl="6" w:tplc="C682F07C">
      <w:start w:val="1"/>
      <w:numFmt w:val="decimal"/>
      <w:lvlText w:val="%7."/>
      <w:lvlJc w:val="left"/>
      <w:pPr>
        <w:ind w:left="5040" w:hanging="360"/>
      </w:pPr>
    </w:lvl>
    <w:lvl w:ilvl="7" w:tplc="8188AA3E">
      <w:start w:val="1"/>
      <w:numFmt w:val="lowerLetter"/>
      <w:lvlText w:val="%8."/>
      <w:lvlJc w:val="left"/>
      <w:pPr>
        <w:ind w:left="5760" w:hanging="360"/>
      </w:pPr>
    </w:lvl>
    <w:lvl w:ilvl="8" w:tplc="8A3EF7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5B"/>
    <w:rsid w:val="0010167B"/>
    <w:rsid w:val="00113638"/>
    <w:rsid w:val="0014734E"/>
    <w:rsid w:val="00183A18"/>
    <w:rsid w:val="003E532C"/>
    <w:rsid w:val="004173C6"/>
    <w:rsid w:val="00442517"/>
    <w:rsid w:val="005E11B4"/>
    <w:rsid w:val="00601A5B"/>
    <w:rsid w:val="006F53BE"/>
    <w:rsid w:val="00946121"/>
    <w:rsid w:val="00A12A99"/>
    <w:rsid w:val="00AA19B1"/>
    <w:rsid w:val="00AB3415"/>
    <w:rsid w:val="00B13F8F"/>
    <w:rsid w:val="00B4453E"/>
    <w:rsid w:val="00B736BA"/>
    <w:rsid w:val="00B919E7"/>
    <w:rsid w:val="00BD1C06"/>
    <w:rsid w:val="00BE123A"/>
    <w:rsid w:val="00BE35B2"/>
    <w:rsid w:val="00C304A5"/>
    <w:rsid w:val="00D24C36"/>
    <w:rsid w:val="00EA07A4"/>
    <w:rsid w:val="00ED4B09"/>
    <w:rsid w:val="00F37B4C"/>
    <w:rsid w:val="00F8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19E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B919E7"/>
    <w:rPr>
      <w:color w:val="0000FF"/>
      <w:u w:val="single"/>
    </w:rPr>
  </w:style>
  <w:style w:type="paragraph" w:customStyle="1" w:styleId="Style1">
    <w:name w:val="Style1"/>
    <w:basedOn w:val="Normlny"/>
    <w:qFormat/>
    <w:rsid w:val="00B919E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B919E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B919E7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B919E7"/>
    <w:rPr>
      <w:szCs w:val="22"/>
    </w:rPr>
  </w:style>
  <w:style w:type="paragraph" w:customStyle="1" w:styleId="Style5">
    <w:name w:val="Style5"/>
    <w:basedOn w:val="Normlny"/>
    <w:qFormat/>
    <w:rsid w:val="00B919E7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TableNormal1">
    <w:name w:val="Table Normal1"/>
    <w:uiPriority w:val="2"/>
    <w:semiHidden/>
    <w:qFormat/>
    <w:rsid w:val="00B919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D1C0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1C06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BD1C0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1C06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19E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B919E7"/>
    <w:rPr>
      <w:color w:val="0000FF"/>
      <w:u w:val="single"/>
    </w:rPr>
  </w:style>
  <w:style w:type="paragraph" w:customStyle="1" w:styleId="Style1">
    <w:name w:val="Style1"/>
    <w:basedOn w:val="Normlny"/>
    <w:qFormat/>
    <w:rsid w:val="00B919E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B919E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B919E7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B919E7"/>
    <w:rPr>
      <w:szCs w:val="22"/>
    </w:rPr>
  </w:style>
  <w:style w:type="paragraph" w:customStyle="1" w:styleId="Style5">
    <w:name w:val="Style5"/>
    <w:basedOn w:val="Normlny"/>
    <w:qFormat/>
    <w:rsid w:val="00B919E7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table" w:customStyle="1" w:styleId="TableNormal1">
    <w:name w:val="Table Normal1"/>
    <w:uiPriority w:val="2"/>
    <w:semiHidden/>
    <w:qFormat/>
    <w:rsid w:val="00B919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D1C0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1C06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BD1C0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1C0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mailto:pharmacovigilance@dopharma.com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armakovigilance@cymedic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harmacovigilance@dopharma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mailto:farmakovigilance@cymedica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18</Pages>
  <Words>4876</Words>
  <Characters>27797</Characters>
  <Application>Microsoft Office Word</Application>
  <DocSecurity>0</DocSecurity>
  <Lines>231</Lines>
  <Paragraphs>65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10</cp:revision>
  <cp:lastPrinted>2023-09-28T09:04:00Z</cp:lastPrinted>
  <dcterms:created xsi:type="dcterms:W3CDTF">2023-09-26T07:40:00Z</dcterms:created>
  <dcterms:modified xsi:type="dcterms:W3CDTF">2024-05-03T08:33:00Z</dcterms:modified>
</cp:coreProperties>
</file>