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D6F57" w14:textId="77777777" w:rsidR="00DC177C" w:rsidRPr="00033CE1" w:rsidRDefault="00DC177C" w:rsidP="00DC177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3CE1">
        <w:rPr>
          <w:b/>
          <w:szCs w:val="22"/>
        </w:rPr>
        <w:t>SÚHRN CHARAKTERISTICKÝCH VLASTNOSTÍ LIEKU</w:t>
      </w:r>
    </w:p>
    <w:p w14:paraId="5325552A" w14:textId="77777777" w:rsidR="00DC177C" w:rsidRPr="00033CE1" w:rsidRDefault="00DC177C" w:rsidP="00DC177C">
      <w:pPr>
        <w:spacing w:line="240" w:lineRule="auto"/>
        <w:rPr>
          <w:b/>
          <w:szCs w:val="22"/>
        </w:rPr>
      </w:pPr>
    </w:p>
    <w:p w14:paraId="5A411B86" w14:textId="77777777" w:rsidR="00DC177C" w:rsidRPr="00033CE1" w:rsidRDefault="00DC177C" w:rsidP="00DC177C">
      <w:pPr>
        <w:spacing w:line="240" w:lineRule="auto"/>
        <w:rPr>
          <w:b/>
          <w:szCs w:val="22"/>
        </w:rPr>
      </w:pPr>
    </w:p>
    <w:p w14:paraId="0EC9D9C5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b/>
          <w:szCs w:val="22"/>
        </w:rPr>
        <w:t>1.</w:t>
      </w:r>
      <w:r w:rsidRPr="00033CE1">
        <w:rPr>
          <w:b/>
          <w:szCs w:val="22"/>
        </w:rPr>
        <w:tab/>
        <w:t>NÁZOV VETERINÁRNEHO LIEKU</w:t>
      </w:r>
    </w:p>
    <w:p w14:paraId="70B4183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8127C14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Boflox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flavour</w:t>
      </w:r>
      <w:proofErr w:type="spellEnd"/>
      <w:r w:rsidRPr="00033CE1">
        <w:rPr>
          <w:szCs w:val="22"/>
        </w:rPr>
        <w:t>, 80 mg tablety pre psy</w:t>
      </w:r>
    </w:p>
    <w:p w14:paraId="082EF3C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C4B7523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b/>
          <w:szCs w:val="22"/>
        </w:rPr>
        <w:t>2.</w:t>
      </w:r>
      <w:r w:rsidRPr="00033CE1">
        <w:rPr>
          <w:b/>
          <w:szCs w:val="22"/>
        </w:rPr>
        <w:tab/>
        <w:t>KVALITATÍVNE A KVANTITATÍVNE ZLOŽENIE</w:t>
      </w:r>
    </w:p>
    <w:p w14:paraId="45D970A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1C334D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Jedna tableta obsahuje:</w:t>
      </w:r>
    </w:p>
    <w:p w14:paraId="78D01B1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Účinná látka:</w:t>
      </w:r>
    </w:p>
    <w:p w14:paraId="62AB1CA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33CE1">
        <w:rPr>
          <w:szCs w:val="22"/>
        </w:rPr>
        <w:t>Marbofloxacinum</w:t>
      </w:r>
      <w:proofErr w:type="spellEnd"/>
      <w:r w:rsidRPr="00033CE1">
        <w:rPr>
          <w:szCs w:val="22"/>
        </w:rPr>
        <w:t xml:space="preserve"> 80 mg</w:t>
      </w:r>
    </w:p>
    <w:p w14:paraId="5977764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702724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Pomocné látky:</w:t>
      </w:r>
    </w:p>
    <w:p w14:paraId="13E7669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Úplný zoznam pomocných látok je uvedený v časti 6.1.</w:t>
      </w:r>
    </w:p>
    <w:p w14:paraId="2F56687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0F1B7DB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b/>
          <w:szCs w:val="22"/>
        </w:rPr>
        <w:t>3.</w:t>
      </w:r>
      <w:r w:rsidRPr="00033CE1">
        <w:rPr>
          <w:b/>
          <w:szCs w:val="22"/>
        </w:rPr>
        <w:tab/>
        <w:t>LIEKOVÁ FORMA</w:t>
      </w:r>
    </w:p>
    <w:p w14:paraId="7427093F" w14:textId="77777777" w:rsidR="00DC177C" w:rsidRPr="00033CE1" w:rsidRDefault="00DC177C" w:rsidP="00DC177C">
      <w:pPr>
        <w:spacing w:line="240" w:lineRule="auto"/>
        <w:rPr>
          <w:szCs w:val="22"/>
        </w:rPr>
      </w:pPr>
    </w:p>
    <w:p w14:paraId="189ABB09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szCs w:val="22"/>
        </w:rPr>
        <w:t>Tableta</w:t>
      </w:r>
      <w:r>
        <w:rPr>
          <w:szCs w:val="22"/>
        </w:rPr>
        <w:t>.</w:t>
      </w:r>
    </w:p>
    <w:p w14:paraId="03061992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szCs w:val="22"/>
        </w:rPr>
        <w:t>Podlhovasté, svetlohnedé tablety s deliacou ryhou na obidvoch stranách a hnedými škvrnami.</w:t>
      </w:r>
    </w:p>
    <w:p w14:paraId="1C0FAC9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Tablety je možné rozdeliť na polovice.</w:t>
      </w:r>
    </w:p>
    <w:p w14:paraId="205CD95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50A2609" w14:textId="77777777" w:rsidR="00DC177C" w:rsidRPr="00033CE1" w:rsidRDefault="00DC177C" w:rsidP="00DC177C">
      <w:pPr>
        <w:spacing w:line="240" w:lineRule="auto"/>
        <w:rPr>
          <w:b/>
          <w:szCs w:val="22"/>
        </w:rPr>
      </w:pPr>
      <w:r w:rsidRPr="00033CE1">
        <w:rPr>
          <w:b/>
          <w:szCs w:val="22"/>
        </w:rPr>
        <w:t>4.</w:t>
      </w:r>
      <w:r w:rsidRPr="00033CE1">
        <w:rPr>
          <w:b/>
          <w:szCs w:val="22"/>
        </w:rPr>
        <w:tab/>
        <w:t>KLINICKÉ ÚDAJE</w:t>
      </w:r>
    </w:p>
    <w:p w14:paraId="1161FBC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7054A0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4.1</w:t>
      </w:r>
      <w:r w:rsidRPr="00033CE1">
        <w:rPr>
          <w:b/>
          <w:szCs w:val="22"/>
        </w:rPr>
        <w:tab/>
        <w:t>Cieľový druh</w:t>
      </w:r>
    </w:p>
    <w:p w14:paraId="20F5B9A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DDEE2E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Psy</w:t>
      </w:r>
      <w:r>
        <w:rPr>
          <w:szCs w:val="22"/>
        </w:rPr>
        <w:t>.</w:t>
      </w:r>
    </w:p>
    <w:p w14:paraId="3AB37F1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31FD15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4.2</w:t>
      </w:r>
      <w:r w:rsidRPr="00033CE1">
        <w:rPr>
          <w:b/>
          <w:szCs w:val="22"/>
        </w:rPr>
        <w:tab/>
        <w:t xml:space="preserve">Indikácie </w:t>
      </w:r>
      <w:r>
        <w:rPr>
          <w:b/>
          <w:szCs w:val="22"/>
        </w:rPr>
        <w:t>na</w:t>
      </w:r>
      <w:r w:rsidRPr="00033CE1">
        <w:rPr>
          <w:b/>
          <w:szCs w:val="22"/>
        </w:rPr>
        <w:t xml:space="preserve"> použitie so špecifikovaním cieľov</w:t>
      </w:r>
      <w:r>
        <w:rPr>
          <w:b/>
          <w:szCs w:val="22"/>
        </w:rPr>
        <w:t>ých</w:t>
      </w:r>
      <w:r w:rsidRPr="00033CE1">
        <w:rPr>
          <w:b/>
          <w:szCs w:val="22"/>
        </w:rPr>
        <w:t xml:space="preserve"> druh</w:t>
      </w:r>
      <w:r>
        <w:rPr>
          <w:b/>
          <w:szCs w:val="22"/>
        </w:rPr>
        <w:t>ov</w:t>
      </w:r>
    </w:p>
    <w:p w14:paraId="46AF396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B3AA1E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Liečba infekcií spôsobených kmeňmi mikroorganizmov citlivými na </w:t>
      </w: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>.</w:t>
      </w:r>
      <w:r w:rsidR="00F86185">
        <w:rPr>
          <w:szCs w:val="22"/>
        </w:rPr>
        <w:t xml:space="preserve"> Pozri </w:t>
      </w:r>
      <w:r w:rsidR="00F86185" w:rsidRPr="002076E8">
        <w:rPr>
          <w:szCs w:val="22"/>
        </w:rPr>
        <w:t>časť</w:t>
      </w:r>
      <w:r w:rsidR="00F86185" w:rsidRPr="00DE0CA8">
        <w:rPr>
          <w:szCs w:val="22"/>
        </w:rPr>
        <w:t xml:space="preserve"> 5.1</w:t>
      </w:r>
      <w:r w:rsidR="00F86185">
        <w:rPr>
          <w:szCs w:val="22"/>
        </w:rPr>
        <w:t>.</w:t>
      </w:r>
    </w:p>
    <w:p w14:paraId="2361E13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U psov:</w:t>
      </w:r>
    </w:p>
    <w:p w14:paraId="7D0949E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>infekcie kože a mäkkých tkanív (</w:t>
      </w:r>
      <w:proofErr w:type="spellStart"/>
      <w:r w:rsidRPr="00033CE1">
        <w:rPr>
          <w:szCs w:val="22"/>
        </w:rPr>
        <w:t>pyroderma</w:t>
      </w:r>
      <w:proofErr w:type="spellEnd"/>
      <w:r w:rsidRPr="00033CE1">
        <w:rPr>
          <w:szCs w:val="22"/>
        </w:rPr>
        <w:t xml:space="preserve"> kožných záhybov, </w:t>
      </w:r>
      <w:proofErr w:type="spellStart"/>
      <w:r w:rsidRPr="00033CE1">
        <w:rPr>
          <w:szCs w:val="22"/>
        </w:rPr>
        <w:t>impetigo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szCs w:val="22"/>
        </w:rPr>
        <w:t>folikulitída</w:t>
      </w:r>
      <w:proofErr w:type="spellEnd"/>
      <w:r w:rsidRPr="00033CE1">
        <w:rPr>
          <w:szCs w:val="22"/>
        </w:rPr>
        <w:t xml:space="preserve">, </w:t>
      </w:r>
    </w:p>
    <w:p w14:paraId="6864FDB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          </w:t>
      </w:r>
      <w:r w:rsidR="00F86185">
        <w:rPr>
          <w:szCs w:val="22"/>
        </w:rPr>
        <w:t xml:space="preserve">   </w:t>
      </w:r>
      <w:proofErr w:type="spellStart"/>
      <w:r w:rsidRPr="00033CE1">
        <w:rPr>
          <w:szCs w:val="22"/>
        </w:rPr>
        <w:t>furunkulóza</w:t>
      </w:r>
      <w:proofErr w:type="spellEnd"/>
      <w:r w:rsidRPr="00033CE1">
        <w:rPr>
          <w:szCs w:val="22"/>
        </w:rPr>
        <w:t>, celulitída),</w:t>
      </w:r>
    </w:p>
    <w:p w14:paraId="0566CE7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 xml:space="preserve">infekcie močovej sústavy (UTI) spojené alebo nespojené s </w:t>
      </w:r>
      <w:proofErr w:type="spellStart"/>
      <w:r w:rsidRPr="00033CE1">
        <w:rPr>
          <w:szCs w:val="22"/>
        </w:rPr>
        <w:t>prostatitídou</w:t>
      </w:r>
      <w:proofErr w:type="spellEnd"/>
      <w:r w:rsidRPr="00033CE1">
        <w:rPr>
          <w:szCs w:val="22"/>
        </w:rPr>
        <w:t xml:space="preserve"> alebo </w:t>
      </w:r>
      <w:proofErr w:type="spellStart"/>
      <w:r w:rsidRPr="00033CE1">
        <w:rPr>
          <w:szCs w:val="22"/>
        </w:rPr>
        <w:t>epididymitídou</w:t>
      </w:r>
      <w:proofErr w:type="spellEnd"/>
      <w:r w:rsidRPr="00033CE1">
        <w:rPr>
          <w:szCs w:val="22"/>
        </w:rPr>
        <w:t>,</w:t>
      </w:r>
    </w:p>
    <w:p w14:paraId="540B9BC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 xml:space="preserve">infekcie dýchacej sústavy. </w:t>
      </w:r>
    </w:p>
    <w:p w14:paraId="5C63CE0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BE3A6E0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4.3</w:t>
      </w:r>
      <w:r w:rsidRPr="00033CE1">
        <w:rPr>
          <w:b/>
          <w:szCs w:val="22"/>
        </w:rPr>
        <w:tab/>
        <w:t>Kontraindikácie</w:t>
      </w:r>
    </w:p>
    <w:p w14:paraId="6785D263" w14:textId="77777777" w:rsidR="00DC177C" w:rsidRPr="00033CE1" w:rsidRDefault="00DC177C" w:rsidP="00DC177C">
      <w:pPr>
        <w:spacing w:line="240" w:lineRule="auto"/>
        <w:rPr>
          <w:szCs w:val="22"/>
        </w:rPr>
      </w:pPr>
    </w:p>
    <w:p w14:paraId="13E5194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nepoužívať u psov mladších ako 12 mesiacov alebo mladších ako 18 mesiacov u mimoriadne veľkých plemien ako nemecká doga, </w:t>
      </w:r>
      <w:proofErr w:type="spellStart"/>
      <w:r w:rsidRPr="00033CE1">
        <w:rPr>
          <w:szCs w:val="22"/>
        </w:rPr>
        <w:t>briard</w:t>
      </w:r>
      <w:proofErr w:type="spellEnd"/>
      <w:r w:rsidRPr="00033CE1">
        <w:rPr>
          <w:szCs w:val="22"/>
        </w:rPr>
        <w:t>, bernský salašnícky pes a </w:t>
      </w:r>
      <w:proofErr w:type="spellStart"/>
      <w:r w:rsidRPr="00033CE1">
        <w:rPr>
          <w:szCs w:val="22"/>
        </w:rPr>
        <w:t>mastif</w:t>
      </w:r>
      <w:proofErr w:type="spellEnd"/>
      <w:r w:rsidRPr="00033CE1">
        <w:rPr>
          <w:szCs w:val="22"/>
        </w:rPr>
        <w:t>, s dlhším obdobím rastu.</w:t>
      </w:r>
    </w:p>
    <w:p w14:paraId="57076F31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prípade precitlivenosti na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alebo ktorúkoľvek z pomocných látok lieku.</w:t>
      </w:r>
    </w:p>
    <w:p w14:paraId="53417FB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prípade rezistencie voči </w:t>
      </w:r>
      <w:proofErr w:type="spellStart"/>
      <w:r w:rsidRPr="00033CE1">
        <w:rPr>
          <w:szCs w:val="22"/>
        </w:rPr>
        <w:t>chinolónom</w:t>
      </w:r>
      <w:proofErr w:type="spellEnd"/>
      <w:r w:rsidRPr="00033CE1">
        <w:rPr>
          <w:szCs w:val="22"/>
        </w:rPr>
        <w:t xml:space="preserve">, pretože existuje (takmer) úplná skrížená rezistencia voči nim a iným </w:t>
      </w:r>
      <w:proofErr w:type="spellStart"/>
      <w:r w:rsidRPr="00033CE1">
        <w:rPr>
          <w:szCs w:val="22"/>
        </w:rPr>
        <w:t>fluorochinolónom</w:t>
      </w:r>
      <w:proofErr w:type="spellEnd"/>
      <w:r w:rsidRPr="00033CE1">
        <w:rPr>
          <w:szCs w:val="22"/>
        </w:rPr>
        <w:t xml:space="preserve">. </w:t>
      </w:r>
    </w:p>
    <w:p w14:paraId="12CCA1C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Liek nie je vhodný pri infekciách spôsobených striktnými anaeróbmi, kvasinkami alebo plesňami.</w:t>
      </w:r>
    </w:p>
    <w:p w14:paraId="4F6778DB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</w:p>
    <w:p w14:paraId="4F94456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Nepoužívať u mačiek. Na liečbu tohto druhu sú k dispozícii deliteľné 20 mg tablety.</w:t>
      </w:r>
    </w:p>
    <w:p w14:paraId="06380E3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F86F102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4.4</w:t>
      </w:r>
      <w:r w:rsidRPr="00033CE1">
        <w:rPr>
          <w:b/>
          <w:szCs w:val="22"/>
        </w:rPr>
        <w:tab/>
        <w:t>Osobitné upozornenia pre každý cieľový druh</w:t>
      </w:r>
    </w:p>
    <w:p w14:paraId="66D8B21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23415F0" w14:textId="77777777" w:rsidR="00DC177C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Nízke pH moču môže mať inhibičný vplyv na účinok </w:t>
      </w:r>
      <w:proofErr w:type="spellStart"/>
      <w:r w:rsidRPr="00033CE1">
        <w:rPr>
          <w:szCs w:val="22"/>
        </w:rPr>
        <w:t>marbofloxacínu</w:t>
      </w:r>
      <w:proofErr w:type="spellEnd"/>
      <w:r w:rsidRPr="00033CE1">
        <w:rPr>
          <w:szCs w:val="22"/>
        </w:rPr>
        <w:t>.</w:t>
      </w:r>
    </w:p>
    <w:p w14:paraId="433A50E9" w14:textId="77777777" w:rsidR="00A336A9" w:rsidRPr="00DE0CA8" w:rsidRDefault="00A336A9" w:rsidP="00A336A9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szCs w:val="22"/>
        </w:rPr>
        <w:t>Pyodermia</w:t>
      </w:r>
      <w:proofErr w:type="spellEnd"/>
      <w:r>
        <w:rPr>
          <w:szCs w:val="22"/>
        </w:rPr>
        <w:t xml:space="preserve"> sa väč</w:t>
      </w:r>
      <w:r w:rsidRPr="00DE0CA8">
        <w:rPr>
          <w:szCs w:val="22"/>
        </w:rPr>
        <w:t>šinou vyskytuje sekundárne pri základn</w:t>
      </w:r>
      <w:r>
        <w:rPr>
          <w:szCs w:val="22"/>
        </w:rPr>
        <w:t>om ochorení, preto je vhodné určiť základnú príčinu a podľa nej zviera liečiť</w:t>
      </w:r>
      <w:r w:rsidRPr="00DE0CA8">
        <w:rPr>
          <w:szCs w:val="22"/>
        </w:rPr>
        <w:t>.</w:t>
      </w:r>
    </w:p>
    <w:p w14:paraId="2F3EC161" w14:textId="77777777" w:rsidR="00A336A9" w:rsidRPr="00033CE1" w:rsidRDefault="00A336A9" w:rsidP="00DC177C">
      <w:pPr>
        <w:tabs>
          <w:tab w:val="clear" w:pos="567"/>
        </w:tabs>
        <w:spacing w:line="240" w:lineRule="auto"/>
        <w:rPr>
          <w:b/>
          <w:szCs w:val="22"/>
        </w:rPr>
      </w:pPr>
    </w:p>
    <w:p w14:paraId="158D6BB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D69741D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lastRenderedPageBreak/>
        <w:t>4.5</w:t>
      </w:r>
      <w:r w:rsidRPr="00033CE1">
        <w:rPr>
          <w:b/>
          <w:szCs w:val="22"/>
        </w:rPr>
        <w:tab/>
        <w:t>Osobitné bezpečnostné upozornenia na používanie</w:t>
      </w:r>
    </w:p>
    <w:p w14:paraId="01985E52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8FFF689" w14:textId="0C5867F0" w:rsidR="00DC177C" w:rsidRPr="002076E8" w:rsidRDefault="00DC177C" w:rsidP="002076E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033CE1">
        <w:rPr>
          <w:szCs w:val="22"/>
          <w:u w:val="single"/>
        </w:rPr>
        <w:t>Osobitné bezpečnostné opatrenia na používanie u zvierat</w:t>
      </w:r>
    </w:p>
    <w:p w14:paraId="5EA1965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Zistilo sa, že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spôsobujú eróziu kĺbovej chrupavky u mladých psov, preto je potrebné dodržať presné dávkovanie hlavne u mladých zvierat. </w:t>
      </w:r>
    </w:p>
    <w:p w14:paraId="7810BC9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20409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Je známe, že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majú potenciálne neurologické nežiaduce účinky. Odporúča sa používať s opatrnosťou u psov a mačiek, u ktorých bola diagnostikovaná epilepsia.</w:t>
      </w:r>
    </w:p>
    <w:p w14:paraId="315B3A13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FB47C" w14:textId="77777777" w:rsidR="00DC177C" w:rsidRDefault="00DC177C" w:rsidP="002076E8">
      <w:pPr>
        <w:pStyle w:val="Zkladntext"/>
        <w:rPr>
          <w:szCs w:val="22"/>
        </w:rPr>
      </w:pP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 by sa mali používať na liečbu klinických stavov, ktoré reagujú slabo alebo sa očakáva ich slabá odpoveď na liečbu inými druhmi </w:t>
      </w:r>
      <w:proofErr w:type="spellStart"/>
      <w:r w:rsidRPr="00033CE1">
        <w:rPr>
          <w:szCs w:val="22"/>
        </w:rPr>
        <w:t>antimikrobiálnych</w:t>
      </w:r>
      <w:proofErr w:type="spellEnd"/>
      <w:r w:rsidRPr="00033CE1">
        <w:rPr>
          <w:szCs w:val="22"/>
        </w:rPr>
        <w:t xml:space="preserve"> liekov.  </w:t>
      </w:r>
    </w:p>
    <w:p w14:paraId="224BBAC3" w14:textId="77777777" w:rsidR="00A336A9" w:rsidRPr="002076E8" w:rsidRDefault="00A336A9" w:rsidP="002076E8">
      <w:pPr>
        <w:spacing w:line="249" w:lineRule="auto"/>
        <w:jc w:val="both"/>
        <w:rPr>
          <w:lang w:eastAsia="de-DE"/>
        </w:rPr>
      </w:pPr>
      <w:r w:rsidRPr="00DE0CA8">
        <w:t xml:space="preserve">Liek sa má použiť na základe stanovenia citlivosti baktérií izolovaných zo zvierat. Pokiaľ to nie je možné, liečba má byť stanovená podľa miestnych epidemiologických informácií (regionálnych, farmových) o citlivosti cieľových baktérií. </w:t>
      </w:r>
    </w:p>
    <w:p w14:paraId="4E4889C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Vždy, keď je to možné,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používať na základe testu citlivosti.  Použitie lieku v rozpore s pokynmi uvedenými v SPC môže zvýšiť </w:t>
      </w:r>
      <w:proofErr w:type="spellStart"/>
      <w:r w:rsidRPr="00033CE1">
        <w:rPr>
          <w:szCs w:val="22"/>
        </w:rPr>
        <w:t>prevalenciu</w:t>
      </w:r>
      <w:proofErr w:type="spellEnd"/>
      <w:r w:rsidRPr="00033CE1">
        <w:rPr>
          <w:szCs w:val="22"/>
        </w:rPr>
        <w:t xml:space="preserve"> baktérií rezistentných voči </w:t>
      </w:r>
      <w:proofErr w:type="spellStart"/>
      <w:r w:rsidRPr="00033CE1">
        <w:rPr>
          <w:szCs w:val="22"/>
        </w:rPr>
        <w:t>fluorochinolónom</w:t>
      </w:r>
      <w:proofErr w:type="spellEnd"/>
      <w:r w:rsidRPr="00033CE1">
        <w:rPr>
          <w:szCs w:val="22"/>
        </w:rPr>
        <w:t xml:space="preserve"> a môže znížiť účinnosť liečby inými </w:t>
      </w:r>
      <w:proofErr w:type="spellStart"/>
      <w:r w:rsidRPr="00033CE1">
        <w:rPr>
          <w:szCs w:val="22"/>
        </w:rPr>
        <w:t>chinolónmi</w:t>
      </w:r>
      <w:proofErr w:type="spellEnd"/>
      <w:r w:rsidRPr="00033CE1">
        <w:rPr>
          <w:szCs w:val="22"/>
        </w:rPr>
        <w:t xml:space="preserve"> v dôsledku možnosti skríženej rezistencie.</w:t>
      </w:r>
    </w:p>
    <w:p w14:paraId="4FDA874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A5EA34" w14:textId="27F35622" w:rsidR="00DC177C" w:rsidRDefault="00A336A9" w:rsidP="002076E8">
      <w:pPr>
        <w:tabs>
          <w:tab w:val="clear" w:pos="567"/>
        </w:tabs>
        <w:spacing w:line="240" w:lineRule="auto"/>
        <w:jc w:val="both"/>
      </w:pPr>
      <w:r w:rsidRPr="002076E8">
        <w:t xml:space="preserve">Pri použití tohto veterinárneho lieku sa má vziať do úvahy oficiálna, národná a regionálna </w:t>
      </w:r>
      <w:proofErr w:type="spellStart"/>
      <w:r w:rsidRPr="002076E8">
        <w:t>antimikrobiálna</w:t>
      </w:r>
      <w:proofErr w:type="spellEnd"/>
      <w:r w:rsidRPr="002076E8">
        <w:t xml:space="preserve"> politika.</w:t>
      </w:r>
    </w:p>
    <w:p w14:paraId="3D3C1E0F" w14:textId="77777777" w:rsidR="002076E8" w:rsidRPr="00033CE1" w:rsidRDefault="002076E8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685EAE" w14:textId="2689177A" w:rsidR="00DC177C" w:rsidRPr="002076E8" w:rsidRDefault="00DC177C" w:rsidP="002076E8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33CE1">
        <w:rPr>
          <w:szCs w:val="22"/>
          <w:u w:val="single"/>
        </w:rPr>
        <w:t>Osobitné bezpečnostné opatrenia, ktoré má urobiť osoba podávajúca liek zvieratám</w:t>
      </w:r>
    </w:p>
    <w:p w14:paraId="730505C9" w14:textId="77777777" w:rsidR="00DC177C" w:rsidRPr="00033CE1" w:rsidRDefault="00DC177C" w:rsidP="002076E8">
      <w:pPr>
        <w:tabs>
          <w:tab w:val="left" w:pos="720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Ľudia so známou precitlivenosťou na (</w:t>
      </w:r>
      <w:proofErr w:type="spellStart"/>
      <w:r w:rsidRPr="00033CE1">
        <w:rPr>
          <w:szCs w:val="22"/>
        </w:rPr>
        <w:t>fluoro</w:t>
      </w:r>
      <w:proofErr w:type="spellEnd"/>
      <w:r w:rsidRPr="00033CE1">
        <w:rPr>
          <w:szCs w:val="22"/>
        </w:rPr>
        <w:t>)</w:t>
      </w:r>
      <w:proofErr w:type="spellStart"/>
      <w:r w:rsidRPr="00033CE1">
        <w:rPr>
          <w:szCs w:val="22"/>
        </w:rPr>
        <w:t>chinolóny</w:t>
      </w:r>
      <w:proofErr w:type="spellEnd"/>
      <w:r w:rsidRPr="00033CE1">
        <w:rPr>
          <w:szCs w:val="22"/>
        </w:rPr>
        <w:t xml:space="preserve"> by sa mali vyhýbať kontaktu s týmto veterinárnym liekom.</w:t>
      </w:r>
    </w:p>
    <w:p w14:paraId="22BBE24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V prípade náhodného požitia ihneď vyhľadajte lekársku pomoc a lekárovi ukážte písomnú informáciu pre používateľov alebo etiketu lieku. Po použití lieku si umyte ruky.</w:t>
      </w:r>
    </w:p>
    <w:p w14:paraId="1CE4E48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41F2ED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4.6</w:t>
      </w:r>
      <w:r w:rsidRPr="00033CE1">
        <w:rPr>
          <w:b/>
          <w:szCs w:val="22"/>
        </w:rPr>
        <w:tab/>
        <w:t>Nežiaduce účinky (frekvencia výskytu a závažnosť)</w:t>
      </w:r>
    </w:p>
    <w:p w14:paraId="0B5498E5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477A31C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Pri odporúčanej terapeutickej dávke sa u psov sa neočakávajú žiadne závažné nežiaduce účinky. </w:t>
      </w:r>
    </w:p>
    <w:p w14:paraId="35D5708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V klinických štúdiách sa pri odporúčanej veľkosti dávky nevyskytli žiadne zmeny na kĺboch. </w:t>
      </w:r>
    </w:p>
    <w:p w14:paraId="584B73F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V zriedkavých prípadoch sa však môže vyskytnúť bolesť kĺbov a/alebo neurologické symptómy (</w:t>
      </w:r>
      <w:proofErr w:type="spellStart"/>
      <w:r w:rsidRPr="00033CE1">
        <w:rPr>
          <w:szCs w:val="22"/>
        </w:rPr>
        <w:t>ataxia</w:t>
      </w:r>
      <w:proofErr w:type="spellEnd"/>
      <w:r w:rsidRPr="00033CE1">
        <w:rPr>
          <w:szCs w:val="22"/>
        </w:rPr>
        <w:t>, agresívnosť, kŕče, depresia).</w:t>
      </w:r>
    </w:p>
    <w:p w14:paraId="61AD958A" w14:textId="77777777" w:rsidR="00DC177C" w:rsidRPr="00033CE1" w:rsidRDefault="00DC177C" w:rsidP="002076E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5B4EA6C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Pozorovali sa alergické reakcie (prechodné kožné reakcie), ktoré môžu nastať v dôsledku uvoľňovania histamínu.</w:t>
      </w:r>
    </w:p>
    <w:p w14:paraId="7361CDE0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240E8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Zriedkavo sa môžu vyskytnúť mierne nežiaduce účinky ako vracanie, mäkké výkaly, zvýšený smäd alebo prechodné zvýšenie aktivity. Tieto príznaky vymiznú spontánne po liečbe a nevyžadujú ukončenie liečby.</w:t>
      </w:r>
    </w:p>
    <w:p w14:paraId="244EFA9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F00B4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Frekvencia nežiaducich účinkov je definovaná podá nasledujúcich pravidiel:</w:t>
      </w:r>
    </w:p>
    <w:p w14:paraId="07EDAB3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veľmi časté (viac ako u 1 z 10 zvierat sa prejavia nežiaduce účinky v priebehu jednej liečby),</w:t>
      </w:r>
    </w:p>
    <w:p w14:paraId="43CF141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časté (viac ako u 1 zvieraťa ale menej ako u 10 zvierat zo 100 zvierat),</w:t>
      </w:r>
    </w:p>
    <w:p w14:paraId="7A424A0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menej časté (viac ako u 1 zvieraťa ale menej ako u 10 zvierat z 1 000 zvierat),</w:t>
      </w:r>
    </w:p>
    <w:p w14:paraId="5C2018E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zriedkavé (viac ako u 1 zvieraťa ale menej ako u 10 zvierat z 10 000 zvierat),</w:t>
      </w:r>
    </w:p>
    <w:p w14:paraId="5667849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veľmi zriedkavé (menej ako u 1 zvieraťa z 10 000 zvierat, vrátane izolovaných hlásení).</w:t>
      </w:r>
    </w:p>
    <w:p w14:paraId="5C579E8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86987EC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4.7</w:t>
      </w:r>
      <w:r w:rsidRPr="00033CE1">
        <w:rPr>
          <w:b/>
          <w:szCs w:val="22"/>
        </w:rPr>
        <w:tab/>
        <w:t>Použitie počas gravidity, laktácie alebo znášky</w:t>
      </w:r>
    </w:p>
    <w:p w14:paraId="73902B4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CD8DB4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Štúdie na gravidných potkanoch a králikoch nepreukázali žiadne vedľajšie účinky na graviditu.  Nevykonali sa však žiadne špecifické štúdie na gravidných sukách.</w:t>
      </w:r>
    </w:p>
    <w:p w14:paraId="2661B55F" w14:textId="2EA89861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U gravidných a </w:t>
      </w:r>
      <w:proofErr w:type="spellStart"/>
      <w:r w:rsidRPr="00033CE1">
        <w:rPr>
          <w:szCs w:val="22"/>
        </w:rPr>
        <w:t>laktujúcich</w:t>
      </w:r>
      <w:proofErr w:type="spellEnd"/>
      <w:r w:rsidRPr="00033CE1">
        <w:rPr>
          <w:szCs w:val="22"/>
        </w:rPr>
        <w:t xml:space="preserve"> zvierat sa má li</w:t>
      </w:r>
      <w:r w:rsidR="002076E8">
        <w:rPr>
          <w:szCs w:val="22"/>
        </w:rPr>
        <w:t>ek používať po zvážení prínosu</w:t>
      </w:r>
      <w:r w:rsidRPr="00033CE1">
        <w:rPr>
          <w:szCs w:val="22"/>
        </w:rPr>
        <w:t>/rizika zodpovedným veterinárnym lekárom.</w:t>
      </w:r>
    </w:p>
    <w:p w14:paraId="0D77D15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8A773B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4.8</w:t>
      </w:r>
      <w:r w:rsidRPr="00033CE1">
        <w:rPr>
          <w:b/>
          <w:szCs w:val="22"/>
        </w:rPr>
        <w:tab/>
        <w:t>Liekové interakcie a iné formy vzájomného pôsobenia</w:t>
      </w:r>
    </w:p>
    <w:p w14:paraId="5B0EFD4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917B02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lastRenderedPageBreak/>
        <w:t xml:space="preserve">Sú známe interakcie medzi </w:t>
      </w:r>
      <w:proofErr w:type="spellStart"/>
      <w:r w:rsidRPr="00033CE1">
        <w:rPr>
          <w:szCs w:val="22"/>
        </w:rPr>
        <w:t>fluorochinolónmi</w:t>
      </w:r>
      <w:proofErr w:type="spellEnd"/>
      <w:r w:rsidRPr="00033CE1">
        <w:rPr>
          <w:szCs w:val="22"/>
        </w:rPr>
        <w:t xml:space="preserve"> a perorálne podávanými katiónmi (hliník, vápnik, horčík, železo). V týchto prípadoch môže byť biologická dostupnosť lieku znížená. </w:t>
      </w:r>
    </w:p>
    <w:p w14:paraId="4CCD07A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AB82C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kombinácii s tetracyklínmi a </w:t>
      </w:r>
      <w:proofErr w:type="spellStart"/>
      <w:r w:rsidRPr="00033CE1">
        <w:rPr>
          <w:szCs w:val="22"/>
        </w:rPr>
        <w:t>makrolidmi</w:t>
      </w:r>
      <w:proofErr w:type="spellEnd"/>
      <w:r w:rsidRPr="00033CE1">
        <w:rPr>
          <w:szCs w:val="22"/>
        </w:rPr>
        <w:t xml:space="preserve"> pre možný antagonistický účinok. </w:t>
      </w:r>
    </w:p>
    <w:p w14:paraId="7EC623A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53940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Keď sa podáva spolu s </w:t>
      </w:r>
      <w:proofErr w:type="spellStart"/>
      <w:r w:rsidRPr="00033CE1">
        <w:rPr>
          <w:szCs w:val="22"/>
        </w:rPr>
        <w:t>teofylínom</w:t>
      </w:r>
      <w:proofErr w:type="spellEnd"/>
      <w:r w:rsidRPr="00033CE1">
        <w:rPr>
          <w:szCs w:val="22"/>
        </w:rPr>
        <w:t xml:space="preserve">, zvýši sa polčas eliminácie a tým aj koncentrácia </w:t>
      </w:r>
      <w:proofErr w:type="spellStart"/>
      <w:r w:rsidRPr="00033CE1">
        <w:rPr>
          <w:szCs w:val="22"/>
        </w:rPr>
        <w:t>teofylínu</w:t>
      </w:r>
      <w:proofErr w:type="spellEnd"/>
    </w:p>
    <w:p w14:paraId="2B62342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v plazme. Preto je potrebné dávku </w:t>
      </w:r>
      <w:proofErr w:type="spellStart"/>
      <w:r w:rsidRPr="00033CE1">
        <w:rPr>
          <w:szCs w:val="22"/>
        </w:rPr>
        <w:t>teofylínu</w:t>
      </w:r>
      <w:proofErr w:type="spellEnd"/>
      <w:r w:rsidRPr="00033CE1">
        <w:rPr>
          <w:szCs w:val="22"/>
        </w:rPr>
        <w:t xml:space="preserve"> znížiť.</w:t>
      </w:r>
    </w:p>
    <w:p w14:paraId="71774F5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BF65B" w14:textId="77777777" w:rsidR="00DC177C" w:rsidRPr="00033CE1" w:rsidRDefault="00DC177C" w:rsidP="002076E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b/>
          <w:szCs w:val="22"/>
        </w:rPr>
        <w:t>4.9</w:t>
      </w:r>
      <w:r w:rsidRPr="00033CE1">
        <w:rPr>
          <w:b/>
          <w:szCs w:val="22"/>
        </w:rPr>
        <w:tab/>
        <w:t>Dávkovanie a spôsob podania lieku</w:t>
      </w:r>
    </w:p>
    <w:p w14:paraId="7696BF9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0422A4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Na perorálne použitie.</w:t>
      </w:r>
    </w:p>
    <w:p w14:paraId="555DA968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38E808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Odporúčaná dávka je 2 mg/kg ž.</w:t>
      </w:r>
      <w:r>
        <w:rPr>
          <w:szCs w:val="22"/>
        </w:rPr>
        <w:t xml:space="preserve"> </w:t>
      </w:r>
      <w:r w:rsidRPr="00033CE1">
        <w:rPr>
          <w:szCs w:val="22"/>
        </w:rPr>
        <w:t xml:space="preserve">hm./deň (1 tableta na </w:t>
      </w:r>
      <w:smartTag w:uri="urn:schemas-microsoft-com:office:smarttags" w:element="metricconverter">
        <w:smartTagPr>
          <w:attr w:name="ProductID" w:val="40 kg"/>
        </w:smartTagPr>
        <w:r w:rsidRPr="00033CE1">
          <w:rPr>
            <w:szCs w:val="22"/>
          </w:rPr>
          <w:t>40 kg</w:t>
        </w:r>
      </w:smartTag>
      <w:r w:rsidRPr="00033CE1">
        <w:rPr>
          <w:szCs w:val="22"/>
        </w:rPr>
        <w:t xml:space="preserve"> ž.</w:t>
      </w:r>
      <w:r>
        <w:rPr>
          <w:szCs w:val="22"/>
        </w:rPr>
        <w:t xml:space="preserve"> </w:t>
      </w:r>
      <w:r w:rsidRPr="00033CE1">
        <w:rPr>
          <w:szCs w:val="22"/>
        </w:rPr>
        <w:t xml:space="preserve">hm./deň) pri podaní jednej dávky denne.  Na zabezpečenie správnej dávky je potrebné určiť živú hmotnosť čo najpresnejšie, aby sa predišlo </w:t>
      </w:r>
      <w:proofErr w:type="spellStart"/>
      <w:r w:rsidRPr="00033CE1">
        <w:rPr>
          <w:szCs w:val="22"/>
        </w:rPr>
        <w:t>poddávkovaniu</w:t>
      </w:r>
      <w:proofErr w:type="spellEnd"/>
      <w:r w:rsidRPr="00033CE1">
        <w:rPr>
          <w:szCs w:val="22"/>
        </w:rPr>
        <w:t xml:space="preserve">. Tablety je možné  rozdeliť pozdĺž deliacich rýh na uľahčenie presného dávkovania. </w:t>
      </w:r>
    </w:p>
    <w:p w14:paraId="732A27E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4B026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Dĺžka liečby: Pri infekciách kože a mäkkých tkanív je doba liečby minimálne 5 dní.  V závislosti od priebehu ochorenia sa môže predĺžiť až na 40 dní.</w:t>
      </w:r>
    </w:p>
    <w:p w14:paraId="5FA7BF38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5FC214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Pri infekciách močových ciest je doba liečby minimálne 10 dní. V závislosti od priebehu liečby sa môže predĺžiť až na 28 dní.</w:t>
      </w:r>
    </w:p>
    <w:p w14:paraId="11A540F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BA63C8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Pri infekciách dýchacích ciest je doba liečby minimálne 7 dní. V závislosti od priebehu ochorenia sa môže predĺžiť až na 21 dní.</w:t>
      </w:r>
    </w:p>
    <w:p w14:paraId="0892A28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C72220E" w14:textId="77777777" w:rsidR="00DC177C" w:rsidRPr="00033CE1" w:rsidRDefault="00DC177C" w:rsidP="00DC177C">
      <w:pPr>
        <w:pStyle w:val="Zarkazkladnhotextu"/>
        <w:keepNext/>
        <w:keepLines/>
        <w:ind w:left="0" w:firstLine="0"/>
        <w:rPr>
          <w:szCs w:val="22"/>
        </w:rPr>
      </w:pPr>
      <w:r w:rsidRPr="00033CE1">
        <w:rPr>
          <w:szCs w:val="22"/>
        </w:rPr>
        <w:t>4.10</w:t>
      </w:r>
      <w:r w:rsidRPr="00033CE1">
        <w:rPr>
          <w:szCs w:val="22"/>
        </w:rPr>
        <w:tab/>
        <w:t xml:space="preserve">Predávkovanie (príznaky, núdzové postupy, </w:t>
      </w:r>
      <w:proofErr w:type="spellStart"/>
      <w:r w:rsidRPr="00033CE1">
        <w:rPr>
          <w:szCs w:val="22"/>
        </w:rPr>
        <w:t>antidotá</w:t>
      </w:r>
      <w:proofErr w:type="spellEnd"/>
      <w:r w:rsidRPr="00033CE1">
        <w:rPr>
          <w:szCs w:val="22"/>
        </w:rPr>
        <w:t>) ak sú potrebné</w:t>
      </w:r>
    </w:p>
    <w:p w14:paraId="41916D7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32079B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Predávkovanie môže spôsobiť poškodenie kĺbovej chrupavky a akútne príznaky vo forme neurologických porúch (napr. slinenie, slzenie, triaška, </w:t>
      </w:r>
      <w:proofErr w:type="spellStart"/>
      <w:r w:rsidRPr="00033CE1">
        <w:rPr>
          <w:szCs w:val="22"/>
        </w:rPr>
        <w:t>myoklonia</w:t>
      </w:r>
      <w:proofErr w:type="spellEnd"/>
      <w:r w:rsidRPr="00033CE1">
        <w:rPr>
          <w:szCs w:val="22"/>
        </w:rPr>
        <w:t>, záchvaty), ktoré sa majú liečiť symptomaticky.</w:t>
      </w:r>
    </w:p>
    <w:p w14:paraId="0FEA506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B1A4620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4.11</w:t>
      </w:r>
      <w:r w:rsidRPr="00033CE1">
        <w:rPr>
          <w:b/>
          <w:szCs w:val="22"/>
        </w:rPr>
        <w:tab/>
        <w:t>Ochranná lehota</w:t>
      </w:r>
    </w:p>
    <w:p w14:paraId="2A00FC8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2E4F57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Neuplatňuje sa.</w:t>
      </w:r>
    </w:p>
    <w:p w14:paraId="24AA1DC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D44B6E2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5.</w:t>
      </w:r>
      <w:r w:rsidRPr="00033CE1">
        <w:rPr>
          <w:b/>
          <w:szCs w:val="22"/>
        </w:rPr>
        <w:tab/>
        <w:t>FARMAKOLOGICKÉ VLASTNOSTI</w:t>
      </w:r>
    </w:p>
    <w:p w14:paraId="4028BBF1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5BEDD1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Farmakoterapeutická</w:t>
      </w:r>
      <w:proofErr w:type="spellEnd"/>
      <w:r w:rsidRPr="00033CE1">
        <w:rPr>
          <w:szCs w:val="22"/>
        </w:rPr>
        <w:t xml:space="preserve"> skupina: Antibakteriálne látky na systémové použitie,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>.</w:t>
      </w:r>
    </w:p>
    <w:p w14:paraId="3634EC0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ATCvet</w:t>
      </w:r>
      <w:proofErr w:type="spellEnd"/>
      <w:r w:rsidRPr="00612186">
        <w:rPr>
          <w:szCs w:val="22"/>
        </w:rPr>
        <w:t xml:space="preserve"> </w:t>
      </w:r>
      <w:r>
        <w:rPr>
          <w:szCs w:val="22"/>
        </w:rPr>
        <w:t>k</w:t>
      </w:r>
      <w:r w:rsidRPr="00033CE1">
        <w:rPr>
          <w:szCs w:val="22"/>
        </w:rPr>
        <w:t>ód: QJ01MA93.</w:t>
      </w:r>
    </w:p>
    <w:p w14:paraId="274FFB1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260C227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5.1</w:t>
      </w:r>
      <w:r w:rsidRPr="00033CE1">
        <w:rPr>
          <w:b/>
          <w:szCs w:val="22"/>
        </w:rPr>
        <w:tab/>
      </w:r>
      <w:proofErr w:type="spellStart"/>
      <w:r w:rsidRPr="00033CE1">
        <w:rPr>
          <w:b/>
          <w:szCs w:val="22"/>
        </w:rPr>
        <w:t>Farmakodynamické</w:t>
      </w:r>
      <w:proofErr w:type="spellEnd"/>
      <w:r w:rsidRPr="00033CE1">
        <w:rPr>
          <w:b/>
          <w:szCs w:val="22"/>
        </w:rPr>
        <w:t xml:space="preserve"> vlastnosti</w:t>
      </w:r>
    </w:p>
    <w:p w14:paraId="1505245E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</w:p>
    <w:p w14:paraId="0150E798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je syntetická, baktericídna, </w:t>
      </w:r>
      <w:proofErr w:type="spellStart"/>
      <w:r w:rsidRPr="00033CE1">
        <w:rPr>
          <w:szCs w:val="22"/>
        </w:rPr>
        <w:t>antimikrobiálna</w:t>
      </w:r>
      <w:proofErr w:type="spellEnd"/>
      <w:r w:rsidRPr="00033CE1">
        <w:rPr>
          <w:szCs w:val="22"/>
        </w:rPr>
        <w:t xml:space="preserve"> látka patriaca do skupiny </w:t>
      </w:r>
      <w:proofErr w:type="spellStart"/>
      <w:r w:rsidRPr="00033CE1">
        <w:rPr>
          <w:szCs w:val="22"/>
        </w:rPr>
        <w:t>fluorochinolónov</w:t>
      </w:r>
      <w:proofErr w:type="spellEnd"/>
      <w:r w:rsidRPr="00033CE1">
        <w:rPr>
          <w:szCs w:val="22"/>
        </w:rPr>
        <w:t xml:space="preserve">, ktorá </w:t>
      </w:r>
      <w:proofErr w:type="spellStart"/>
      <w:r w:rsidRPr="00033CE1">
        <w:rPr>
          <w:szCs w:val="22"/>
        </w:rPr>
        <w:t>inhibuje</w:t>
      </w:r>
      <w:proofErr w:type="spellEnd"/>
      <w:r w:rsidRPr="00033CE1">
        <w:rPr>
          <w:szCs w:val="22"/>
        </w:rPr>
        <w:t xml:space="preserve"> DNA </w:t>
      </w:r>
      <w:proofErr w:type="spellStart"/>
      <w:r w:rsidRPr="00033CE1">
        <w:rPr>
          <w:szCs w:val="22"/>
        </w:rPr>
        <w:t>gyrázu</w:t>
      </w:r>
      <w:proofErr w:type="spellEnd"/>
      <w:r w:rsidR="00DA7446">
        <w:rPr>
          <w:szCs w:val="22"/>
        </w:rPr>
        <w:t xml:space="preserve"> </w:t>
      </w:r>
      <w:r w:rsidR="00DA7446" w:rsidRPr="00DE0CA8">
        <w:rPr>
          <w:szCs w:val="22"/>
        </w:rPr>
        <w:t xml:space="preserve">a </w:t>
      </w:r>
      <w:proofErr w:type="spellStart"/>
      <w:r w:rsidR="00DA7446" w:rsidRPr="00DE0CA8">
        <w:rPr>
          <w:szCs w:val="22"/>
        </w:rPr>
        <w:t>topoizomerázy</w:t>
      </w:r>
      <w:proofErr w:type="spellEnd"/>
      <w:r w:rsidR="00DA7446" w:rsidRPr="00DE0CA8">
        <w:rPr>
          <w:szCs w:val="22"/>
        </w:rPr>
        <w:t xml:space="preserve"> IV</w:t>
      </w:r>
      <w:r w:rsidRPr="00033CE1">
        <w:rPr>
          <w:szCs w:val="22"/>
        </w:rPr>
        <w:t xml:space="preserve">. Je účinný proti širokému spektru </w:t>
      </w:r>
      <w:proofErr w:type="spellStart"/>
      <w:r w:rsidRPr="00033CE1">
        <w:rPr>
          <w:szCs w:val="22"/>
        </w:rPr>
        <w:t>grampozitívnych</w:t>
      </w:r>
      <w:proofErr w:type="spellEnd"/>
      <w:r w:rsidRPr="00033CE1">
        <w:rPr>
          <w:szCs w:val="22"/>
        </w:rPr>
        <w:t xml:space="preserve"> a </w:t>
      </w:r>
      <w:proofErr w:type="spellStart"/>
      <w:r w:rsidRPr="00033CE1">
        <w:rPr>
          <w:szCs w:val="22"/>
        </w:rPr>
        <w:t>gramnegatívnych</w:t>
      </w:r>
      <w:proofErr w:type="spellEnd"/>
      <w:r w:rsidRPr="00033CE1">
        <w:rPr>
          <w:szCs w:val="22"/>
        </w:rPr>
        <w:t xml:space="preserve"> baktérií.</w:t>
      </w:r>
    </w:p>
    <w:p w14:paraId="17D16399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Účinnosť bola potvrdená hlavne pre: </w:t>
      </w:r>
    </w:p>
    <w:p w14:paraId="56E6B2F5" w14:textId="77777777" w:rsidR="00DC177C" w:rsidRPr="00033CE1" w:rsidRDefault="00DC177C" w:rsidP="002076E8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 w:rsidRPr="00033CE1">
        <w:rPr>
          <w:szCs w:val="22"/>
        </w:rPr>
        <w:t xml:space="preserve">infekcie kože a mäkkých tkanív spôsobených kmeňmi </w:t>
      </w:r>
      <w:proofErr w:type="spellStart"/>
      <w:r w:rsidRPr="00033CE1">
        <w:rPr>
          <w:i/>
          <w:szCs w:val="22"/>
        </w:rPr>
        <w:t>Staphylococcus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spp</w:t>
      </w:r>
      <w:proofErr w:type="spellEnd"/>
      <w:r w:rsidRPr="00033CE1">
        <w:rPr>
          <w:i/>
          <w:szCs w:val="22"/>
        </w:rPr>
        <w:t>.</w:t>
      </w:r>
      <w:r w:rsidRPr="00033CE1">
        <w:rPr>
          <w:szCs w:val="22"/>
        </w:rPr>
        <w:t xml:space="preserve"> (</w:t>
      </w:r>
      <w:r w:rsidRPr="00033CE1">
        <w:rPr>
          <w:i/>
          <w:szCs w:val="22"/>
        </w:rPr>
        <w:t xml:space="preserve">S. </w:t>
      </w:r>
      <w:proofErr w:type="spellStart"/>
      <w:r w:rsidRPr="00033CE1">
        <w:rPr>
          <w:i/>
          <w:szCs w:val="22"/>
        </w:rPr>
        <w:t>aureus</w:t>
      </w:r>
      <w:proofErr w:type="spellEnd"/>
      <w:r w:rsidRPr="00033CE1">
        <w:rPr>
          <w:szCs w:val="22"/>
        </w:rPr>
        <w:t xml:space="preserve"> and </w:t>
      </w:r>
      <w:r w:rsidRPr="00033CE1">
        <w:rPr>
          <w:i/>
          <w:szCs w:val="22"/>
        </w:rPr>
        <w:t xml:space="preserve">S. </w:t>
      </w:r>
    </w:p>
    <w:p w14:paraId="6B6C4631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i/>
          <w:szCs w:val="22"/>
        </w:rPr>
        <w:t xml:space="preserve">          </w:t>
      </w:r>
      <w:proofErr w:type="spellStart"/>
      <w:r w:rsidRPr="00033CE1">
        <w:rPr>
          <w:i/>
          <w:szCs w:val="22"/>
        </w:rPr>
        <w:t>intermedius</w:t>
      </w:r>
      <w:proofErr w:type="spellEnd"/>
      <w:r w:rsidRPr="00033CE1">
        <w:rPr>
          <w:szCs w:val="22"/>
        </w:rPr>
        <w:t xml:space="preserve">), </w:t>
      </w:r>
      <w:r w:rsidRPr="00033CE1">
        <w:rPr>
          <w:i/>
          <w:szCs w:val="22"/>
        </w:rPr>
        <w:t xml:space="preserve">E. </w:t>
      </w:r>
      <w:proofErr w:type="spellStart"/>
      <w:r w:rsidRPr="00033CE1">
        <w:rPr>
          <w:i/>
          <w:szCs w:val="22"/>
        </w:rPr>
        <w:t>coli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i/>
          <w:szCs w:val="22"/>
        </w:rPr>
        <w:t>Pasteurella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multocida</w:t>
      </w:r>
      <w:proofErr w:type="spellEnd"/>
      <w:r w:rsidRPr="00033CE1">
        <w:rPr>
          <w:szCs w:val="22"/>
        </w:rPr>
        <w:t xml:space="preserve"> and </w:t>
      </w:r>
      <w:proofErr w:type="spellStart"/>
      <w:r w:rsidRPr="00033CE1">
        <w:rPr>
          <w:i/>
          <w:szCs w:val="22"/>
        </w:rPr>
        <w:t>Pseudomonas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aeruginosa</w:t>
      </w:r>
      <w:proofErr w:type="spellEnd"/>
      <w:r w:rsidRPr="00033CE1">
        <w:rPr>
          <w:szCs w:val="22"/>
        </w:rPr>
        <w:t>;</w:t>
      </w:r>
    </w:p>
    <w:p w14:paraId="33CDBE96" w14:textId="77777777" w:rsidR="00DC177C" w:rsidRPr="00033CE1" w:rsidRDefault="00DC177C" w:rsidP="002076E8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jc w:val="both"/>
        <w:rPr>
          <w:i/>
          <w:szCs w:val="22"/>
        </w:rPr>
      </w:pPr>
      <w:r w:rsidRPr="00033CE1">
        <w:rPr>
          <w:szCs w:val="22"/>
        </w:rPr>
        <w:t xml:space="preserve">infekcie </w:t>
      </w:r>
      <w:r w:rsidRPr="00033CE1">
        <w:rPr>
          <w:color w:val="000000"/>
          <w:szCs w:val="22"/>
        </w:rPr>
        <w:t>močovej sústavy spôsobené</w:t>
      </w:r>
      <w:r w:rsidRPr="00033CE1">
        <w:rPr>
          <w:szCs w:val="22"/>
        </w:rPr>
        <w:t xml:space="preserve"> kmeňmi </w:t>
      </w:r>
      <w:proofErr w:type="spellStart"/>
      <w:r w:rsidRPr="00033CE1">
        <w:rPr>
          <w:i/>
          <w:szCs w:val="22"/>
        </w:rPr>
        <w:t>Staphylococcus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>. (</w:t>
      </w:r>
      <w:r w:rsidRPr="00033CE1">
        <w:rPr>
          <w:i/>
          <w:szCs w:val="22"/>
        </w:rPr>
        <w:t xml:space="preserve">S. </w:t>
      </w:r>
      <w:proofErr w:type="spellStart"/>
      <w:r w:rsidRPr="00033CE1">
        <w:rPr>
          <w:i/>
          <w:szCs w:val="22"/>
        </w:rPr>
        <w:t>aureus</w:t>
      </w:r>
      <w:proofErr w:type="spellEnd"/>
      <w:r w:rsidRPr="00033CE1">
        <w:rPr>
          <w:szCs w:val="22"/>
        </w:rPr>
        <w:t xml:space="preserve"> and </w:t>
      </w:r>
      <w:r w:rsidRPr="00033CE1">
        <w:rPr>
          <w:i/>
          <w:szCs w:val="22"/>
        </w:rPr>
        <w:t xml:space="preserve">S. </w:t>
      </w:r>
    </w:p>
    <w:p w14:paraId="771552D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i/>
          <w:szCs w:val="22"/>
        </w:rPr>
        <w:t xml:space="preserve">          </w:t>
      </w:r>
      <w:proofErr w:type="spellStart"/>
      <w:r w:rsidRPr="00033CE1">
        <w:rPr>
          <w:i/>
          <w:szCs w:val="22"/>
        </w:rPr>
        <w:t>intermedius</w:t>
      </w:r>
      <w:proofErr w:type="spellEnd"/>
      <w:r w:rsidRPr="00033CE1">
        <w:rPr>
          <w:szCs w:val="22"/>
        </w:rPr>
        <w:t xml:space="preserve">), </w:t>
      </w:r>
      <w:proofErr w:type="spellStart"/>
      <w:r w:rsidRPr="00033CE1">
        <w:rPr>
          <w:i/>
          <w:szCs w:val="22"/>
        </w:rPr>
        <w:t>Streptococcus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>.</w:t>
      </w:r>
      <w:r w:rsidRPr="00033CE1">
        <w:rPr>
          <w:i/>
          <w:szCs w:val="22"/>
        </w:rPr>
        <w:t xml:space="preserve">, </w:t>
      </w:r>
      <w:proofErr w:type="spellStart"/>
      <w:r w:rsidRPr="00033CE1">
        <w:rPr>
          <w:i/>
          <w:szCs w:val="22"/>
        </w:rPr>
        <w:t>Enterobacteriaceae</w:t>
      </w:r>
      <w:proofErr w:type="spellEnd"/>
      <w:r w:rsidRPr="00033CE1">
        <w:rPr>
          <w:szCs w:val="22"/>
        </w:rPr>
        <w:t xml:space="preserve"> (</w:t>
      </w:r>
      <w:r w:rsidRPr="00033CE1">
        <w:rPr>
          <w:i/>
          <w:szCs w:val="22"/>
        </w:rPr>
        <w:t xml:space="preserve">E. </w:t>
      </w:r>
      <w:proofErr w:type="spellStart"/>
      <w:r w:rsidRPr="00033CE1">
        <w:rPr>
          <w:i/>
          <w:szCs w:val="22"/>
        </w:rPr>
        <w:t>coli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i/>
          <w:szCs w:val="22"/>
        </w:rPr>
        <w:t>Proteus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 xml:space="preserve">., </w:t>
      </w:r>
      <w:proofErr w:type="spellStart"/>
      <w:r w:rsidRPr="00033CE1">
        <w:rPr>
          <w:i/>
          <w:szCs w:val="22"/>
        </w:rPr>
        <w:t>Klebsiella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 xml:space="preserve">., </w:t>
      </w:r>
    </w:p>
    <w:p w14:paraId="0817CD7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033CE1">
        <w:rPr>
          <w:szCs w:val="22"/>
        </w:rPr>
        <w:t xml:space="preserve">          </w:t>
      </w:r>
      <w:proofErr w:type="spellStart"/>
      <w:r w:rsidRPr="00033CE1">
        <w:rPr>
          <w:i/>
          <w:szCs w:val="22"/>
        </w:rPr>
        <w:t>Citrobacter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freundii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i/>
          <w:szCs w:val="22"/>
        </w:rPr>
        <w:t>Enterobacter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cloacae</w:t>
      </w:r>
      <w:proofErr w:type="spellEnd"/>
      <w:r w:rsidRPr="00033CE1">
        <w:rPr>
          <w:szCs w:val="22"/>
        </w:rPr>
        <w:t xml:space="preserve">) a </w:t>
      </w:r>
      <w:proofErr w:type="spellStart"/>
      <w:r w:rsidRPr="00033CE1">
        <w:rPr>
          <w:i/>
          <w:szCs w:val="22"/>
        </w:rPr>
        <w:t>Pseudomonas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aeruginosa</w:t>
      </w:r>
      <w:proofErr w:type="spellEnd"/>
      <w:r w:rsidRPr="00033CE1">
        <w:rPr>
          <w:szCs w:val="22"/>
        </w:rPr>
        <w:t>;</w:t>
      </w:r>
    </w:p>
    <w:p w14:paraId="1432DDB3" w14:textId="77777777" w:rsidR="00DC177C" w:rsidRPr="00033CE1" w:rsidRDefault="00DC177C" w:rsidP="002076E8">
      <w:pPr>
        <w:numPr>
          <w:ilvl w:val="0"/>
          <w:numId w:val="1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 w:rsidRPr="00033CE1">
        <w:rPr>
          <w:szCs w:val="22"/>
        </w:rPr>
        <w:t xml:space="preserve">infekcie </w:t>
      </w:r>
      <w:r w:rsidRPr="00033CE1">
        <w:rPr>
          <w:color w:val="000000"/>
          <w:szCs w:val="22"/>
        </w:rPr>
        <w:t>dýchacej sústavy spôsobené</w:t>
      </w:r>
      <w:r w:rsidRPr="00033CE1">
        <w:rPr>
          <w:szCs w:val="22"/>
        </w:rPr>
        <w:t xml:space="preserve"> kmeňmi </w:t>
      </w:r>
      <w:proofErr w:type="spellStart"/>
      <w:r w:rsidRPr="00033CE1">
        <w:rPr>
          <w:i/>
          <w:szCs w:val="22"/>
        </w:rPr>
        <w:t>Pasteurella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multocida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i/>
          <w:szCs w:val="22"/>
        </w:rPr>
        <w:t>Enterobacteriaceae</w:t>
      </w:r>
      <w:proofErr w:type="spellEnd"/>
      <w:r w:rsidRPr="00033CE1">
        <w:rPr>
          <w:szCs w:val="22"/>
        </w:rPr>
        <w:t xml:space="preserve"> (</w:t>
      </w:r>
      <w:r w:rsidRPr="00033CE1">
        <w:rPr>
          <w:i/>
          <w:szCs w:val="22"/>
        </w:rPr>
        <w:t xml:space="preserve">E. </w:t>
      </w:r>
    </w:p>
    <w:p w14:paraId="7E6FD2B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033CE1">
        <w:rPr>
          <w:i/>
          <w:szCs w:val="22"/>
        </w:rPr>
        <w:t xml:space="preserve">          </w:t>
      </w:r>
      <w:proofErr w:type="spellStart"/>
      <w:r w:rsidRPr="00033CE1">
        <w:rPr>
          <w:i/>
          <w:szCs w:val="22"/>
        </w:rPr>
        <w:t>coli</w:t>
      </w:r>
      <w:proofErr w:type="spellEnd"/>
      <w:r w:rsidRPr="00033CE1">
        <w:rPr>
          <w:i/>
          <w:szCs w:val="22"/>
        </w:rPr>
        <w:t xml:space="preserve">, </w:t>
      </w:r>
      <w:proofErr w:type="spellStart"/>
      <w:r w:rsidRPr="00033CE1">
        <w:rPr>
          <w:i/>
          <w:szCs w:val="22"/>
        </w:rPr>
        <w:t>Klebsiella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pneumoniae</w:t>
      </w:r>
      <w:proofErr w:type="spellEnd"/>
      <w:r w:rsidRPr="00033CE1">
        <w:rPr>
          <w:szCs w:val="22"/>
        </w:rPr>
        <w:t xml:space="preserve">), </w:t>
      </w:r>
      <w:proofErr w:type="spellStart"/>
      <w:r w:rsidRPr="00033CE1">
        <w:rPr>
          <w:i/>
          <w:szCs w:val="22"/>
        </w:rPr>
        <w:t>Staphylococcus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>. (</w:t>
      </w:r>
      <w:r w:rsidRPr="00033CE1">
        <w:rPr>
          <w:i/>
          <w:szCs w:val="22"/>
        </w:rPr>
        <w:t xml:space="preserve">S. </w:t>
      </w:r>
      <w:proofErr w:type="spellStart"/>
      <w:r w:rsidRPr="00033CE1">
        <w:rPr>
          <w:i/>
          <w:szCs w:val="22"/>
        </w:rPr>
        <w:t>aureus</w:t>
      </w:r>
      <w:proofErr w:type="spellEnd"/>
      <w:r w:rsidRPr="00033CE1">
        <w:rPr>
          <w:i/>
          <w:szCs w:val="22"/>
        </w:rPr>
        <w:t xml:space="preserve">, S. </w:t>
      </w:r>
      <w:proofErr w:type="spellStart"/>
      <w:r w:rsidRPr="00033CE1">
        <w:rPr>
          <w:i/>
          <w:szCs w:val="22"/>
        </w:rPr>
        <w:t>intermedius</w:t>
      </w:r>
      <w:proofErr w:type="spellEnd"/>
      <w:r w:rsidRPr="00033CE1">
        <w:rPr>
          <w:szCs w:val="22"/>
        </w:rPr>
        <w:t xml:space="preserve">), </w:t>
      </w:r>
      <w:proofErr w:type="spellStart"/>
      <w:r w:rsidRPr="00033CE1">
        <w:rPr>
          <w:i/>
          <w:szCs w:val="22"/>
        </w:rPr>
        <w:t>Pseudomonas</w:t>
      </w:r>
      <w:proofErr w:type="spellEnd"/>
      <w:r w:rsidRPr="00033CE1">
        <w:rPr>
          <w:i/>
          <w:szCs w:val="22"/>
        </w:rPr>
        <w:t xml:space="preserve"> </w:t>
      </w:r>
    </w:p>
    <w:p w14:paraId="22F3F3F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i/>
          <w:szCs w:val="22"/>
        </w:rPr>
        <w:t xml:space="preserve">          </w:t>
      </w:r>
      <w:proofErr w:type="spellStart"/>
      <w:r w:rsidRPr="00033CE1">
        <w:rPr>
          <w:i/>
          <w:szCs w:val="22"/>
        </w:rPr>
        <w:t>aeruginosa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i/>
          <w:szCs w:val="22"/>
        </w:rPr>
        <w:t>Bordetella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i/>
          <w:szCs w:val="22"/>
        </w:rPr>
        <w:t>bronchiseptica</w:t>
      </w:r>
      <w:proofErr w:type="spellEnd"/>
      <w:r w:rsidRPr="00033CE1">
        <w:rPr>
          <w:szCs w:val="22"/>
        </w:rPr>
        <w:t xml:space="preserve"> a </w:t>
      </w:r>
      <w:proofErr w:type="spellStart"/>
      <w:r w:rsidRPr="00033CE1">
        <w:rPr>
          <w:i/>
          <w:szCs w:val="22"/>
        </w:rPr>
        <w:t>Streptococcus</w:t>
      </w:r>
      <w:proofErr w:type="spellEnd"/>
      <w:r w:rsidRPr="00033CE1">
        <w:rPr>
          <w:i/>
          <w:szCs w:val="22"/>
        </w:rPr>
        <w:t xml:space="preserve"> </w:t>
      </w:r>
      <w:proofErr w:type="spellStart"/>
      <w:r w:rsidRPr="00033CE1">
        <w:rPr>
          <w:szCs w:val="22"/>
        </w:rPr>
        <w:t>spp</w:t>
      </w:r>
      <w:proofErr w:type="spellEnd"/>
      <w:r w:rsidRPr="00033CE1">
        <w:rPr>
          <w:szCs w:val="22"/>
        </w:rPr>
        <w:t>.</w:t>
      </w:r>
    </w:p>
    <w:p w14:paraId="03E37F89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r w:rsidRPr="00033CE1">
        <w:rPr>
          <w:szCs w:val="22"/>
        </w:rPr>
        <w:t>Prípady rezistencie boli pozorované u streptokokov.</w:t>
      </w:r>
    </w:p>
    <w:p w14:paraId="49A069B6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r w:rsidRPr="00033CE1">
        <w:rPr>
          <w:szCs w:val="22"/>
        </w:rPr>
        <w:lastRenderedPageBreak/>
        <w:t xml:space="preserve">Kmene z </w:t>
      </w:r>
      <w:proofErr w:type="spellStart"/>
      <w:r w:rsidRPr="00033CE1">
        <w:rPr>
          <w:szCs w:val="22"/>
        </w:rPr>
        <w:t>dermálnych</w:t>
      </w:r>
      <w:proofErr w:type="spellEnd"/>
      <w:r w:rsidRPr="00033CE1">
        <w:rPr>
          <w:szCs w:val="22"/>
        </w:rPr>
        <w:t xml:space="preserve"> infekcií u mačiek a </w:t>
      </w:r>
      <w:proofErr w:type="spellStart"/>
      <w:r w:rsidRPr="00033CE1">
        <w:rPr>
          <w:szCs w:val="22"/>
        </w:rPr>
        <w:t>dermálnych</w:t>
      </w:r>
      <w:proofErr w:type="spellEnd"/>
      <w:r w:rsidRPr="00033CE1">
        <w:rPr>
          <w:szCs w:val="22"/>
        </w:rPr>
        <w:t xml:space="preserve"> infekcií a infekcií močovej sústavy u psov s MIC &lt; 1µg/ml sú citlivé na </w:t>
      </w: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(CLSI, 2008), kým kmene s MIC ≥ 4 µg/ml sú rezistentné voči </w:t>
      </w:r>
      <w:proofErr w:type="spellStart"/>
      <w:r w:rsidRPr="00033CE1">
        <w:rPr>
          <w:szCs w:val="22"/>
        </w:rPr>
        <w:t>marbofloxacínu</w:t>
      </w:r>
      <w:proofErr w:type="spellEnd"/>
      <w:r w:rsidRPr="00033CE1">
        <w:rPr>
          <w:szCs w:val="22"/>
        </w:rPr>
        <w:t>.</w:t>
      </w:r>
    </w:p>
    <w:p w14:paraId="2A0434C6" w14:textId="77777777" w:rsidR="00DA7446" w:rsidRDefault="00DA7446" w:rsidP="002076E8">
      <w:pPr>
        <w:jc w:val="both"/>
        <w:rPr>
          <w:lang w:eastAsia="en-US"/>
        </w:rPr>
      </w:pPr>
      <w:r>
        <w:t xml:space="preserve">Rezistencia na </w:t>
      </w:r>
      <w:proofErr w:type="spellStart"/>
      <w:r>
        <w:t>fluorochinolóny</w:t>
      </w:r>
      <w:proofErr w:type="spellEnd"/>
      <w:r>
        <w:t xml:space="preserve"> vzniká prostredníctvom </w:t>
      </w:r>
      <w:proofErr w:type="spellStart"/>
      <w:r>
        <w:t>chromozomálnej</w:t>
      </w:r>
      <w:proofErr w:type="spellEnd"/>
      <w:r>
        <w:t xml:space="preserve"> mutácie nasledujúcimi mechanizmami: znížením priepustnosti bakteriálnej steny buniek, </w:t>
      </w:r>
      <w:proofErr w:type="spellStart"/>
      <w:r>
        <w:t>expresiou</w:t>
      </w:r>
      <w:proofErr w:type="spellEnd"/>
      <w:r>
        <w:t xml:space="preserve"> génov kódujúcich </w:t>
      </w:r>
      <w:proofErr w:type="spellStart"/>
      <w:r>
        <w:t>efluxnú</w:t>
      </w:r>
      <w:proofErr w:type="spellEnd"/>
      <w:r>
        <w:t xml:space="preserve"> pumpu alebo mutáciami v génoch kódujúcich enzýmy zodpovedné za väzbu molekúl. Rezistencia sprostredkovaná </w:t>
      </w:r>
      <w:proofErr w:type="spellStart"/>
      <w:r>
        <w:t>plazmidmi</w:t>
      </w:r>
      <w:proofErr w:type="spellEnd"/>
      <w:r>
        <w:t xml:space="preserve"> na </w:t>
      </w:r>
      <w:proofErr w:type="spellStart"/>
      <w:r>
        <w:t>fluorochinolóny</w:t>
      </w:r>
      <w:proofErr w:type="spellEnd"/>
      <w:r>
        <w:t xml:space="preserve"> zapríčiňuje len zníženú citlivosť baktérií, avšak dokáže zjednodušiť vývoj mutácií v génoch cieľových enzýmov a dokáže sa premiestňovať horizontálnym smerom. V závislosti od podstatného mechanizmu rezistencie sa môžu vyskytovať </w:t>
      </w:r>
      <w:proofErr w:type="spellStart"/>
      <w:r>
        <w:t>skrížná</w:t>
      </w:r>
      <w:proofErr w:type="spellEnd"/>
      <w:r>
        <w:t xml:space="preserve"> rezistencia na iné (</w:t>
      </w:r>
      <w:proofErr w:type="spellStart"/>
      <w:r>
        <w:t>fluoro</w:t>
      </w:r>
      <w:proofErr w:type="spellEnd"/>
      <w:r>
        <w:t>)</w:t>
      </w:r>
      <w:proofErr w:type="spellStart"/>
      <w:r>
        <w:t>chinolóny</w:t>
      </w:r>
      <w:proofErr w:type="spellEnd"/>
      <w:r>
        <w:t xml:space="preserve"> a </w:t>
      </w:r>
      <w:proofErr w:type="spellStart"/>
      <w:r>
        <w:t>korezistencie</w:t>
      </w:r>
      <w:proofErr w:type="spellEnd"/>
      <w:r>
        <w:t xml:space="preserve"> na ostatné </w:t>
      </w:r>
      <w:proofErr w:type="spellStart"/>
      <w:r>
        <w:t>antimikrobiálne</w:t>
      </w:r>
      <w:proofErr w:type="spellEnd"/>
      <w:r>
        <w:t xml:space="preserve"> triedy.</w:t>
      </w:r>
    </w:p>
    <w:p w14:paraId="2A7939DB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szCs w:val="22"/>
        </w:rPr>
        <w:t xml:space="preserve"> </w:t>
      </w:r>
    </w:p>
    <w:p w14:paraId="07AD50A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nie je účinný proti anaeróbom, kvasinkám a plesniam.</w:t>
      </w:r>
    </w:p>
    <w:p w14:paraId="1EFC55E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177ADEB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5.2</w:t>
      </w:r>
      <w:r w:rsidRPr="00033CE1">
        <w:rPr>
          <w:b/>
          <w:szCs w:val="22"/>
        </w:rPr>
        <w:tab/>
      </w:r>
      <w:proofErr w:type="spellStart"/>
      <w:r w:rsidRPr="00033CE1">
        <w:rPr>
          <w:b/>
          <w:szCs w:val="22"/>
        </w:rPr>
        <w:t>Farmakokinetické</w:t>
      </w:r>
      <w:proofErr w:type="spellEnd"/>
      <w:r w:rsidRPr="00033CE1">
        <w:rPr>
          <w:b/>
          <w:szCs w:val="22"/>
        </w:rPr>
        <w:t xml:space="preserve"> údaje</w:t>
      </w:r>
    </w:p>
    <w:p w14:paraId="77580302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78607C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Po perorálnom podaní u psov v odporúčanej dávke 2 mg/kg </w:t>
      </w:r>
      <w:proofErr w:type="spellStart"/>
      <w:r w:rsidRPr="00033CE1">
        <w:rPr>
          <w:szCs w:val="22"/>
        </w:rPr>
        <w:t>ž.hm.sa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rýchlo absorbuje a maximálnu plazmatickú koncentráciu 1,5 </w:t>
      </w:r>
      <w:proofErr w:type="spellStart"/>
      <w:r w:rsidRPr="00033CE1">
        <w:rPr>
          <w:szCs w:val="22"/>
        </w:rPr>
        <w:t>μg</w:t>
      </w:r>
      <w:proofErr w:type="spellEnd"/>
      <w:r w:rsidRPr="00033CE1">
        <w:rPr>
          <w:szCs w:val="22"/>
        </w:rPr>
        <w:t>/ml dosiahne v priebehu 2 hodín.</w:t>
      </w:r>
    </w:p>
    <w:p w14:paraId="531A3928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</w:p>
    <w:p w14:paraId="300F91A4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Biodostupnosť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marbofloxacínu</w:t>
      </w:r>
      <w:proofErr w:type="spellEnd"/>
      <w:r w:rsidRPr="00033CE1">
        <w:rPr>
          <w:szCs w:val="22"/>
        </w:rPr>
        <w:t xml:space="preserve"> je takmer 100%.</w:t>
      </w:r>
    </w:p>
    <w:p w14:paraId="60531FCF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</w:p>
    <w:p w14:paraId="6FF8433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sa slabo viaže na plazmatické bielkoviny (menej ako 10%), veľmi dobre sa distribuuje do väčšiny tkanív (pečeň, obličky, koža, pľúca, močový mechúr, tráviaci trakt), v ktorých dosahuje vyššie koncentrácie ako v plazme.  </w:t>
      </w: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sa vylučuje pomaly (polčas vylučovania je 14 hodín u psov) prevažne v účinnej forme močom (2/3) a výkalmi (1/3).</w:t>
      </w:r>
    </w:p>
    <w:p w14:paraId="2238120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C17E65D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6.</w:t>
      </w:r>
      <w:r w:rsidRPr="00033CE1">
        <w:rPr>
          <w:b/>
          <w:szCs w:val="22"/>
        </w:rPr>
        <w:tab/>
        <w:t>FARMACEUTICKÉ ÚDAJE</w:t>
      </w:r>
    </w:p>
    <w:p w14:paraId="1BED5F7F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C75393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6.1</w:t>
      </w:r>
      <w:r w:rsidRPr="00033CE1">
        <w:rPr>
          <w:b/>
          <w:szCs w:val="22"/>
        </w:rPr>
        <w:tab/>
        <w:t>Zoznam pomocných látok</w:t>
      </w:r>
    </w:p>
    <w:p w14:paraId="3820E80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171D72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Monohydrát</w:t>
      </w:r>
      <w:proofErr w:type="spellEnd"/>
      <w:r w:rsidRPr="00033CE1">
        <w:rPr>
          <w:szCs w:val="22"/>
        </w:rPr>
        <w:t xml:space="preserve"> laktózy</w:t>
      </w:r>
    </w:p>
    <w:p w14:paraId="67584DC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Celulóza, prášková</w:t>
      </w:r>
    </w:p>
    <w:p w14:paraId="41ADD91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Povidón</w:t>
      </w:r>
      <w:proofErr w:type="spellEnd"/>
    </w:p>
    <w:p w14:paraId="456E077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Krospovidón</w:t>
      </w:r>
      <w:proofErr w:type="spellEnd"/>
    </w:p>
    <w:p w14:paraId="2922593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Koloidný oxid kremičitý bezvodý</w:t>
      </w:r>
    </w:p>
    <w:p w14:paraId="25C4A6A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Kalcium-behenát</w:t>
      </w:r>
      <w:proofErr w:type="spellEnd"/>
    </w:p>
    <w:p w14:paraId="04397C0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Kvasnice</w:t>
      </w:r>
    </w:p>
    <w:p w14:paraId="2C57F6F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Príchuť hovädzieho mäsa</w:t>
      </w:r>
    </w:p>
    <w:p w14:paraId="45A9C36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CB9712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6.2</w:t>
      </w:r>
      <w:r w:rsidRPr="00033CE1">
        <w:rPr>
          <w:b/>
          <w:szCs w:val="22"/>
        </w:rPr>
        <w:tab/>
      </w:r>
      <w:r>
        <w:rPr>
          <w:b/>
          <w:szCs w:val="22"/>
        </w:rPr>
        <w:t>Závažné i</w:t>
      </w:r>
      <w:r w:rsidRPr="00033CE1">
        <w:rPr>
          <w:b/>
          <w:szCs w:val="22"/>
        </w:rPr>
        <w:t>nkompatibility</w:t>
      </w:r>
    </w:p>
    <w:p w14:paraId="1136A3E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839F03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Neuplatňujú sa.</w:t>
      </w:r>
    </w:p>
    <w:p w14:paraId="61C1430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E351D50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6.3</w:t>
      </w:r>
      <w:r w:rsidRPr="00033CE1">
        <w:rPr>
          <w:b/>
          <w:szCs w:val="22"/>
        </w:rPr>
        <w:tab/>
        <w:t>Čas použiteľnosti</w:t>
      </w:r>
    </w:p>
    <w:p w14:paraId="66B2619F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64580F9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Čas použiteľnosti veterinárneho lieku zabaleného v  </w:t>
      </w:r>
      <w:r>
        <w:rPr>
          <w:szCs w:val="22"/>
        </w:rPr>
        <w:t>neporušenom</w:t>
      </w:r>
      <w:r w:rsidRPr="00033CE1">
        <w:rPr>
          <w:szCs w:val="22"/>
        </w:rPr>
        <w:t xml:space="preserve"> obale: </w:t>
      </w:r>
      <w:r>
        <w:rPr>
          <w:szCs w:val="22"/>
        </w:rPr>
        <w:t>5</w:t>
      </w:r>
      <w:r w:rsidRPr="00033CE1">
        <w:rPr>
          <w:szCs w:val="22"/>
        </w:rPr>
        <w:t xml:space="preserve"> rok</w:t>
      </w:r>
      <w:r>
        <w:rPr>
          <w:szCs w:val="22"/>
        </w:rPr>
        <w:t>ov</w:t>
      </w:r>
      <w:r w:rsidRPr="00033CE1">
        <w:rPr>
          <w:szCs w:val="22"/>
        </w:rPr>
        <w:t>.</w:t>
      </w:r>
    </w:p>
    <w:p w14:paraId="215BE7B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Čas použiteľnosti tablety rozdelenej na polovice: 4 dni.</w:t>
      </w:r>
    </w:p>
    <w:p w14:paraId="5DD5C7C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D5DE4C6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6.4.</w:t>
      </w:r>
      <w:r w:rsidRPr="00033CE1">
        <w:rPr>
          <w:b/>
          <w:szCs w:val="22"/>
        </w:rPr>
        <w:tab/>
        <w:t>Osobitné bezpečnostné opatrenia pre uchovávanie</w:t>
      </w:r>
    </w:p>
    <w:p w14:paraId="461E64B5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70A596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/>
          <w:szCs w:val="22"/>
        </w:rPr>
      </w:pPr>
      <w:r w:rsidRPr="00033CE1">
        <w:rPr>
          <w:szCs w:val="22"/>
        </w:rPr>
        <w:t>Tento veterinárny liek nevyžaduje žiadne zvláštne teplotné podmienky na uchovávanie.</w:t>
      </w:r>
    </w:p>
    <w:p w14:paraId="0315BD76" w14:textId="77777777" w:rsidR="00DC177C" w:rsidRPr="00033CE1" w:rsidRDefault="00DC177C" w:rsidP="00DC177C">
      <w:pPr>
        <w:tabs>
          <w:tab w:val="left" w:pos="720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Uchovávať v </w:t>
      </w:r>
      <w:proofErr w:type="spellStart"/>
      <w:r w:rsidRPr="00033CE1">
        <w:rPr>
          <w:szCs w:val="22"/>
        </w:rPr>
        <w:t>blistroch</w:t>
      </w:r>
      <w:proofErr w:type="spellEnd"/>
      <w:r w:rsidRPr="00033CE1">
        <w:rPr>
          <w:szCs w:val="22"/>
        </w:rPr>
        <w:t xml:space="preserve"> v pôvodnej škatuľke.</w:t>
      </w:r>
    </w:p>
    <w:p w14:paraId="74120BF1" w14:textId="77777777" w:rsidR="00DC177C" w:rsidRPr="00033CE1" w:rsidRDefault="00DC177C" w:rsidP="00DC177C">
      <w:pPr>
        <w:tabs>
          <w:tab w:val="left" w:pos="720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Ak sú tablety zlomené na polovice, zostávajúce polovice uchovávať v </w:t>
      </w:r>
      <w:proofErr w:type="spellStart"/>
      <w:r w:rsidRPr="00033CE1">
        <w:rPr>
          <w:szCs w:val="22"/>
        </w:rPr>
        <w:t>blistrovej</w:t>
      </w:r>
      <w:proofErr w:type="spellEnd"/>
      <w:r w:rsidRPr="00033CE1">
        <w:rPr>
          <w:szCs w:val="22"/>
        </w:rPr>
        <w:t xml:space="preserve"> jamke.</w:t>
      </w:r>
    </w:p>
    <w:p w14:paraId="7360FF9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Všetky zostávajúce tablety zlomené na polovice po 4 dňoch zlikvidovať.</w:t>
      </w:r>
    </w:p>
    <w:p w14:paraId="6B3AD32B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4AC40E2F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6.5</w:t>
      </w:r>
      <w:r w:rsidRPr="00033CE1">
        <w:rPr>
          <w:b/>
          <w:szCs w:val="22"/>
        </w:rPr>
        <w:tab/>
        <w:t>Charakter a zloženie vnútorného obalu</w:t>
      </w:r>
    </w:p>
    <w:p w14:paraId="5E60FAC3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25E51C4" w14:textId="3AE9EC68" w:rsidR="00DC177C" w:rsidRPr="00033CE1" w:rsidRDefault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Blistrové</w:t>
      </w:r>
      <w:proofErr w:type="spellEnd"/>
      <w:r w:rsidRPr="00033CE1">
        <w:rPr>
          <w:szCs w:val="22"/>
        </w:rPr>
        <w:t xml:space="preserve"> obaly </w:t>
      </w:r>
      <w:proofErr w:type="spellStart"/>
      <w:r w:rsidRPr="00033CE1">
        <w:rPr>
          <w:szCs w:val="22"/>
        </w:rPr>
        <w:t>Al</w:t>
      </w:r>
      <w:proofErr w:type="spellEnd"/>
      <w:r w:rsidRPr="00033CE1">
        <w:rPr>
          <w:szCs w:val="22"/>
        </w:rPr>
        <w:t>/</w:t>
      </w:r>
      <w:proofErr w:type="spellStart"/>
      <w:r w:rsidRPr="00033CE1">
        <w:rPr>
          <w:szCs w:val="22"/>
        </w:rPr>
        <w:t>PA-Al-PVC</w:t>
      </w:r>
      <w:proofErr w:type="spellEnd"/>
      <w:r w:rsidRPr="00033CE1">
        <w:rPr>
          <w:szCs w:val="22"/>
        </w:rPr>
        <w:t xml:space="preserve"> po 6 tabliet.  </w:t>
      </w:r>
    </w:p>
    <w:p w14:paraId="67739F26" w14:textId="77777777" w:rsidR="00DA7446" w:rsidRDefault="00DA7446" w:rsidP="00DA7446">
      <w:pPr>
        <w:tabs>
          <w:tab w:val="clear" w:pos="567"/>
          <w:tab w:val="left" w:pos="708"/>
        </w:tabs>
        <w:spacing w:line="240" w:lineRule="auto"/>
      </w:pPr>
    </w:p>
    <w:p w14:paraId="59AD5191" w14:textId="77777777" w:rsidR="00DA7446" w:rsidRDefault="00DA7446" w:rsidP="00DA744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Veľkosť balenia:</w:t>
      </w:r>
    </w:p>
    <w:p w14:paraId="691EFC91" w14:textId="77777777" w:rsidR="00DA7446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Škatuľka</w:t>
      </w:r>
      <w:r w:rsidRPr="00033CE1">
        <w:rPr>
          <w:szCs w:val="22"/>
        </w:rPr>
        <w:t xml:space="preserve"> s</w:t>
      </w:r>
      <w:r>
        <w:rPr>
          <w:szCs w:val="22"/>
        </w:rPr>
        <w:t>o</w:t>
      </w:r>
      <w:r w:rsidRPr="00033CE1">
        <w:rPr>
          <w:szCs w:val="22"/>
        </w:rPr>
        <w:t xml:space="preserve"> 6 tabletami</w:t>
      </w:r>
      <w:r>
        <w:rPr>
          <w:szCs w:val="22"/>
        </w:rPr>
        <w:t>.</w:t>
      </w:r>
    </w:p>
    <w:p w14:paraId="64CC3F29" w14:textId="77777777" w:rsidR="00DA7446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škatuľka</w:t>
      </w:r>
      <w:r w:rsidRPr="00033CE1">
        <w:rPr>
          <w:szCs w:val="22"/>
        </w:rPr>
        <w:t xml:space="preserve"> s 12 tabletami</w:t>
      </w:r>
      <w:r>
        <w:rPr>
          <w:szCs w:val="22"/>
        </w:rPr>
        <w:t>,</w:t>
      </w:r>
    </w:p>
    <w:p w14:paraId="0A9FE4BC" w14:textId="77777777" w:rsidR="00DA7446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 </w:t>
      </w:r>
      <w:r w:rsidRPr="00033CE1">
        <w:rPr>
          <w:szCs w:val="22"/>
        </w:rPr>
        <w:t>36 tabletami</w:t>
      </w:r>
      <w:r>
        <w:rPr>
          <w:szCs w:val="22"/>
        </w:rPr>
        <w:t>,</w:t>
      </w:r>
    </w:p>
    <w:p w14:paraId="3316B5CC" w14:textId="77777777" w:rsidR="00DA7446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so </w:t>
      </w:r>
      <w:r>
        <w:rPr>
          <w:szCs w:val="22"/>
        </w:rPr>
        <w:t>72 tabletami,</w:t>
      </w:r>
    </w:p>
    <w:p w14:paraId="0949211D" w14:textId="77777777" w:rsidR="00DA7446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so </w:t>
      </w:r>
      <w:r w:rsidRPr="00033CE1">
        <w:rPr>
          <w:szCs w:val="22"/>
        </w:rPr>
        <w:t>120 tabletami</w:t>
      </w:r>
      <w:r>
        <w:rPr>
          <w:szCs w:val="22"/>
        </w:rPr>
        <w:t>,</w:t>
      </w:r>
    </w:p>
    <w:p w14:paraId="55880C62" w14:textId="77777777" w:rsidR="00DC177C" w:rsidRPr="00033CE1" w:rsidRDefault="00DA7446" w:rsidP="00DA7446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 </w:t>
      </w:r>
      <w:r w:rsidRPr="00033CE1">
        <w:rPr>
          <w:szCs w:val="22"/>
        </w:rPr>
        <w:t>240 tabletami</w:t>
      </w:r>
      <w:r>
        <w:rPr>
          <w:szCs w:val="22"/>
        </w:rPr>
        <w:t>.</w:t>
      </w:r>
    </w:p>
    <w:p w14:paraId="5F4FE3F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Nie všetky veľkosti balenia sa musia uvádzať na trh.</w:t>
      </w:r>
    </w:p>
    <w:p w14:paraId="16E8745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EC2D9C8" w14:textId="35356BCE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6.6</w:t>
      </w:r>
      <w:r w:rsidRPr="00033CE1">
        <w:rPr>
          <w:szCs w:val="22"/>
        </w:rPr>
        <w:tab/>
      </w:r>
      <w:r w:rsidRPr="00033CE1">
        <w:rPr>
          <w:b/>
          <w:szCs w:val="22"/>
        </w:rPr>
        <w:t>Osobitné bezpečnostné opatrenia pre zneškodňovanie nepoužitých veterinárnych liekov, prípadne odpadových materiálov vytvorených pri používaní týchto liekov</w:t>
      </w:r>
    </w:p>
    <w:p w14:paraId="4429BAC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FEE4393" w14:textId="03EC7227" w:rsidR="00DC177C" w:rsidRPr="00033CE1" w:rsidRDefault="00DC177C" w:rsidP="00DC177C">
      <w:pPr>
        <w:tabs>
          <w:tab w:val="clear" w:pos="567"/>
        </w:tabs>
        <w:spacing w:line="240" w:lineRule="auto"/>
        <w:rPr>
          <w:i/>
          <w:szCs w:val="22"/>
        </w:rPr>
      </w:pPr>
      <w:r w:rsidRPr="00033CE1">
        <w:rPr>
          <w:szCs w:val="22"/>
        </w:rPr>
        <w:t>Každý nepoužitý veterinárny liek alebo odpadové materiály z tohto veterinárneho lieku musia byť zlikvidované v súlade s</w:t>
      </w:r>
      <w:r w:rsidR="00DA7446">
        <w:rPr>
          <w:szCs w:val="22"/>
        </w:rPr>
        <w:t> miestnymi požiadavkami.</w:t>
      </w:r>
    </w:p>
    <w:p w14:paraId="42A3207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7223D32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7.</w:t>
      </w:r>
      <w:r w:rsidRPr="00033CE1">
        <w:rPr>
          <w:b/>
          <w:szCs w:val="22"/>
        </w:rPr>
        <w:tab/>
        <w:t>DRŽITEĽ ROZHODNUTIA O REGISTRÁCII</w:t>
      </w:r>
    </w:p>
    <w:p w14:paraId="47925C3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4E87488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LIVISTO </w:t>
      </w:r>
      <w:proofErr w:type="spellStart"/>
      <w:r w:rsidRPr="00033CE1">
        <w:rPr>
          <w:szCs w:val="22"/>
        </w:rPr>
        <w:t>Int’l</w:t>
      </w:r>
      <w:proofErr w:type="spellEnd"/>
      <w:r w:rsidRPr="00033CE1">
        <w:rPr>
          <w:szCs w:val="22"/>
        </w:rPr>
        <w:t>, S.L.</w:t>
      </w:r>
    </w:p>
    <w:p w14:paraId="74CB7B57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Av</w:t>
      </w:r>
      <w:proofErr w:type="spellEnd"/>
      <w:r w:rsidRPr="00033CE1">
        <w:rPr>
          <w:szCs w:val="22"/>
        </w:rPr>
        <w:t xml:space="preserve">. </w:t>
      </w:r>
      <w:proofErr w:type="spellStart"/>
      <w:r w:rsidRPr="00033CE1">
        <w:rPr>
          <w:szCs w:val="22"/>
        </w:rPr>
        <w:t>Universitat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Autònoma</w:t>
      </w:r>
      <w:proofErr w:type="spellEnd"/>
      <w:r w:rsidRPr="00033CE1">
        <w:rPr>
          <w:szCs w:val="22"/>
        </w:rPr>
        <w:t>, 29</w:t>
      </w:r>
    </w:p>
    <w:p w14:paraId="3D47B51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08290 </w:t>
      </w:r>
      <w:proofErr w:type="spellStart"/>
      <w:r w:rsidRPr="00033CE1">
        <w:rPr>
          <w:szCs w:val="22"/>
        </w:rPr>
        <w:t>Cerdanyola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del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Vallès</w:t>
      </w:r>
      <w:proofErr w:type="spellEnd"/>
      <w:r w:rsidRPr="00033CE1">
        <w:rPr>
          <w:szCs w:val="22"/>
        </w:rPr>
        <w:t xml:space="preserve"> (Barcelona)</w:t>
      </w:r>
    </w:p>
    <w:p w14:paraId="02F9F56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Španielsko</w:t>
      </w:r>
    </w:p>
    <w:p w14:paraId="4A48ABB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0F14F65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8.</w:t>
      </w:r>
      <w:r w:rsidRPr="00033CE1">
        <w:rPr>
          <w:b/>
          <w:szCs w:val="22"/>
        </w:rPr>
        <w:tab/>
        <w:t>REGISTRAČNÉ ČÍSLO</w:t>
      </w:r>
    </w:p>
    <w:p w14:paraId="247FCF7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6464EF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96/030/DC/17-S</w:t>
      </w:r>
    </w:p>
    <w:p w14:paraId="6250FC1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7E35FA2" w14:textId="59A05188" w:rsidR="00DC177C" w:rsidRPr="002076E8" w:rsidRDefault="00DC177C" w:rsidP="002076E8">
      <w:pPr>
        <w:rPr>
          <w:b/>
          <w:bCs/>
        </w:rPr>
      </w:pPr>
      <w:r w:rsidRPr="00033CE1">
        <w:rPr>
          <w:b/>
          <w:szCs w:val="22"/>
        </w:rPr>
        <w:t>9.</w:t>
      </w:r>
      <w:r w:rsidRPr="00033CE1">
        <w:rPr>
          <w:b/>
          <w:szCs w:val="22"/>
        </w:rPr>
        <w:tab/>
      </w:r>
      <w:r w:rsidR="002076E8">
        <w:rPr>
          <w:b/>
          <w:bCs/>
        </w:rPr>
        <w:t>DÁTUM PRVEJ REGISTRÁCIE/PREDĹŽENIA REGISTRÁCIE</w:t>
      </w:r>
    </w:p>
    <w:p w14:paraId="48D8B7E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D14AC0E" w14:textId="17F8E499" w:rsidR="00DC177C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Dátum prvej registrácie:</w:t>
      </w:r>
      <w:r w:rsidR="002076E8">
        <w:rPr>
          <w:szCs w:val="22"/>
        </w:rPr>
        <w:t xml:space="preserve"> 10/07/</w:t>
      </w:r>
      <w:r w:rsidR="00A876CE">
        <w:rPr>
          <w:szCs w:val="22"/>
        </w:rPr>
        <w:t>2017</w:t>
      </w:r>
    </w:p>
    <w:p w14:paraId="5D196E53" w14:textId="3D444ACC" w:rsidR="00DA7446" w:rsidRPr="00033CE1" w:rsidRDefault="00DA7446" w:rsidP="00DC177C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</w:rPr>
        <w:t>Dátum posledného predĺženia:</w:t>
      </w:r>
      <w:r w:rsidR="00003B6F">
        <w:rPr>
          <w:bCs/>
        </w:rPr>
        <w:t>19/04/2022</w:t>
      </w:r>
      <w:bookmarkStart w:id="0" w:name="_GoBack"/>
      <w:bookmarkEnd w:id="0"/>
    </w:p>
    <w:p w14:paraId="33AA4CC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7514ED5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10.</w:t>
      </w:r>
      <w:r w:rsidRPr="00033CE1">
        <w:rPr>
          <w:b/>
          <w:szCs w:val="22"/>
        </w:rPr>
        <w:tab/>
        <w:t>DÁTUM REVÍZIE TEXTU</w:t>
      </w:r>
    </w:p>
    <w:p w14:paraId="754A0C9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4D27E3C" w14:textId="1518CADF" w:rsidR="00DC177C" w:rsidRPr="00033CE1" w:rsidRDefault="00B06EA2" w:rsidP="00DC17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03/2022</w:t>
      </w:r>
    </w:p>
    <w:p w14:paraId="0A419B3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1ED4C07" w14:textId="77777777" w:rsidR="00DC177C" w:rsidRPr="00033CE1" w:rsidRDefault="00DC177C" w:rsidP="00DC177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ZÁKAZ PREDAJA, DODÁVOK A/ALEBO POUŽÍVANIA</w:t>
      </w:r>
    </w:p>
    <w:p w14:paraId="578A6C5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46BA14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Neuplatňuje sa.</w:t>
      </w:r>
    </w:p>
    <w:p w14:paraId="6017A9F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6E03BF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Výdaj lieku je viazaný na veterinárny predpis.</w:t>
      </w:r>
    </w:p>
    <w:p w14:paraId="6369B81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9C8352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0AB069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C295D6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9F1CE6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C881B1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C82FFE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89FA7D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FF5DC9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61D24C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719243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A8FFD3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0F31F7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A0C1B2A" w14:textId="77777777" w:rsidR="00DC177C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EBEADC8" w14:textId="7282F258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41D91A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C177C" w:rsidRPr="00033CE1" w14:paraId="252B2C14" w14:textId="77777777" w:rsidTr="00857E3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D69456D" w14:textId="77777777" w:rsidR="00DC177C" w:rsidRPr="00033CE1" w:rsidRDefault="00DC177C" w:rsidP="00857E3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033CE1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A99424F" w14:textId="77777777" w:rsidR="00DC177C" w:rsidRPr="00033CE1" w:rsidRDefault="00DC177C" w:rsidP="00857E3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491B720" w14:textId="77777777" w:rsidR="00DC177C" w:rsidRPr="00033CE1" w:rsidRDefault="00DC177C" w:rsidP="00857E3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33CE1">
              <w:rPr>
                <w:b/>
                <w:szCs w:val="22"/>
              </w:rPr>
              <w:t>{Škatuľka, etiketa}</w:t>
            </w:r>
          </w:p>
        </w:tc>
      </w:tr>
    </w:tbl>
    <w:p w14:paraId="0446D2D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C14025D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1.</w:t>
      </w:r>
      <w:r w:rsidRPr="00033CE1">
        <w:rPr>
          <w:b/>
          <w:szCs w:val="22"/>
        </w:rPr>
        <w:tab/>
        <w:t>NÁZOV VETERINÁRNEHO LIEKU</w:t>
      </w:r>
    </w:p>
    <w:p w14:paraId="16AB655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85C170B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Boflox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flavour</w:t>
      </w:r>
      <w:proofErr w:type="spellEnd"/>
      <w:r w:rsidRPr="00033CE1">
        <w:rPr>
          <w:szCs w:val="22"/>
        </w:rPr>
        <w:t>, 80 mg tablety pre psy</w:t>
      </w:r>
    </w:p>
    <w:p w14:paraId="0FECE9A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</w:p>
    <w:p w14:paraId="0ECD3BD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27C433F" w14:textId="638D3589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2.</w:t>
      </w:r>
      <w:r w:rsidRPr="00033CE1">
        <w:rPr>
          <w:b/>
          <w:szCs w:val="22"/>
        </w:rPr>
        <w:tab/>
        <w:t>ÚČINNÉ LÁTKY</w:t>
      </w:r>
    </w:p>
    <w:p w14:paraId="242CB9E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2E5A49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Jedna tableta obsahuje:</w:t>
      </w:r>
    </w:p>
    <w:p w14:paraId="1EE9345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Účinná látka:</w:t>
      </w:r>
    </w:p>
    <w:p w14:paraId="7389B98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Marbofloxacinum</w:t>
      </w:r>
      <w:proofErr w:type="spellEnd"/>
      <w:r w:rsidRPr="00033CE1">
        <w:rPr>
          <w:szCs w:val="22"/>
        </w:rPr>
        <w:t xml:space="preserve"> 80 mg</w:t>
      </w:r>
    </w:p>
    <w:p w14:paraId="059E8A2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E265FB8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3.</w:t>
      </w:r>
      <w:r w:rsidRPr="00033CE1">
        <w:rPr>
          <w:b/>
          <w:szCs w:val="22"/>
        </w:rPr>
        <w:tab/>
        <w:t>LIEKOVÁ FORMA</w:t>
      </w:r>
    </w:p>
    <w:p w14:paraId="1132EB1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972862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Tableta</w:t>
      </w:r>
    </w:p>
    <w:p w14:paraId="6990B4F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F7A85A6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4.</w:t>
      </w:r>
      <w:r w:rsidRPr="00033CE1">
        <w:rPr>
          <w:b/>
          <w:szCs w:val="22"/>
        </w:rPr>
        <w:tab/>
        <w:t>VEĽKOSŤ BALENIA</w:t>
      </w:r>
    </w:p>
    <w:p w14:paraId="4A66140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91C6CE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6 tabliet</w:t>
      </w:r>
    </w:p>
    <w:p w14:paraId="628996A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12 tabliet</w:t>
      </w:r>
    </w:p>
    <w:p w14:paraId="5365773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3CE1">
        <w:rPr>
          <w:szCs w:val="22"/>
          <w:highlight w:val="lightGray"/>
        </w:rPr>
        <w:t>36 tabliet</w:t>
      </w:r>
    </w:p>
    <w:p w14:paraId="769C083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3CE1">
        <w:rPr>
          <w:szCs w:val="22"/>
          <w:highlight w:val="lightGray"/>
        </w:rPr>
        <w:t>72 tabliet</w:t>
      </w:r>
    </w:p>
    <w:p w14:paraId="5AF43AD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33CE1">
        <w:rPr>
          <w:szCs w:val="22"/>
          <w:highlight w:val="lightGray"/>
        </w:rPr>
        <w:t>120 tabliet</w:t>
      </w:r>
    </w:p>
    <w:p w14:paraId="6683072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240 tabliet</w:t>
      </w:r>
    </w:p>
    <w:p w14:paraId="4BB5447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4109460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5.</w:t>
      </w:r>
      <w:r w:rsidRPr="00033CE1">
        <w:rPr>
          <w:b/>
          <w:szCs w:val="22"/>
        </w:rPr>
        <w:tab/>
        <w:t>CIEĽOVÝ DRUH</w:t>
      </w:r>
    </w:p>
    <w:p w14:paraId="0B18E61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540CC1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P</w:t>
      </w:r>
      <w:r w:rsidRPr="002076E8">
        <w:rPr>
          <w:szCs w:val="22"/>
          <w:highlight w:val="darkGray"/>
        </w:rPr>
        <w:t>sy</w:t>
      </w:r>
    </w:p>
    <w:p w14:paraId="31E1606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E3AFF32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6.</w:t>
      </w:r>
      <w:r w:rsidRPr="00033CE1">
        <w:rPr>
          <w:b/>
          <w:szCs w:val="22"/>
        </w:rPr>
        <w:tab/>
        <w:t>INDIKÁCIE</w:t>
      </w:r>
    </w:p>
    <w:p w14:paraId="285CDD1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D9B3AA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Pred použitím si prečítajte písomnú informáciu pre používateľov.</w:t>
      </w:r>
    </w:p>
    <w:p w14:paraId="1725534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DF8E9B8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7.</w:t>
      </w:r>
      <w:r w:rsidRPr="00033CE1">
        <w:rPr>
          <w:b/>
          <w:szCs w:val="22"/>
        </w:rPr>
        <w:tab/>
        <w:t>SPÔSOB A CESTA PODANIA LIEKU</w:t>
      </w:r>
    </w:p>
    <w:p w14:paraId="212AF54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810C94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Na perorálne použitie.</w:t>
      </w:r>
    </w:p>
    <w:p w14:paraId="0705DDB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Pred použitím si prečítajte písomnú informáciu pre používateľov.</w:t>
      </w:r>
    </w:p>
    <w:p w14:paraId="07178F2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DDC4EB9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8.</w:t>
      </w:r>
      <w:r w:rsidRPr="00033CE1">
        <w:rPr>
          <w:b/>
          <w:szCs w:val="22"/>
        </w:rPr>
        <w:tab/>
        <w:t>OCHRANNÁ LEHOTA</w:t>
      </w:r>
    </w:p>
    <w:p w14:paraId="77C4CA7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39877C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B38A00F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9.</w:t>
      </w:r>
      <w:r w:rsidRPr="00033CE1">
        <w:rPr>
          <w:b/>
          <w:szCs w:val="22"/>
        </w:rPr>
        <w:tab/>
        <w:t>OSOBITNÉ UPOZORNENIE, AK JE POTREBNÉ</w:t>
      </w:r>
    </w:p>
    <w:p w14:paraId="666115D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58FFAB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highlight w:val="lightGray"/>
        </w:rPr>
        <w:t>Pred použitím si prečítajte písomnú informáciu pre používateľov.</w:t>
      </w:r>
    </w:p>
    <w:p w14:paraId="6F9283B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2D2FA23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10.</w:t>
      </w:r>
      <w:r w:rsidRPr="00033CE1">
        <w:rPr>
          <w:b/>
          <w:szCs w:val="22"/>
        </w:rPr>
        <w:tab/>
        <w:t>DÁTUM EXSPIRÁCIE</w:t>
      </w:r>
    </w:p>
    <w:p w14:paraId="52D2ECA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0CD97A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Čas použiteľnosti tablety rozdelenej na polovice: 4 dni.</w:t>
      </w:r>
    </w:p>
    <w:p w14:paraId="6A3F214D" w14:textId="77777777" w:rsidR="00DC177C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EXP {mesiac/rok}</w:t>
      </w:r>
    </w:p>
    <w:p w14:paraId="12ED860E" w14:textId="77777777" w:rsidR="00DA7446" w:rsidRPr="00033CE1" w:rsidRDefault="00DA7446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D3C886D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11.</w:t>
      </w:r>
      <w:r w:rsidRPr="00033CE1">
        <w:rPr>
          <w:b/>
          <w:szCs w:val="22"/>
        </w:rPr>
        <w:tab/>
        <w:t>OSOBITNÉ PODMIENKY NA UCHOVÁVANIE</w:t>
      </w:r>
    </w:p>
    <w:p w14:paraId="564A800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31F9DB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Uchovávať v pôvodnom obale.</w:t>
      </w:r>
    </w:p>
    <w:p w14:paraId="6EF215E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Ak sú tablety zlomené na polovice, zostávajúce polovice uchovávať v </w:t>
      </w:r>
      <w:proofErr w:type="spellStart"/>
      <w:r w:rsidRPr="00033CE1">
        <w:rPr>
          <w:szCs w:val="22"/>
        </w:rPr>
        <w:t>blistrovej</w:t>
      </w:r>
      <w:proofErr w:type="spellEnd"/>
      <w:r w:rsidRPr="00033CE1">
        <w:rPr>
          <w:szCs w:val="22"/>
        </w:rPr>
        <w:t xml:space="preserve"> jamke.</w:t>
      </w:r>
    </w:p>
    <w:p w14:paraId="583FF18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Všetky zostávajúce tablety zlomené na polovice po 4 dňoch zlikvidovať.</w:t>
      </w:r>
    </w:p>
    <w:p w14:paraId="28219D1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C94350D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12.</w:t>
      </w:r>
      <w:r w:rsidRPr="00033CE1">
        <w:rPr>
          <w:b/>
          <w:szCs w:val="22"/>
        </w:rPr>
        <w:tab/>
        <w:t>BEZPEČNOSTNÉ OPATRENIA NA ZNEŠKODNENIE NEPOUŽITÉHO LIEKU ALEBO ODPADOVÉHO MATERIÁLU, V PRÍPADE POTREBY</w:t>
      </w:r>
    </w:p>
    <w:p w14:paraId="4CC4085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77FE80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  <w:r w:rsidRPr="00033CE1">
        <w:rPr>
          <w:szCs w:val="22"/>
        </w:rPr>
        <w:t>Likvidácia: prečítajte si písomnú informáciu pre používateľov.</w:t>
      </w:r>
    </w:p>
    <w:p w14:paraId="20F58E9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76C1139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13.</w:t>
      </w:r>
      <w:r w:rsidRPr="00033CE1">
        <w:rPr>
          <w:b/>
          <w:szCs w:val="22"/>
        </w:rPr>
        <w:tab/>
        <w:t>OZNAČENIE „LEN PRE ZVIERATÁ“ A PODMIENKY ALEBO OBMEDZENIA TÝKAJÚCE SA DODÁVKY A POUŽITIA, AK SA UPLATŇUJÚ</w:t>
      </w:r>
    </w:p>
    <w:p w14:paraId="57DD6D6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4BBF7D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Len pre zvieratá. </w:t>
      </w:r>
    </w:p>
    <w:p w14:paraId="1A20D08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Výdaj lieku je viazaný na veterinárny predpis.</w:t>
      </w:r>
    </w:p>
    <w:p w14:paraId="77EB719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E71F624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14.</w:t>
      </w:r>
      <w:r w:rsidRPr="00033CE1">
        <w:rPr>
          <w:b/>
          <w:szCs w:val="22"/>
        </w:rPr>
        <w:tab/>
        <w:t>OZNAČENIE „UCHOVÁVAŤ MIMO DOHĽADU A DOSAHU DETÍ“</w:t>
      </w:r>
    </w:p>
    <w:p w14:paraId="14FC8AC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765145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Uchovávať mimo dohľadu a dosahu detí.</w:t>
      </w:r>
    </w:p>
    <w:p w14:paraId="3BCA26D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541131F" w14:textId="77777777" w:rsidR="00DC177C" w:rsidRPr="00033CE1" w:rsidRDefault="00DC177C" w:rsidP="00DC17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15.</w:t>
      </w:r>
      <w:r w:rsidRPr="00033CE1">
        <w:rPr>
          <w:b/>
          <w:szCs w:val="22"/>
        </w:rPr>
        <w:tab/>
        <w:t>NÁZOV A ADRESA DRŽITEĽA ROZHODNUTIA O REGISTRÁCII</w:t>
      </w:r>
    </w:p>
    <w:p w14:paraId="3C876042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848F35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 LIVISTO </w:t>
      </w:r>
      <w:proofErr w:type="spellStart"/>
      <w:r w:rsidRPr="00033CE1">
        <w:rPr>
          <w:szCs w:val="22"/>
        </w:rPr>
        <w:t>Int’l</w:t>
      </w:r>
      <w:proofErr w:type="spellEnd"/>
      <w:r w:rsidRPr="00033CE1">
        <w:rPr>
          <w:szCs w:val="22"/>
        </w:rPr>
        <w:t>, S.L.</w:t>
      </w:r>
    </w:p>
    <w:p w14:paraId="6876A5D0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Av</w:t>
      </w:r>
      <w:proofErr w:type="spellEnd"/>
      <w:r w:rsidRPr="00033CE1">
        <w:rPr>
          <w:szCs w:val="22"/>
        </w:rPr>
        <w:t xml:space="preserve">. </w:t>
      </w:r>
      <w:proofErr w:type="spellStart"/>
      <w:r w:rsidRPr="00033CE1">
        <w:rPr>
          <w:szCs w:val="22"/>
        </w:rPr>
        <w:t>Universitat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Autònoma</w:t>
      </w:r>
      <w:proofErr w:type="spellEnd"/>
      <w:r w:rsidRPr="00033CE1">
        <w:rPr>
          <w:szCs w:val="22"/>
        </w:rPr>
        <w:t>, 29</w:t>
      </w:r>
    </w:p>
    <w:p w14:paraId="2AC41A4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08290 </w:t>
      </w:r>
      <w:proofErr w:type="spellStart"/>
      <w:r w:rsidRPr="00033CE1">
        <w:rPr>
          <w:szCs w:val="22"/>
        </w:rPr>
        <w:t>Cerdanyola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del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Vallès</w:t>
      </w:r>
      <w:proofErr w:type="spellEnd"/>
      <w:r w:rsidRPr="00033CE1">
        <w:rPr>
          <w:szCs w:val="22"/>
        </w:rPr>
        <w:t xml:space="preserve"> (Barcelona)</w:t>
      </w:r>
    </w:p>
    <w:p w14:paraId="4031812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Španielsko</w:t>
      </w:r>
    </w:p>
    <w:p w14:paraId="4634305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B3094BC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16.</w:t>
      </w:r>
      <w:r w:rsidRPr="00033CE1">
        <w:rPr>
          <w:b/>
          <w:szCs w:val="22"/>
        </w:rPr>
        <w:tab/>
        <w:t>REGISTRAČNÉ ČÍSLO</w:t>
      </w:r>
    </w:p>
    <w:p w14:paraId="71C6E38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613E68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96/030/DC/17-S</w:t>
      </w:r>
    </w:p>
    <w:p w14:paraId="7480525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9E49AF7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17.</w:t>
      </w:r>
      <w:r w:rsidRPr="00033CE1">
        <w:rPr>
          <w:b/>
          <w:szCs w:val="22"/>
        </w:rPr>
        <w:tab/>
        <w:t>ČÍSLO VÝROBNEJ ŠARŽE</w:t>
      </w:r>
    </w:p>
    <w:p w14:paraId="5219E63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/>
          <w:szCs w:val="22"/>
        </w:rPr>
      </w:pPr>
    </w:p>
    <w:p w14:paraId="46A0FEB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Č. šarže {číslo}</w:t>
      </w:r>
    </w:p>
    <w:p w14:paraId="29591B5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A7B609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br w:type="page"/>
      </w:r>
    </w:p>
    <w:p w14:paraId="4A34E488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lastRenderedPageBreak/>
        <w:t>MINIMÁLNE ÚDAJE, KTORÉ MAJÚ BYŤ UVEDENÉ NA BLISTROCH ALEBO STRIPOCH</w:t>
      </w:r>
    </w:p>
    <w:p w14:paraId="6A301C48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B9DF0E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{</w:t>
      </w:r>
      <w:proofErr w:type="spellStart"/>
      <w:r w:rsidRPr="00033CE1">
        <w:rPr>
          <w:b/>
          <w:szCs w:val="22"/>
        </w:rPr>
        <w:t>Blister</w:t>
      </w:r>
      <w:proofErr w:type="spellEnd"/>
      <w:r w:rsidRPr="00033CE1">
        <w:rPr>
          <w:b/>
          <w:szCs w:val="22"/>
        </w:rPr>
        <w:t>}</w:t>
      </w:r>
    </w:p>
    <w:p w14:paraId="3FAF015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7D2431D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1.</w:t>
      </w:r>
      <w:r w:rsidRPr="00033CE1">
        <w:rPr>
          <w:b/>
          <w:szCs w:val="22"/>
        </w:rPr>
        <w:tab/>
        <w:t>NÁZOV VETERINÁRNEHO LIEKU</w:t>
      </w:r>
    </w:p>
    <w:p w14:paraId="18657C57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85FD00E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Boflox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flavour</w:t>
      </w:r>
      <w:proofErr w:type="spellEnd"/>
      <w:r w:rsidRPr="00033CE1">
        <w:rPr>
          <w:szCs w:val="22"/>
        </w:rPr>
        <w:t>, 80 mg tablety pre psy</w:t>
      </w:r>
    </w:p>
    <w:p w14:paraId="5EBD5046" w14:textId="77777777" w:rsidR="00DC177C" w:rsidRDefault="00DC177C" w:rsidP="00DC177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</w:p>
    <w:p w14:paraId="1FBD6732" w14:textId="77777777" w:rsidR="001A7A3A" w:rsidRDefault="001A7A3A" w:rsidP="00DC177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2CB3DE" w14:textId="77777777" w:rsidR="00DA7446" w:rsidRPr="00033CE1" w:rsidRDefault="00DA7446" w:rsidP="00DC177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 wp14:anchorId="7B284F13" wp14:editId="546E8A3B">
            <wp:extent cx="1105535" cy="8032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D292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420D7BF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2.</w:t>
      </w:r>
      <w:r w:rsidRPr="00033CE1">
        <w:rPr>
          <w:b/>
          <w:szCs w:val="22"/>
        </w:rPr>
        <w:tab/>
        <w:t>NÁZOV A ADRESA DRŽITEĽA ROZHODNUTIA O REGISTRÁCII</w:t>
      </w:r>
    </w:p>
    <w:p w14:paraId="3B0189A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50AF8F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LIVISTO </w:t>
      </w:r>
      <w:proofErr w:type="spellStart"/>
      <w:r w:rsidRPr="00033CE1">
        <w:rPr>
          <w:szCs w:val="22"/>
        </w:rPr>
        <w:t>Int’l</w:t>
      </w:r>
      <w:proofErr w:type="spellEnd"/>
      <w:r w:rsidRPr="00033CE1">
        <w:rPr>
          <w:szCs w:val="22"/>
        </w:rPr>
        <w:t>, S.L.</w:t>
      </w:r>
    </w:p>
    <w:p w14:paraId="50FE6DD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BC84424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033CE1">
        <w:rPr>
          <w:b/>
          <w:szCs w:val="22"/>
        </w:rPr>
        <w:t>3.</w:t>
      </w:r>
      <w:r w:rsidRPr="00033CE1">
        <w:rPr>
          <w:b/>
          <w:szCs w:val="22"/>
        </w:rPr>
        <w:tab/>
        <w:t>DÁTUM EXSPIRÁCIE</w:t>
      </w:r>
    </w:p>
    <w:p w14:paraId="5CEB090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FC5ECE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EXP {mesiac/rok}</w:t>
      </w:r>
    </w:p>
    <w:p w14:paraId="271DCC2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D2CFE02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4.</w:t>
      </w:r>
      <w:r w:rsidRPr="00033CE1">
        <w:rPr>
          <w:b/>
          <w:szCs w:val="22"/>
        </w:rPr>
        <w:tab/>
        <w:t>ČÍSLO ŠARŽE</w:t>
      </w:r>
    </w:p>
    <w:p w14:paraId="02195B6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1D485F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Č. šarže {číslo}</w:t>
      </w:r>
    </w:p>
    <w:p w14:paraId="71241EC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1BCFB01" w14:textId="77777777" w:rsidR="00DC177C" w:rsidRPr="00033CE1" w:rsidRDefault="00DC177C" w:rsidP="00DC1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5.</w:t>
      </w:r>
      <w:r w:rsidRPr="00033CE1">
        <w:rPr>
          <w:b/>
          <w:szCs w:val="22"/>
        </w:rPr>
        <w:tab/>
        <w:t>OZNAČENIE „LEN PRE ZVIERATÁ“</w:t>
      </w:r>
    </w:p>
    <w:p w14:paraId="19F6190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12AD5D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Len pre zvieratá.</w:t>
      </w:r>
    </w:p>
    <w:p w14:paraId="335A911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47C0B99" w14:textId="69B7A33F" w:rsidR="00DC177C" w:rsidRPr="00033CE1" w:rsidRDefault="00DC177C" w:rsidP="00DC177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33CE1">
        <w:rPr>
          <w:szCs w:val="22"/>
        </w:rPr>
        <w:br w:type="page"/>
      </w:r>
      <w:r w:rsidRPr="00033CE1">
        <w:rPr>
          <w:b/>
          <w:szCs w:val="22"/>
        </w:rPr>
        <w:lastRenderedPageBreak/>
        <w:t>PÍSOMNÁ INFORMÁCIA PRE POUŽÍVATEĽOV PRE:</w:t>
      </w:r>
    </w:p>
    <w:p w14:paraId="15D5BEEE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proofErr w:type="spellStart"/>
      <w:r w:rsidRPr="00033CE1">
        <w:rPr>
          <w:szCs w:val="22"/>
        </w:rPr>
        <w:t>Boflox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flavour</w:t>
      </w:r>
      <w:proofErr w:type="spellEnd"/>
      <w:r w:rsidRPr="00033CE1">
        <w:rPr>
          <w:szCs w:val="22"/>
        </w:rPr>
        <w:t>, 80 mg tablety pre psy</w:t>
      </w:r>
    </w:p>
    <w:p w14:paraId="440A7BD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13DB69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1.</w:t>
      </w:r>
      <w:r w:rsidRPr="00033CE1">
        <w:rPr>
          <w:b/>
          <w:szCs w:val="22"/>
        </w:rPr>
        <w:tab/>
        <w:t>NÁZOV A ADRESA DRŽITEĽA ROZHODNUTIA O REGISTRÁCII A DRŽITEĽA POVOLENIA NA VÝROBU ZODPOVEDNÉHO ZA UVOĽNENIE ŠARŽE, AK NIE SÚ IDENTICKÍ</w:t>
      </w:r>
    </w:p>
    <w:p w14:paraId="1793277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35C9FF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  <w:r w:rsidRPr="00033CE1">
        <w:rPr>
          <w:szCs w:val="22"/>
          <w:u w:val="single"/>
        </w:rPr>
        <w:t>Držiteľ rozhodnutia o registrácii</w:t>
      </w:r>
      <w:r w:rsidRPr="00033CE1">
        <w:rPr>
          <w:szCs w:val="22"/>
        </w:rPr>
        <w:t>:</w:t>
      </w:r>
    </w:p>
    <w:p w14:paraId="1371D459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 LIVISTO </w:t>
      </w:r>
      <w:proofErr w:type="spellStart"/>
      <w:r w:rsidRPr="00033CE1">
        <w:rPr>
          <w:szCs w:val="22"/>
        </w:rPr>
        <w:t>Int’l</w:t>
      </w:r>
      <w:proofErr w:type="spellEnd"/>
      <w:r w:rsidRPr="00033CE1">
        <w:rPr>
          <w:szCs w:val="22"/>
        </w:rPr>
        <w:t>, S.L.</w:t>
      </w:r>
    </w:p>
    <w:p w14:paraId="10EC195A" w14:textId="77777777" w:rsidR="00DC177C" w:rsidRPr="00033CE1" w:rsidRDefault="00DC177C" w:rsidP="00DC177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Av</w:t>
      </w:r>
      <w:proofErr w:type="spellEnd"/>
      <w:r w:rsidRPr="00033CE1">
        <w:rPr>
          <w:szCs w:val="22"/>
        </w:rPr>
        <w:t xml:space="preserve">. </w:t>
      </w:r>
      <w:proofErr w:type="spellStart"/>
      <w:r w:rsidRPr="00033CE1">
        <w:rPr>
          <w:szCs w:val="22"/>
        </w:rPr>
        <w:t>Universitat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Autònoma</w:t>
      </w:r>
      <w:proofErr w:type="spellEnd"/>
      <w:r w:rsidRPr="00033CE1">
        <w:rPr>
          <w:szCs w:val="22"/>
        </w:rPr>
        <w:t>, 29</w:t>
      </w:r>
    </w:p>
    <w:p w14:paraId="4C953BF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08290 </w:t>
      </w:r>
      <w:proofErr w:type="spellStart"/>
      <w:r w:rsidRPr="00033CE1">
        <w:rPr>
          <w:szCs w:val="22"/>
        </w:rPr>
        <w:t>Cerdanyola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del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Vallès</w:t>
      </w:r>
      <w:proofErr w:type="spellEnd"/>
      <w:r w:rsidRPr="00033CE1">
        <w:rPr>
          <w:szCs w:val="22"/>
        </w:rPr>
        <w:t xml:space="preserve"> (Barcelona)</w:t>
      </w:r>
    </w:p>
    <w:p w14:paraId="1429EA9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Španielsko</w:t>
      </w:r>
    </w:p>
    <w:p w14:paraId="271877D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0BB6C8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033CE1">
        <w:rPr>
          <w:szCs w:val="22"/>
          <w:u w:val="single"/>
        </w:rPr>
        <w:t>Výrobca zodpovedný za uvoľnenie šarže</w:t>
      </w:r>
      <w:r w:rsidRPr="00033CE1">
        <w:rPr>
          <w:szCs w:val="22"/>
        </w:rPr>
        <w:t>:</w:t>
      </w:r>
    </w:p>
    <w:p w14:paraId="613F013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aniMedica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GmbH</w:t>
      </w:r>
      <w:proofErr w:type="spellEnd"/>
    </w:p>
    <w:p w14:paraId="491F293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Im </w:t>
      </w:r>
      <w:proofErr w:type="spellStart"/>
      <w:r w:rsidRPr="00033CE1">
        <w:rPr>
          <w:szCs w:val="22"/>
        </w:rPr>
        <w:t>Südfeld</w:t>
      </w:r>
      <w:proofErr w:type="spellEnd"/>
      <w:r w:rsidRPr="00033CE1">
        <w:rPr>
          <w:szCs w:val="22"/>
        </w:rPr>
        <w:t xml:space="preserve"> 9</w:t>
      </w:r>
    </w:p>
    <w:p w14:paraId="4B7E368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48308 </w:t>
      </w:r>
      <w:proofErr w:type="spellStart"/>
      <w:r w:rsidRPr="00033CE1">
        <w:rPr>
          <w:szCs w:val="22"/>
        </w:rPr>
        <w:t>Senden-Bösensell</w:t>
      </w:r>
      <w:proofErr w:type="spellEnd"/>
    </w:p>
    <w:p w14:paraId="43FF587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Nemecko</w:t>
      </w:r>
    </w:p>
    <w:p w14:paraId="35F1FBF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F5BFCB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2.</w:t>
      </w:r>
      <w:r w:rsidRPr="00033CE1">
        <w:rPr>
          <w:b/>
          <w:szCs w:val="22"/>
        </w:rPr>
        <w:tab/>
        <w:t>NÁZOV VETERINÁRNEHO LIEKU</w:t>
      </w:r>
    </w:p>
    <w:p w14:paraId="26F9AA2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30084A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Boflox</w:t>
      </w:r>
      <w:proofErr w:type="spellEnd"/>
      <w:r w:rsidRPr="00033CE1">
        <w:rPr>
          <w:szCs w:val="22"/>
        </w:rPr>
        <w:t xml:space="preserve"> </w:t>
      </w:r>
      <w:proofErr w:type="spellStart"/>
      <w:r w:rsidRPr="00033CE1">
        <w:rPr>
          <w:szCs w:val="22"/>
        </w:rPr>
        <w:t>flavour</w:t>
      </w:r>
      <w:proofErr w:type="spellEnd"/>
      <w:r w:rsidRPr="00033CE1">
        <w:rPr>
          <w:szCs w:val="22"/>
        </w:rPr>
        <w:t xml:space="preserve">, 80 mg tablety pre psy </w:t>
      </w:r>
    </w:p>
    <w:p w14:paraId="55EF1F7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</w:p>
    <w:p w14:paraId="5196F5A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F451255" w14:textId="1EC338A9" w:rsidR="002076E8" w:rsidRPr="002076E8" w:rsidRDefault="00DC177C" w:rsidP="002076E8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076E8">
        <w:rPr>
          <w:b/>
          <w:szCs w:val="22"/>
          <w:highlight w:val="lightGray"/>
        </w:rPr>
        <w:t>3.</w:t>
      </w:r>
      <w:r w:rsidRPr="00033CE1">
        <w:rPr>
          <w:b/>
          <w:szCs w:val="22"/>
        </w:rPr>
        <w:tab/>
      </w:r>
      <w:r w:rsidR="002076E8" w:rsidRPr="002076E8">
        <w:rPr>
          <w:b/>
          <w:bCs/>
          <w:szCs w:val="22"/>
        </w:rPr>
        <w:t>OBSAH ÚČINN</w:t>
      </w:r>
      <w:r w:rsidR="002076E8">
        <w:rPr>
          <w:b/>
          <w:bCs/>
          <w:szCs w:val="22"/>
        </w:rPr>
        <w:t>EJ LÁTKY</w:t>
      </w:r>
      <w:r w:rsidR="002076E8" w:rsidRPr="002076E8">
        <w:rPr>
          <w:b/>
          <w:bCs/>
          <w:szCs w:val="22"/>
        </w:rPr>
        <w:t xml:space="preserve">(-OK) A INEJ </w:t>
      </w:r>
      <w:r w:rsidR="002076E8">
        <w:rPr>
          <w:b/>
          <w:bCs/>
          <w:szCs w:val="22"/>
        </w:rPr>
        <w:t>LÁTKY</w:t>
      </w:r>
      <w:r w:rsidR="002076E8" w:rsidRPr="002076E8">
        <w:rPr>
          <w:b/>
          <w:bCs/>
          <w:szCs w:val="22"/>
        </w:rPr>
        <w:t>(-OK)</w:t>
      </w:r>
    </w:p>
    <w:p w14:paraId="78B1C1C1" w14:textId="2A01B9E3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6630FA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Jedna tableta obsahuje :</w:t>
      </w:r>
    </w:p>
    <w:p w14:paraId="315D8F1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Účinná látka:</w:t>
      </w:r>
    </w:p>
    <w:p w14:paraId="6D47D32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33CE1">
        <w:rPr>
          <w:szCs w:val="22"/>
        </w:rPr>
        <w:t>Marbofloxacinum</w:t>
      </w:r>
      <w:proofErr w:type="spellEnd"/>
      <w:r w:rsidRPr="00033CE1">
        <w:rPr>
          <w:szCs w:val="22"/>
        </w:rPr>
        <w:t xml:space="preserve"> 80 mg</w:t>
      </w:r>
    </w:p>
    <w:p w14:paraId="777D536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F60345" w14:textId="77777777" w:rsidR="00DC177C" w:rsidRPr="00033CE1" w:rsidRDefault="00DC177C" w:rsidP="00DC177C">
      <w:pPr>
        <w:spacing w:line="240" w:lineRule="auto"/>
        <w:rPr>
          <w:szCs w:val="22"/>
        </w:rPr>
      </w:pPr>
      <w:r w:rsidRPr="00033CE1">
        <w:rPr>
          <w:szCs w:val="22"/>
        </w:rPr>
        <w:t>Podlhovasté, svetlohnedé tablety s deliacou ryhou na jednej strane a hnedými škvrnami.</w:t>
      </w:r>
    </w:p>
    <w:p w14:paraId="01E827F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252D80C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4.</w:t>
      </w:r>
      <w:r w:rsidRPr="00033CE1">
        <w:rPr>
          <w:b/>
          <w:szCs w:val="22"/>
        </w:rPr>
        <w:tab/>
        <w:t>INDIKÁCIE</w:t>
      </w:r>
    </w:p>
    <w:p w14:paraId="7F37149B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7F1E83C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Liečba infekcií spôsobených kmeňmi mikroorganizmov citlivými na </w:t>
      </w: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>.</w:t>
      </w:r>
    </w:p>
    <w:p w14:paraId="50B17048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U psov:</w:t>
      </w:r>
    </w:p>
    <w:p w14:paraId="422D6D0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>infekcie kože a mäkkých tkanív (</w:t>
      </w:r>
      <w:proofErr w:type="spellStart"/>
      <w:r w:rsidRPr="00033CE1">
        <w:rPr>
          <w:szCs w:val="22"/>
        </w:rPr>
        <w:t>pyroderma</w:t>
      </w:r>
      <w:proofErr w:type="spellEnd"/>
      <w:r w:rsidRPr="00033CE1">
        <w:rPr>
          <w:szCs w:val="22"/>
        </w:rPr>
        <w:t xml:space="preserve"> kožných záhybov, </w:t>
      </w:r>
      <w:proofErr w:type="spellStart"/>
      <w:r w:rsidRPr="00033CE1">
        <w:rPr>
          <w:szCs w:val="22"/>
        </w:rPr>
        <w:t>impetigo</w:t>
      </w:r>
      <w:proofErr w:type="spellEnd"/>
      <w:r w:rsidRPr="00033CE1">
        <w:rPr>
          <w:szCs w:val="22"/>
        </w:rPr>
        <w:t xml:space="preserve">, </w:t>
      </w:r>
      <w:proofErr w:type="spellStart"/>
      <w:r w:rsidRPr="00033CE1">
        <w:rPr>
          <w:szCs w:val="22"/>
        </w:rPr>
        <w:t>folikulitída</w:t>
      </w:r>
      <w:proofErr w:type="spellEnd"/>
      <w:r w:rsidRPr="00033CE1">
        <w:rPr>
          <w:szCs w:val="22"/>
        </w:rPr>
        <w:t xml:space="preserve">, </w:t>
      </w:r>
    </w:p>
    <w:p w14:paraId="63BC441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          </w:t>
      </w:r>
      <w:r w:rsidR="001A7A3A">
        <w:rPr>
          <w:szCs w:val="22"/>
        </w:rPr>
        <w:t xml:space="preserve">   </w:t>
      </w:r>
      <w:proofErr w:type="spellStart"/>
      <w:r w:rsidRPr="00033CE1">
        <w:rPr>
          <w:szCs w:val="22"/>
        </w:rPr>
        <w:t>furunkulóza</w:t>
      </w:r>
      <w:proofErr w:type="spellEnd"/>
      <w:r w:rsidRPr="00033CE1">
        <w:rPr>
          <w:szCs w:val="22"/>
        </w:rPr>
        <w:t>, celulitída),</w:t>
      </w:r>
    </w:p>
    <w:p w14:paraId="488DEA92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 xml:space="preserve">infekcie močovej sústavy (UTI) spojené alebo nespojené s </w:t>
      </w:r>
      <w:proofErr w:type="spellStart"/>
      <w:r w:rsidRPr="00033CE1">
        <w:rPr>
          <w:szCs w:val="22"/>
        </w:rPr>
        <w:t>prostatitídou</w:t>
      </w:r>
      <w:proofErr w:type="spellEnd"/>
      <w:r w:rsidRPr="00033CE1">
        <w:rPr>
          <w:szCs w:val="22"/>
        </w:rPr>
        <w:t xml:space="preserve"> alebo </w:t>
      </w:r>
      <w:proofErr w:type="spellStart"/>
      <w:r w:rsidRPr="00033CE1">
        <w:rPr>
          <w:szCs w:val="22"/>
        </w:rPr>
        <w:t>epididymitídou</w:t>
      </w:r>
      <w:proofErr w:type="spellEnd"/>
      <w:r w:rsidRPr="00033CE1">
        <w:rPr>
          <w:szCs w:val="22"/>
        </w:rPr>
        <w:t>,</w:t>
      </w:r>
    </w:p>
    <w:p w14:paraId="076CBB4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•</w:t>
      </w:r>
      <w:r w:rsidRPr="00033CE1">
        <w:rPr>
          <w:szCs w:val="22"/>
        </w:rPr>
        <w:tab/>
        <w:t xml:space="preserve">infekcie dýchacej sústavy. </w:t>
      </w:r>
    </w:p>
    <w:p w14:paraId="715A782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6BF46D5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5.</w:t>
      </w:r>
      <w:r w:rsidRPr="00033CE1">
        <w:rPr>
          <w:b/>
          <w:szCs w:val="22"/>
        </w:rPr>
        <w:tab/>
        <w:t>KONTRAINDIKÁCIE</w:t>
      </w:r>
    </w:p>
    <w:p w14:paraId="630D1FB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9875EA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33CE1">
        <w:rPr>
          <w:szCs w:val="22"/>
        </w:rPr>
        <w:t>Marbofloxacín</w:t>
      </w:r>
      <w:proofErr w:type="spellEnd"/>
      <w:r w:rsidRPr="00033CE1">
        <w:rPr>
          <w:szCs w:val="22"/>
        </w:rPr>
        <w:t xml:space="preserve"> nepoužívať u psov mladších ako 12 mesiacov alebo mladších ako 18 mesiacov u mimoriadne veľkých plemien ako nemecká doga, </w:t>
      </w:r>
      <w:proofErr w:type="spellStart"/>
      <w:r w:rsidRPr="00033CE1">
        <w:rPr>
          <w:szCs w:val="22"/>
        </w:rPr>
        <w:t>briard</w:t>
      </w:r>
      <w:proofErr w:type="spellEnd"/>
      <w:r w:rsidRPr="00033CE1">
        <w:rPr>
          <w:szCs w:val="22"/>
        </w:rPr>
        <w:t>, bernský salašnícky pes a </w:t>
      </w:r>
      <w:proofErr w:type="spellStart"/>
      <w:r w:rsidRPr="00033CE1">
        <w:rPr>
          <w:szCs w:val="22"/>
        </w:rPr>
        <w:t>mastif</w:t>
      </w:r>
      <w:proofErr w:type="spellEnd"/>
      <w:r w:rsidRPr="00033CE1">
        <w:rPr>
          <w:szCs w:val="22"/>
        </w:rPr>
        <w:t>, s dlhším obdobím rastu.</w:t>
      </w:r>
    </w:p>
    <w:p w14:paraId="2946904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prípade precitlivenosti na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alebo ktorúkoľvek z pomocných látok lieku.</w:t>
      </w:r>
    </w:p>
    <w:p w14:paraId="131986F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prípade rezistencie voči </w:t>
      </w:r>
      <w:proofErr w:type="spellStart"/>
      <w:r w:rsidRPr="00033CE1">
        <w:rPr>
          <w:szCs w:val="22"/>
        </w:rPr>
        <w:t>chinolónom</w:t>
      </w:r>
      <w:proofErr w:type="spellEnd"/>
      <w:r w:rsidRPr="00033CE1">
        <w:rPr>
          <w:szCs w:val="22"/>
        </w:rPr>
        <w:t xml:space="preserve">, pretože existuje (takmer) úplná skrížená rezistencia voči nim a iným </w:t>
      </w:r>
      <w:proofErr w:type="spellStart"/>
      <w:r w:rsidRPr="00033CE1">
        <w:rPr>
          <w:szCs w:val="22"/>
        </w:rPr>
        <w:t>fluorochinolónom</w:t>
      </w:r>
      <w:proofErr w:type="spellEnd"/>
      <w:r w:rsidRPr="00033CE1">
        <w:rPr>
          <w:szCs w:val="22"/>
        </w:rPr>
        <w:t xml:space="preserve">. </w:t>
      </w:r>
    </w:p>
    <w:p w14:paraId="555BEB7A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Liek nie je vhodný pri infekciách spôsobených striktnými anaeróbmi, kvasinkami alebo plesňami.</w:t>
      </w:r>
    </w:p>
    <w:p w14:paraId="42658C2D" w14:textId="77777777" w:rsidR="00DC177C" w:rsidRPr="00033CE1" w:rsidRDefault="00DC177C" w:rsidP="002076E8">
      <w:pPr>
        <w:spacing w:line="240" w:lineRule="auto"/>
        <w:jc w:val="both"/>
        <w:rPr>
          <w:szCs w:val="22"/>
        </w:rPr>
      </w:pPr>
    </w:p>
    <w:p w14:paraId="4CBF608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Nepoužívať u mačiek. Na liečbu tohto druhu sú k dispozícii deliteľné 20 mg tablety.</w:t>
      </w:r>
    </w:p>
    <w:p w14:paraId="64E808F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4ADD735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6.</w:t>
      </w:r>
      <w:r w:rsidRPr="00033CE1">
        <w:rPr>
          <w:b/>
          <w:szCs w:val="22"/>
        </w:rPr>
        <w:tab/>
        <w:t>NEŽIADUCE ÚČINKY</w:t>
      </w:r>
    </w:p>
    <w:p w14:paraId="0C25EB6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5C50F3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Pri odporúčanej terapeutickej dávke sa u psov neočakávajú žiadne závažné nežiaduce účinky. V klinických štúdiách sa pri odporúčanej veľkosti dávky nevyskytli žiadne zmeny na kĺboch. V </w:t>
      </w:r>
      <w:r w:rsidRPr="00033CE1">
        <w:rPr>
          <w:szCs w:val="22"/>
        </w:rPr>
        <w:lastRenderedPageBreak/>
        <w:t>zriedkavých prípadoch sa však môže vyskytnúť bolesť kĺbov a/alebo neurologické symptómy (</w:t>
      </w:r>
      <w:proofErr w:type="spellStart"/>
      <w:r w:rsidRPr="00033CE1">
        <w:rPr>
          <w:szCs w:val="22"/>
        </w:rPr>
        <w:t>ataxia</w:t>
      </w:r>
      <w:proofErr w:type="spellEnd"/>
      <w:r w:rsidRPr="00033CE1">
        <w:rPr>
          <w:szCs w:val="22"/>
        </w:rPr>
        <w:t>, agresívnosť, kŕče, depresia).</w:t>
      </w:r>
    </w:p>
    <w:p w14:paraId="13E54BF5" w14:textId="77777777" w:rsidR="00DC177C" w:rsidRPr="00033CE1" w:rsidRDefault="00DC177C" w:rsidP="002076E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5E9FB87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Pozorovali sa alergické reakcie (prechodné kožné reakcie), ktoré môžu nastať v dôsledku uvoľňovania histamínu.</w:t>
      </w:r>
    </w:p>
    <w:p w14:paraId="30748B7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18279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Zriedkavo sa môžu vyskytnúť mierne nežiaduce účinky ako vracanie, mäkké výkaly, zvýšený smäd alebo prechodné zvýšenie aktivity. Tieto príznaky vymiznú spontánne po liečbe a nevyžadujú ukončenie liečby.</w:t>
      </w:r>
    </w:p>
    <w:p w14:paraId="73B34B8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666AE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Frekvencia nežiaducich účinkov je definovaná podá nasledujúcich pravidiel:</w:t>
      </w:r>
    </w:p>
    <w:p w14:paraId="34208C2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veľmi časté (viac ako u 1 z 10 zvierat sa prejavia nežiaduce účinky v priebehu jednej liečby),</w:t>
      </w:r>
    </w:p>
    <w:p w14:paraId="5FAE1C7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časté (viac ako u 1 zvieraťa ale menej ako u 10 zvierat zo 100 zvierat),</w:t>
      </w:r>
    </w:p>
    <w:p w14:paraId="35861E8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menej časté (viac ako u 1 zvieraťa ale menej ako u 10 zvierat z 1 000 zvierat),</w:t>
      </w:r>
    </w:p>
    <w:p w14:paraId="754ED898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zriedkavé (viac ako u 1 zvieraťa ale menej ako u 10 zvierat z 10 000 zvierat),</w:t>
      </w:r>
    </w:p>
    <w:p w14:paraId="6CD8231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- veľmi zriedkavé (menej ako u 1 zvieraťa z 10 000 zvierat, vrátane izolovaných hlásení).</w:t>
      </w:r>
    </w:p>
    <w:p w14:paraId="3AC754DE" w14:textId="77777777" w:rsidR="00DC177C" w:rsidRPr="00033CE1" w:rsidRDefault="00DC177C" w:rsidP="002076E8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0C0F99F3" w14:textId="77777777" w:rsidR="001A7A3A" w:rsidRDefault="001A7A3A" w:rsidP="002076E8">
      <w:pPr>
        <w:jc w:val="both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4D91B5D3" w14:textId="77777777" w:rsidR="001A7A3A" w:rsidRDefault="001A7A3A" w:rsidP="002076E8">
      <w:pPr>
        <w:jc w:val="both"/>
      </w:pPr>
    </w:p>
    <w:p w14:paraId="69F9427B" w14:textId="77777777" w:rsidR="001A7A3A" w:rsidRPr="006A2FDF" w:rsidRDefault="001A7A3A" w:rsidP="002076E8">
      <w:pPr>
        <w:jc w:val="both"/>
        <w:rPr>
          <w:i/>
          <w:iCs/>
          <w:color w:val="FF0000"/>
        </w:rPr>
      </w:pPr>
      <w:r>
        <w:rPr>
          <w:szCs w:val="22"/>
        </w:rPr>
        <w:t xml:space="preserve">Prípadne nežiaduce účinky môžete nahlásiť národnej kompetentnej autorite </w:t>
      </w:r>
      <w:r w:rsidRPr="0018625C">
        <w:rPr>
          <w:szCs w:val="22"/>
        </w:rPr>
        <w:t>{</w:t>
      </w:r>
      <w:r>
        <w:rPr>
          <w:szCs w:val="22"/>
        </w:rPr>
        <w:t>www.uskvbl.sk</w:t>
      </w:r>
      <w:r w:rsidRPr="0018625C">
        <w:rPr>
          <w:szCs w:val="22"/>
        </w:rPr>
        <w:t>}.</w:t>
      </w:r>
    </w:p>
    <w:p w14:paraId="15F859B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3956364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7.</w:t>
      </w:r>
      <w:r w:rsidRPr="00033CE1">
        <w:rPr>
          <w:b/>
          <w:szCs w:val="22"/>
        </w:rPr>
        <w:tab/>
        <w:t>CIEĽOVÝ DRUH</w:t>
      </w:r>
    </w:p>
    <w:p w14:paraId="4512E4D8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E2138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Psy</w:t>
      </w:r>
      <w:r w:rsidR="001A7A3A">
        <w:rPr>
          <w:szCs w:val="22"/>
        </w:rPr>
        <w:t>.</w:t>
      </w:r>
    </w:p>
    <w:p w14:paraId="7C12F7F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EBF3F67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8.</w:t>
      </w:r>
      <w:r w:rsidRPr="00033CE1">
        <w:rPr>
          <w:b/>
          <w:szCs w:val="22"/>
        </w:rPr>
        <w:tab/>
        <w:t>DÁVKOVANIE PRE KAŽDÝ DRUH, CESTA (-Y) A SPÔSOB PODANIA LIEKU</w:t>
      </w:r>
    </w:p>
    <w:p w14:paraId="09F0503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34273A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Na perorálne použitie.</w:t>
      </w:r>
    </w:p>
    <w:p w14:paraId="075B721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34741B" w14:textId="77777777" w:rsidR="00DC177C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Odporúčaná dávka je 2 mg/kg</w:t>
      </w:r>
      <w:r>
        <w:rPr>
          <w:szCs w:val="22"/>
        </w:rPr>
        <w:t xml:space="preserve"> </w:t>
      </w:r>
      <w:r w:rsidRPr="00033CE1">
        <w:rPr>
          <w:szCs w:val="22"/>
        </w:rPr>
        <w:t>ž.</w:t>
      </w:r>
      <w:r>
        <w:rPr>
          <w:szCs w:val="22"/>
        </w:rPr>
        <w:t xml:space="preserve"> </w:t>
      </w:r>
      <w:r w:rsidRPr="00033CE1">
        <w:rPr>
          <w:szCs w:val="22"/>
        </w:rPr>
        <w:t xml:space="preserve">hm./deň (1 tableta na </w:t>
      </w:r>
      <w:smartTag w:uri="urn:schemas-microsoft-com:office:smarttags" w:element="metricconverter">
        <w:smartTagPr>
          <w:attr w:name="ProductID" w:val="40 kg"/>
        </w:smartTagPr>
        <w:r w:rsidRPr="00033CE1">
          <w:rPr>
            <w:szCs w:val="22"/>
          </w:rPr>
          <w:t>40 kg</w:t>
        </w:r>
      </w:smartTag>
      <w:r w:rsidRPr="00033CE1">
        <w:rPr>
          <w:szCs w:val="22"/>
        </w:rPr>
        <w:t xml:space="preserve"> ž.</w:t>
      </w:r>
      <w:r>
        <w:rPr>
          <w:szCs w:val="22"/>
        </w:rPr>
        <w:t xml:space="preserve"> </w:t>
      </w:r>
      <w:r w:rsidRPr="00033CE1">
        <w:rPr>
          <w:szCs w:val="22"/>
        </w:rPr>
        <w:t xml:space="preserve">hm./deň) pri podaní jednej dávky denne.  Na zabezpečenie správnej dávky je potrebné určiť živú hmotnosť čo najpresnejšie, aby sa predišlo </w:t>
      </w:r>
      <w:proofErr w:type="spellStart"/>
      <w:r w:rsidRPr="00033CE1">
        <w:rPr>
          <w:szCs w:val="22"/>
        </w:rPr>
        <w:t>poddávkovaniu</w:t>
      </w:r>
      <w:proofErr w:type="spellEnd"/>
      <w:r w:rsidRPr="00033CE1">
        <w:rPr>
          <w:szCs w:val="22"/>
        </w:rPr>
        <w:t xml:space="preserve">. Tablety je možné rozdeliť pozdĺž deliacich rýh na uľahčenie presného dávkovania. Dĺžka liečby: Pri infekciách kože a mäkkých tkanív je doba liečby minimálne 5 dní. </w:t>
      </w:r>
    </w:p>
    <w:p w14:paraId="29571FE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V závislosti od priebehu ochorenia sa môže predĺžiť až na 40 dní.</w:t>
      </w:r>
    </w:p>
    <w:p w14:paraId="0E6FB09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D587B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Pri infekciách močových ciest je doba liečby minimálne 10 dní. V závislosti od priebehu liečby sa môže predĺžiť až na 28 dní.</w:t>
      </w:r>
    </w:p>
    <w:p w14:paraId="33C52811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9ED5E4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Pri infekciách dýchacích ciest je doba liečby minimálne 7 dní. V závislosti od priebehu ochorenia sa môže predĺžiť až na 21 dní.</w:t>
      </w:r>
    </w:p>
    <w:p w14:paraId="41804AC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C13138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9.</w:t>
      </w:r>
      <w:r w:rsidRPr="00033CE1">
        <w:rPr>
          <w:b/>
          <w:szCs w:val="22"/>
        </w:rPr>
        <w:tab/>
        <w:t>POKYN O SPRÁVNOM PODANÍ</w:t>
      </w:r>
    </w:p>
    <w:p w14:paraId="1B8A206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D09574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Žiadny.</w:t>
      </w:r>
    </w:p>
    <w:p w14:paraId="0A66D69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642A8AF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10.</w:t>
      </w:r>
      <w:r w:rsidRPr="00033CE1">
        <w:rPr>
          <w:b/>
          <w:szCs w:val="22"/>
        </w:rPr>
        <w:tab/>
        <w:t>OCHRANNÁ LEHOTA</w:t>
      </w:r>
    </w:p>
    <w:p w14:paraId="664E0EE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B9E78C7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  <w:r w:rsidRPr="00033CE1">
        <w:rPr>
          <w:szCs w:val="22"/>
        </w:rPr>
        <w:t>Neuplatňuje sa.</w:t>
      </w:r>
    </w:p>
    <w:p w14:paraId="698C415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B442CF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11.</w:t>
      </w:r>
      <w:r w:rsidRPr="00033CE1">
        <w:rPr>
          <w:b/>
          <w:szCs w:val="22"/>
        </w:rPr>
        <w:tab/>
        <w:t>OSOBITNÉ BEZPEČNOSTNÉ OPATRENIA NA UCHOVÁVANIE</w:t>
      </w:r>
    </w:p>
    <w:p w14:paraId="5273D79D" w14:textId="77777777" w:rsidR="00DC177C" w:rsidRPr="00033CE1" w:rsidRDefault="00DC177C" w:rsidP="00DC177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12388C3" w14:textId="77777777" w:rsidR="00DC177C" w:rsidRPr="00033CE1" w:rsidRDefault="00DC177C" w:rsidP="002076E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Uchovávať mimo dohľadu a dosahu detí.</w:t>
      </w:r>
    </w:p>
    <w:p w14:paraId="0B427BCE" w14:textId="77777777" w:rsidR="00DC177C" w:rsidRPr="00033CE1" w:rsidRDefault="00DC177C" w:rsidP="002076E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09454F2" w14:textId="77777777" w:rsidR="00DC177C" w:rsidRPr="00033CE1" w:rsidRDefault="00DC177C" w:rsidP="002076E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Tento veterinárny liek nevyžaduje žiadne zvláštne teplotné podmienky na uchovávanie.</w:t>
      </w:r>
    </w:p>
    <w:p w14:paraId="258B89DA" w14:textId="77777777" w:rsidR="00DC177C" w:rsidRPr="00033CE1" w:rsidRDefault="00DC177C" w:rsidP="002076E8">
      <w:pPr>
        <w:tabs>
          <w:tab w:val="left" w:pos="720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Uchovávať v </w:t>
      </w:r>
      <w:proofErr w:type="spellStart"/>
      <w:r w:rsidRPr="00033CE1">
        <w:rPr>
          <w:szCs w:val="22"/>
        </w:rPr>
        <w:t>blistroch</w:t>
      </w:r>
      <w:proofErr w:type="spellEnd"/>
      <w:r w:rsidRPr="00033CE1">
        <w:rPr>
          <w:szCs w:val="22"/>
        </w:rPr>
        <w:t xml:space="preserve"> v pôvodnej škatuľke.</w:t>
      </w:r>
    </w:p>
    <w:p w14:paraId="7534440A" w14:textId="77777777" w:rsidR="00DC177C" w:rsidRPr="00033CE1" w:rsidRDefault="00DC177C" w:rsidP="002076E8">
      <w:pPr>
        <w:tabs>
          <w:tab w:val="left" w:pos="720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Ak sú tablety zlomené na polovice, zostávajúce polovice uchovávať v </w:t>
      </w:r>
      <w:proofErr w:type="spellStart"/>
      <w:r w:rsidRPr="00033CE1">
        <w:rPr>
          <w:szCs w:val="22"/>
        </w:rPr>
        <w:t>blistrovej</w:t>
      </w:r>
      <w:proofErr w:type="spellEnd"/>
      <w:r w:rsidRPr="00033CE1">
        <w:rPr>
          <w:szCs w:val="22"/>
        </w:rPr>
        <w:t xml:space="preserve"> jamke.</w:t>
      </w:r>
    </w:p>
    <w:p w14:paraId="71231749" w14:textId="77777777" w:rsidR="00DC177C" w:rsidRPr="00033CE1" w:rsidRDefault="00DC177C" w:rsidP="002076E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lastRenderedPageBreak/>
        <w:t>Všetky zostávajúce tablety zlomené na polovice po 4 dňoch zlikvidovať.</w:t>
      </w:r>
    </w:p>
    <w:p w14:paraId="6A413BD6" w14:textId="57066C89" w:rsidR="00DC177C" w:rsidRPr="00033CE1" w:rsidRDefault="00DC177C" w:rsidP="002076E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tento veterinárny liek po dátume exspirácie uvedenom na </w:t>
      </w:r>
      <w:r w:rsidR="001A7A3A" w:rsidRPr="002076E8">
        <w:rPr>
          <w:szCs w:val="22"/>
        </w:rPr>
        <w:t>obale</w:t>
      </w:r>
      <w:r w:rsidRPr="00033CE1">
        <w:rPr>
          <w:szCs w:val="22"/>
        </w:rPr>
        <w:t xml:space="preserve"> po "EXP".</w:t>
      </w:r>
    </w:p>
    <w:p w14:paraId="63A1655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Dátum exspirácie sa vzťahuje na posledný deň v mesiaci.</w:t>
      </w:r>
    </w:p>
    <w:p w14:paraId="41BAC52E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52B3D1E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12.</w:t>
      </w:r>
      <w:r w:rsidRPr="00033CE1">
        <w:rPr>
          <w:b/>
          <w:szCs w:val="22"/>
        </w:rPr>
        <w:tab/>
        <w:t>OSOBITNÉ UPOZORNENIA</w:t>
      </w:r>
    </w:p>
    <w:p w14:paraId="56D485B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321A5A7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33CE1">
        <w:rPr>
          <w:szCs w:val="22"/>
          <w:u w:val="single"/>
        </w:rPr>
        <w:t>Osobitné bezpečnostné opatrenia pre každý cieľový druh:</w:t>
      </w:r>
    </w:p>
    <w:p w14:paraId="380DDF79" w14:textId="77777777" w:rsidR="00DC177C" w:rsidRPr="002076E8" w:rsidRDefault="00DC177C" w:rsidP="002076E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33CE1">
        <w:rPr>
          <w:szCs w:val="22"/>
        </w:rPr>
        <w:t xml:space="preserve">Nízke pH moču môže mať inhibičný vplyv na účinok </w:t>
      </w:r>
      <w:proofErr w:type="spellStart"/>
      <w:r w:rsidRPr="00033CE1">
        <w:rPr>
          <w:szCs w:val="22"/>
        </w:rPr>
        <w:t>marbofloxacínu</w:t>
      </w:r>
      <w:proofErr w:type="spellEnd"/>
      <w:r w:rsidRPr="00033CE1">
        <w:rPr>
          <w:szCs w:val="22"/>
        </w:rPr>
        <w:t>.</w:t>
      </w:r>
      <w:r w:rsidR="001A7A3A">
        <w:rPr>
          <w:szCs w:val="22"/>
        </w:rPr>
        <w:t xml:space="preserve"> </w:t>
      </w:r>
      <w:proofErr w:type="spellStart"/>
      <w:r w:rsidR="001A7A3A">
        <w:rPr>
          <w:szCs w:val="22"/>
        </w:rPr>
        <w:t>Pyodermia</w:t>
      </w:r>
      <w:proofErr w:type="spellEnd"/>
      <w:r w:rsidR="001A7A3A">
        <w:rPr>
          <w:szCs w:val="22"/>
        </w:rPr>
        <w:t xml:space="preserve"> sa väč</w:t>
      </w:r>
      <w:r w:rsidR="001A7A3A" w:rsidRPr="00DE0CA8">
        <w:rPr>
          <w:szCs w:val="22"/>
        </w:rPr>
        <w:t>šinou vyskytuje sekundárne pri základn</w:t>
      </w:r>
      <w:r w:rsidR="001A7A3A">
        <w:rPr>
          <w:szCs w:val="22"/>
        </w:rPr>
        <w:t>om ochorení, preto je vhodné určiť základnú príčinu a podľa nej zviera liečiť</w:t>
      </w:r>
      <w:r w:rsidR="001A7A3A" w:rsidRPr="00DE0CA8">
        <w:rPr>
          <w:szCs w:val="22"/>
        </w:rPr>
        <w:t>.</w:t>
      </w:r>
    </w:p>
    <w:p w14:paraId="0743070B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71DB8E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  <w:u w:val="single"/>
        </w:rPr>
        <w:t>Osobitné bezpečnostné opatrenia na používanie u zvierat</w:t>
      </w:r>
      <w:r w:rsidRPr="00033CE1">
        <w:rPr>
          <w:szCs w:val="22"/>
        </w:rPr>
        <w:t>:</w:t>
      </w:r>
    </w:p>
    <w:p w14:paraId="7800B704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Zistilo sa, že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spôsobujú eróziu kĺbovej chrupavky u mladých psov, preto je potrebné dodržať presné dávkovanie hlavne u mladých zvierat. </w:t>
      </w:r>
    </w:p>
    <w:p w14:paraId="4E7A0BE3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26F1F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Je známe, že </w:t>
      </w: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majú potenciálne neurologické nežiaduce účinky. Odporúča sa používať s opatrnosťou u psov a mačiek, u ktorých bola diagnostikovaná epilepsia.</w:t>
      </w:r>
    </w:p>
    <w:p w14:paraId="601E2750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D70EEF" w14:textId="77777777" w:rsidR="00DC177C" w:rsidRPr="00033CE1" w:rsidRDefault="00DC177C" w:rsidP="002076E8">
      <w:pPr>
        <w:pStyle w:val="Zkladntext"/>
        <w:rPr>
          <w:szCs w:val="22"/>
        </w:rPr>
      </w:pPr>
      <w:proofErr w:type="spellStart"/>
      <w:r w:rsidRPr="00033CE1">
        <w:rPr>
          <w:szCs w:val="22"/>
        </w:rPr>
        <w:t>Fluorochinolóny</w:t>
      </w:r>
      <w:proofErr w:type="spellEnd"/>
      <w:r w:rsidRPr="00033CE1">
        <w:rPr>
          <w:szCs w:val="22"/>
        </w:rPr>
        <w:t xml:space="preserve"> by sa mali používať na liečbu klinických stavov, ktoré reagujú slabo alebo sa očakáva ich slabá odpoveď na liečbu inými druhmi </w:t>
      </w:r>
      <w:proofErr w:type="spellStart"/>
      <w:r w:rsidRPr="00033CE1">
        <w:rPr>
          <w:szCs w:val="22"/>
        </w:rPr>
        <w:t>antimikrobiálnych</w:t>
      </w:r>
      <w:proofErr w:type="spellEnd"/>
      <w:r w:rsidRPr="00033CE1">
        <w:rPr>
          <w:szCs w:val="22"/>
        </w:rPr>
        <w:t xml:space="preserve"> liekov.  </w:t>
      </w:r>
    </w:p>
    <w:p w14:paraId="7864F616" w14:textId="77777777" w:rsidR="001A7A3A" w:rsidRPr="00ED5F6C" w:rsidRDefault="001A7A3A" w:rsidP="002076E8">
      <w:pPr>
        <w:spacing w:line="249" w:lineRule="auto"/>
        <w:jc w:val="both"/>
        <w:rPr>
          <w:lang w:eastAsia="de-DE"/>
        </w:rPr>
      </w:pPr>
      <w:r w:rsidRPr="00ED5F6C">
        <w:t xml:space="preserve">Liek sa má použiť na základe stanovenia citlivosti baktérií izolovaných zo zvierat. Pokiaľ to nie je možné, liečba má byť stanovená podľa miestnych epidemiologických informácií (regionálnych, farmových) o citlivosti cieľových baktérií. </w:t>
      </w:r>
    </w:p>
    <w:p w14:paraId="54418F38" w14:textId="743B9A09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Použitie lieku v rozpore s pokynmi uvedenými v</w:t>
      </w:r>
      <w:r w:rsidR="001A7A3A">
        <w:rPr>
          <w:szCs w:val="22"/>
        </w:rPr>
        <w:t xml:space="preserve"> písomnej informácii pre používateľov </w:t>
      </w:r>
      <w:r w:rsidRPr="00033CE1">
        <w:rPr>
          <w:szCs w:val="22"/>
        </w:rPr>
        <w:t xml:space="preserve">môže zvýšiť </w:t>
      </w:r>
      <w:proofErr w:type="spellStart"/>
      <w:r w:rsidRPr="00033CE1">
        <w:rPr>
          <w:szCs w:val="22"/>
        </w:rPr>
        <w:t>prevalenciu</w:t>
      </w:r>
      <w:proofErr w:type="spellEnd"/>
      <w:r w:rsidRPr="00033CE1">
        <w:rPr>
          <w:szCs w:val="22"/>
        </w:rPr>
        <w:t xml:space="preserve"> baktérií rezistentných voči </w:t>
      </w:r>
      <w:proofErr w:type="spellStart"/>
      <w:r w:rsidRPr="00033CE1">
        <w:rPr>
          <w:szCs w:val="22"/>
        </w:rPr>
        <w:t>fluorochinolónom</w:t>
      </w:r>
      <w:proofErr w:type="spellEnd"/>
      <w:r w:rsidRPr="00033CE1">
        <w:rPr>
          <w:szCs w:val="22"/>
        </w:rPr>
        <w:t xml:space="preserve"> a môže znížiť účinnosť liečby inými </w:t>
      </w:r>
      <w:proofErr w:type="spellStart"/>
      <w:r w:rsidRPr="00033CE1">
        <w:rPr>
          <w:szCs w:val="22"/>
        </w:rPr>
        <w:t>chinolónmi</w:t>
      </w:r>
      <w:proofErr w:type="spellEnd"/>
      <w:r w:rsidRPr="00033CE1">
        <w:rPr>
          <w:szCs w:val="22"/>
        </w:rPr>
        <w:t xml:space="preserve"> v dôsledku možnosti skríženej rezistencie.</w:t>
      </w:r>
    </w:p>
    <w:p w14:paraId="72204077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560F5D" w14:textId="77777777" w:rsidR="001A7A3A" w:rsidRPr="00ED5F6C" w:rsidRDefault="001A7A3A" w:rsidP="001A7A3A">
      <w:pPr>
        <w:spacing w:line="249" w:lineRule="auto"/>
        <w:jc w:val="both"/>
        <w:rPr>
          <w:lang w:eastAsia="de-DE"/>
        </w:rPr>
      </w:pPr>
      <w:r w:rsidRPr="00ED5F6C">
        <w:t xml:space="preserve">Pri použití tohto veterinárneho lieku sa má vziať do úvahy oficiálna, národná a regionálna </w:t>
      </w:r>
      <w:proofErr w:type="spellStart"/>
      <w:r w:rsidRPr="00ED5F6C">
        <w:t>antimikrobiálna</w:t>
      </w:r>
      <w:proofErr w:type="spellEnd"/>
      <w:r w:rsidRPr="00ED5F6C">
        <w:t xml:space="preserve"> politika. </w:t>
      </w:r>
    </w:p>
    <w:p w14:paraId="15CD92A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A7ED22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u w:val="single"/>
        </w:rPr>
        <w:t>Osobitné bezpečnostné opatrenia, ktoré má urobiť osoba podávajúca liek zvieratám</w:t>
      </w:r>
      <w:r w:rsidRPr="00033CE1">
        <w:rPr>
          <w:szCs w:val="22"/>
        </w:rPr>
        <w:t>:</w:t>
      </w:r>
    </w:p>
    <w:p w14:paraId="3E4FF2D6" w14:textId="77777777" w:rsidR="00DC177C" w:rsidRPr="00033CE1" w:rsidRDefault="00DC177C" w:rsidP="002076E8">
      <w:pPr>
        <w:tabs>
          <w:tab w:val="left" w:pos="720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Ľudia so známou precitlivenosťou na (</w:t>
      </w:r>
      <w:proofErr w:type="spellStart"/>
      <w:r w:rsidRPr="00033CE1">
        <w:rPr>
          <w:szCs w:val="22"/>
        </w:rPr>
        <w:t>fluoro</w:t>
      </w:r>
      <w:proofErr w:type="spellEnd"/>
      <w:r w:rsidRPr="00033CE1">
        <w:rPr>
          <w:szCs w:val="22"/>
        </w:rPr>
        <w:t>)</w:t>
      </w:r>
      <w:proofErr w:type="spellStart"/>
      <w:r w:rsidRPr="00033CE1">
        <w:rPr>
          <w:szCs w:val="22"/>
        </w:rPr>
        <w:t>chinolóny</w:t>
      </w:r>
      <w:proofErr w:type="spellEnd"/>
      <w:r w:rsidRPr="00033CE1">
        <w:rPr>
          <w:szCs w:val="22"/>
        </w:rPr>
        <w:t xml:space="preserve"> sa majú vyhýbať kontaktu s týmto veterinárnym liekom.</w:t>
      </w:r>
    </w:p>
    <w:p w14:paraId="1C23D41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V prípade náhodného požitia ihneď vyhľadajte lekársku pomoc a lekárovi ukážte písomnú informáciu pre používateľov alebo etiketu lieku. Po použití lieku si umyte ruky.</w:t>
      </w:r>
    </w:p>
    <w:p w14:paraId="258C0964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0FA0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  <w:u w:val="single"/>
        </w:rPr>
        <w:t>Gravidita/Laktácia</w:t>
      </w:r>
      <w:r w:rsidRPr="00033CE1">
        <w:rPr>
          <w:szCs w:val="22"/>
        </w:rPr>
        <w:t>:</w:t>
      </w:r>
    </w:p>
    <w:p w14:paraId="25958B7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Štúdie na gravidných potkanoch a králikoch nepreukázali žiadne vedľajšie účinky na graviditu.  Nevykonali sa však žiadne špecifické štúdie na gravidných sukách.</w:t>
      </w:r>
    </w:p>
    <w:p w14:paraId="7513CCF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U gravidných a </w:t>
      </w:r>
      <w:proofErr w:type="spellStart"/>
      <w:r w:rsidRPr="00033CE1">
        <w:rPr>
          <w:szCs w:val="22"/>
        </w:rPr>
        <w:t>laktujúcich</w:t>
      </w:r>
      <w:proofErr w:type="spellEnd"/>
      <w:r w:rsidRPr="00033CE1">
        <w:rPr>
          <w:szCs w:val="22"/>
        </w:rPr>
        <w:t xml:space="preserve"> zvierat sa má liek používať po zvážení prospechu/rizika zodpovedným veterinárnym lekárom.</w:t>
      </w:r>
    </w:p>
    <w:p w14:paraId="13AAE1D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A5F0DC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  <w:u w:val="single"/>
        </w:rPr>
        <w:t>Liekové interakcie a iné formy vzájomného pôsobenia:</w:t>
      </w:r>
    </w:p>
    <w:p w14:paraId="0215EAE9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Sú známe interakcie medzi </w:t>
      </w:r>
      <w:proofErr w:type="spellStart"/>
      <w:r w:rsidRPr="00033CE1">
        <w:rPr>
          <w:szCs w:val="22"/>
        </w:rPr>
        <w:t>fluorochinolónmi</w:t>
      </w:r>
      <w:proofErr w:type="spellEnd"/>
      <w:r w:rsidRPr="00033CE1">
        <w:rPr>
          <w:szCs w:val="22"/>
        </w:rPr>
        <w:t xml:space="preserve"> a perorálne podávanými katiónmi (hliník, vápnik, horčík, železo). V týchto prípadoch môže byť biologická dostupnosť lieku znížená. </w:t>
      </w:r>
    </w:p>
    <w:p w14:paraId="1DE1AEF5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Nepoužívať v kombinácii s tetracyklínmi a </w:t>
      </w:r>
      <w:proofErr w:type="spellStart"/>
      <w:r w:rsidRPr="00033CE1">
        <w:rPr>
          <w:szCs w:val="22"/>
        </w:rPr>
        <w:t>makrolidmi</w:t>
      </w:r>
      <w:proofErr w:type="spellEnd"/>
      <w:r w:rsidRPr="00033CE1">
        <w:rPr>
          <w:szCs w:val="22"/>
        </w:rPr>
        <w:t xml:space="preserve"> pre možný antagonistický účinok. </w:t>
      </w:r>
    </w:p>
    <w:p w14:paraId="7601BD54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Keď sa podáva spolu s </w:t>
      </w:r>
      <w:proofErr w:type="spellStart"/>
      <w:r w:rsidRPr="00033CE1">
        <w:rPr>
          <w:szCs w:val="22"/>
        </w:rPr>
        <w:t>teofylínom</w:t>
      </w:r>
      <w:proofErr w:type="spellEnd"/>
      <w:r w:rsidRPr="00033CE1">
        <w:rPr>
          <w:szCs w:val="22"/>
        </w:rPr>
        <w:t xml:space="preserve">, zvýši sa polčas eliminácie a tým aj koncentrácia </w:t>
      </w:r>
      <w:proofErr w:type="spellStart"/>
      <w:r w:rsidRPr="00033CE1">
        <w:rPr>
          <w:szCs w:val="22"/>
        </w:rPr>
        <w:t>teofylínu</w:t>
      </w:r>
      <w:proofErr w:type="spellEnd"/>
    </w:p>
    <w:p w14:paraId="3BC92592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 xml:space="preserve">v plazme. Preto je potrebné dávku </w:t>
      </w:r>
      <w:proofErr w:type="spellStart"/>
      <w:r w:rsidRPr="00033CE1">
        <w:rPr>
          <w:szCs w:val="22"/>
        </w:rPr>
        <w:t>teofylínu</w:t>
      </w:r>
      <w:proofErr w:type="spellEnd"/>
      <w:r w:rsidRPr="00033CE1">
        <w:rPr>
          <w:szCs w:val="22"/>
        </w:rPr>
        <w:t xml:space="preserve"> znížiť.</w:t>
      </w:r>
    </w:p>
    <w:p w14:paraId="2EB314CD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1D03F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  <w:u w:val="single"/>
        </w:rPr>
        <w:t xml:space="preserve">Predávkovanie (príznaky, núdzové postupy, </w:t>
      </w:r>
      <w:proofErr w:type="spellStart"/>
      <w:r w:rsidRPr="00033CE1">
        <w:rPr>
          <w:szCs w:val="22"/>
          <w:u w:val="single"/>
        </w:rPr>
        <w:t>antidotá</w:t>
      </w:r>
      <w:proofErr w:type="spellEnd"/>
      <w:r w:rsidRPr="00033CE1">
        <w:rPr>
          <w:szCs w:val="22"/>
          <w:u w:val="single"/>
        </w:rPr>
        <w:t>)</w:t>
      </w:r>
      <w:r w:rsidRPr="00033CE1">
        <w:rPr>
          <w:szCs w:val="22"/>
        </w:rPr>
        <w:t>:</w:t>
      </w:r>
    </w:p>
    <w:p w14:paraId="3D0EB736" w14:textId="77777777" w:rsidR="00DC177C" w:rsidRPr="00033CE1" w:rsidRDefault="00DC177C" w:rsidP="002076E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33CE1">
        <w:rPr>
          <w:szCs w:val="22"/>
        </w:rPr>
        <w:t>Predávkovanie môže spôsobiť poškodenie kĺbovej</w:t>
      </w:r>
      <w:r>
        <w:rPr>
          <w:szCs w:val="22"/>
        </w:rPr>
        <w:t xml:space="preserve"> </w:t>
      </w:r>
      <w:r w:rsidRPr="00033CE1">
        <w:rPr>
          <w:szCs w:val="22"/>
        </w:rPr>
        <w:t xml:space="preserve">chrupavky a akútne príznaky vo forme neurologických porúch (napr. slinenie, slzenie, triaška, </w:t>
      </w:r>
      <w:proofErr w:type="spellStart"/>
      <w:r w:rsidRPr="00033CE1">
        <w:rPr>
          <w:szCs w:val="22"/>
        </w:rPr>
        <w:t>myoklonia</w:t>
      </w:r>
      <w:proofErr w:type="spellEnd"/>
      <w:r w:rsidRPr="00033CE1">
        <w:rPr>
          <w:szCs w:val="22"/>
        </w:rPr>
        <w:t>, záchvaty), ktoré sa majú liečiť symptomaticky.</w:t>
      </w:r>
    </w:p>
    <w:p w14:paraId="7897608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25F8AB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  <w:u w:val="single"/>
        </w:rPr>
        <w:t>Inkompatibility</w:t>
      </w:r>
      <w:r w:rsidRPr="00033CE1">
        <w:rPr>
          <w:szCs w:val="22"/>
        </w:rPr>
        <w:t>:</w:t>
      </w:r>
    </w:p>
    <w:p w14:paraId="065A5133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Neuplatňujú sa.</w:t>
      </w:r>
    </w:p>
    <w:p w14:paraId="51E9D184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12179371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2076E8">
        <w:rPr>
          <w:b/>
          <w:szCs w:val="22"/>
          <w:highlight w:val="lightGray"/>
        </w:rPr>
        <w:t>13.</w:t>
      </w:r>
      <w:r w:rsidRPr="00033CE1">
        <w:rPr>
          <w:b/>
          <w:szCs w:val="22"/>
        </w:rPr>
        <w:tab/>
        <w:t xml:space="preserve">OSOBITNÉ BEZPEČNOSTNÉ OPATRENIA NA ZNEŠKODNENIE NEPOUŽITÉHO </w:t>
      </w:r>
    </w:p>
    <w:p w14:paraId="2D800B67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033CE1">
        <w:rPr>
          <w:b/>
          <w:szCs w:val="22"/>
        </w:rPr>
        <w:t>LIEKU ALEBO ODPADOVÉHO MATERIÁLU, V PRÍPADE POTREBY</w:t>
      </w:r>
    </w:p>
    <w:p w14:paraId="24422E7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9FE0A24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 xml:space="preserve">Každý nepoužitý veterinárny liek alebo odpadové materiály z tohto veterinárneho lieku musia byť </w:t>
      </w:r>
    </w:p>
    <w:p w14:paraId="0BC66F24" w14:textId="37CBA5D6" w:rsidR="00DC177C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zlikvidované v súlade s</w:t>
      </w:r>
      <w:r w:rsidR="00194EDB">
        <w:rPr>
          <w:szCs w:val="22"/>
        </w:rPr>
        <w:t> miestnymi požiadavkami.</w:t>
      </w:r>
    </w:p>
    <w:p w14:paraId="1AA5DAA3" w14:textId="77777777" w:rsidR="002076E8" w:rsidRPr="00033CE1" w:rsidRDefault="002076E8" w:rsidP="00DC177C">
      <w:pPr>
        <w:tabs>
          <w:tab w:val="clear" w:pos="567"/>
        </w:tabs>
        <w:spacing w:line="240" w:lineRule="auto"/>
        <w:rPr>
          <w:szCs w:val="22"/>
        </w:rPr>
      </w:pPr>
    </w:p>
    <w:p w14:paraId="56A273A5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14.</w:t>
      </w:r>
      <w:r w:rsidRPr="00033CE1">
        <w:rPr>
          <w:b/>
          <w:szCs w:val="22"/>
        </w:rPr>
        <w:tab/>
        <w:t>DÁTUM POSLEDNÉHO SCHVÁLENIA TEXTU V PÍSOMNEJ INFORMÁCII PRE POUŽÍVATEĽOV</w:t>
      </w:r>
    </w:p>
    <w:p w14:paraId="313B6A4B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4F69818F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1D9C1B46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8CF1B7C" w14:textId="77777777" w:rsidR="00DC177C" w:rsidRPr="00033CE1" w:rsidRDefault="00DC177C" w:rsidP="00DC177C">
      <w:pPr>
        <w:keepNext/>
        <w:tabs>
          <w:tab w:val="clear" w:pos="567"/>
        </w:tabs>
        <w:spacing w:line="240" w:lineRule="auto"/>
        <w:rPr>
          <w:szCs w:val="22"/>
        </w:rPr>
      </w:pPr>
      <w:r w:rsidRPr="002076E8">
        <w:rPr>
          <w:b/>
          <w:szCs w:val="22"/>
          <w:highlight w:val="lightGray"/>
        </w:rPr>
        <w:t>15.</w:t>
      </w:r>
      <w:r w:rsidRPr="00033CE1">
        <w:rPr>
          <w:b/>
          <w:szCs w:val="22"/>
        </w:rPr>
        <w:tab/>
        <w:t>ĎALŠIE INFORMÁCIE</w:t>
      </w:r>
    </w:p>
    <w:p w14:paraId="0C5E095D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0E99F9CC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Len pre zvieratá.</w:t>
      </w:r>
    </w:p>
    <w:p w14:paraId="4410C5C0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Výdaj lieku je viazaný na veterinárny predpis.</w:t>
      </w:r>
    </w:p>
    <w:p w14:paraId="527F2AE5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739D6C5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Veľkosť balenia:</w:t>
      </w:r>
    </w:p>
    <w:p w14:paraId="766C5736" w14:textId="1A80D88B" w:rsidR="00194EDB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Škatuľka</w:t>
      </w:r>
      <w:r w:rsidRPr="00033CE1">
        <w:rPr>
          <w:szCs w:val="22"/>
        </w:rPr>
        <w:t xml:space="preserve"> s</w:t>
      </w:r>
      <w:r>
        <w:rPr>
          <w:szCs w:val="22"/>
        </w:rPr>
        <w:t>o</w:t>
      </w:r>
      <w:r w:rsidRPr="00033CE1">
        <w:rPr>
          <w:szCs w:val="22"/>
        </w:rPr>
        <w:t xml:space="preserve"> 6 tabletami</w:t>
      </w:r>
      <w:r>
        <w:rPr>
          <w:szCs w:val="22"/>
        </w:rPr>
        <w:t>.</w:t>
      </w:r>
    </w:p>
    <w:p w14:paraId="355AAAE1" w14:textId="77777777" w:rsidR="00194EDB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škatuľka</w:t>
      </w:r>
      <w:r w:rsidRPr="00033CE1">
        <w:rPr>
          <w:szCs w:val="22"/>
        </w:rPr>
        <w:t xml:space="preserve"> s 12 tabletami</w:t>
      </w:r>
      <w:r>
        <w:rPr>
          <w:szCs w:val="22"/>
        </w:rPr>
        <w:t>,</w:t>
      </w:r>
    </w:p>
    <w:p w14:paraId="725A41BE" w14:textId="77777777" w:rsidR="00194EDB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 </w:t>
      </w:r>
      <w:r w:rsidRPr="00033CE1">
        <w:rPr>
          <w:szCs w:val="22"/>
        </w:rPr>
        <w:t>36 tabletami</w:t>
      </w:r>
      <w:r>
        <w:rPr>
          <w:szCs w:val="22"/>
        </w:rPr>
        <w:t>,</w:t>
      </w:r>
    </w:p>
    <w:p w14:paraId="0B990538" w14:textId="77777777" w:rsidR="00194EDB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so </w:t>
      </w:r>
      <w:r>
        <w:rPr>
          <w:szCs w:val="22"/>
        </w:rPr>
        <w:t>72 tabletami,</w:t>
      </w:r>
    </w:p>
    <w:p w14:paraId="0869FE1A" w14:textId="77777777" w:rsidR="00194EDB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so </w:t>
      </w:r>
      <w:r w:rsidRPr="00033CE1">
        <w:rPr>
          <w:szCs w:val="22"/>
        </w:rPr>
        <w:t>120 tabletami</w:t>
      </w:r>
      <w:r>
        <w:rPr>
          <w:szCs w:val="22"/>
        </w:rPr>
        <w:t>,</w:t>
      </w:r>
    </w:p>
    <w:p w14:paraId="6545ED3B" w14:textId="77777777" w:rsidR="00194EDB" w:rsidRPr="00033CE1" w:rsidRDefault="00194EDB" w:rsidP="00194ED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škatuľka s </w:t>
      </w:r>
      <w:r w:rsidRPr="00033CE1">
        <w:rPr>
          <w:szCs w:val="22"/>
        </w:rPr>
        <w:t>240 tabletami</w:t>
      </w:r>
      <w:r>
        <w:rPr>
          <w:szCs w:val="22"/>
        </w:rPr>
        <w:t>.</w:t>
      </w:r>
    </w:p>
    <w:p w14:paraId="46AADCB4" w14:textId="5C000BE2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3E1D14A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2926CCF1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Nie všetky veľkosti balenia sa musia uvádzať na trh.</w:t>
      </w:r>
    </w:p>
    <w:p w14:paraId="5090F0D9" w14:textId="77777777" w:rsidR="00DC177C" w:rsidRPr="00033CE1" w:rsidRDefault="00DC177C" w:rsidP="00DC177C">
      <w:pPr>
        <w:tabs>
          <w:tab w:val="clear" w:pos="567"/>
        </w:tabs>
        <w:spacing w:line="240" w:lineRule="auto"/>
        <w:rPr>
          <w:szCs w:val="22"/>
        </w:rPr>
      </w:pPr>
    </w:p>
    <w:p w14:paraId="6374909E" w14:textId="77777777" w:rsidR="00DC177C" w:rsidRPr="00474C50" w:rsidRDefault="00DC177C" w:rsidP="00DC177C">
      <w:pPr>
        <w:tabs>
          <w:tab w:val="clear" w:pos="567"/>
        </w:tabs>
        <w:spacing w:line="240" w:lineRule="auto"/>
        <w:rPr>
          <w:szCs w:val="22"/>
        </w:rPr>
      </w:pPr>
      <w:r w:rsidRPr="00033CE1">
        <w:rPr>
          <w:szCs w:val="22"/>
        </w:rPr>
        <w:t>Ak potrebujete akúkoľvek informáciu o tomto veterinárnom lieku, kontaktujte miestneho zástupcu držiteľa rozhodnutia o</w:t>
      </w:r>
      <w:r>
        <w:t xml:space="preserve"> registrácii.</w:t>
      </w:r>
    </w:p>
    <w:p w14:paraId="09DCEACC" w14:textId="77777777" w:rsidR="00432300" w:rsidRDefault="00432300"/>
    <w:sectPr w:rsidR="00432300" w:rsidSect="00DD6ABD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5BE2" w14:textId="77777777" w:rsidR="003E5053" w:rsidRDefault="003E5053">
      <w:pPr>
        <w:spacing w:line="240" w:lineRule="auto"/>
      </w:pPr>
      <w:r>
        <w:separator/>
      </w:r>
    </w:p>
  </w:endnote>
  <w:endnote w:type="continuationSeparator" w:id="0">
    <w:p w14:paraId="330ADB36" w14:textId="77777777" w:rsidR="003E5053" w:rsidRDefault="003E5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213038"/>
      <w:docPartObj>
        <w:docPartGallery w:val="Page Numbers (Bottom of Page)"/>
        <w:docPartUnique/>
      </w:docPartObj>
    </w:sdtPr>
    <w:sdtEndPr/>
    <w:sdtContent>
      <w:p w14:paraId="6F03B3C5" w14:textId="4266FA49" w:rsidR="002076E8" w:rsidRDefault="002076E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60">
          <w:rPr>
            <w:noProof/>
          </w:rPr>
          <w:t>12</w:t>
        </w:r>
        <w:r>
          <w:fldChar w:fldCharType="end"/>
        </w:r>
      </w:p>
    </w:sdtContent>
  </w:sdt>
  <w:p w14:paraId="0D2973D0" w14:textId="77777777" w:rsidR="00A526FE" w:rsidRPr="00C44FF2" w:rsidRDefault="00332460" w:rsidP="00C44F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E4C6C" w14:textId="77777777" w:rsidR="00A526FE" w:rsidRDefault="00DC177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F4C0A" w14:textId="77777777" w:rsidR="003E5053" w:rsidRDefault="003E5053">
      <w:pPr>
        <w:spacing w:line="240" w:lineRule="auto"/>
      </w:pPr>
      <w:r>
        <w:separator/>
      </w:r>
    </w:p>
  </w:footnote>
  <w:footnote w:type="continuationSeparator" w:id="0">
    <w:p w14:paraId="3108AB01" w14:textId="77777777" w:rsidR="003E5053" w:rsidRDefault="003E50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7C"/>
    <w:rsid w:val="00003B6F"/>
    <w:rsid w:val="00105DF6"/>
    <w:rsid w:val="00192E0A"/>
    <w:rsid w:val="00194EDB"/>
    <w:rsid w:val="001A7A3A"/>
    <w:rsid w:val="001F0FD5"/>
    <w:rsid w:val="002076E8"/>
    <w:rsid w:val="00332460"/>
    <w:rsid w:val="003E5053"/>
    <w:rsid w:val="00432300"/>
    <w:rsid w:val="006128F3"/>
    <w:rsid w:val="007E4E36"/>
    <w:rsid w:val="00A30C5A"/>
    <w:rsid w:val="00A336A9"/>
    <w:rsid w:val="00A876CE"/>
    <w:rsid w:val="00AA58FD"/>
    <w:rsid w:val="00B06EA2"/>
    <w:rsid w:val="00B7259B"/>
    <w:rsid w:val="00DA7446"/>
    <w:rsid w:val="00DC177C"/>
    <w:rsid w:val="00EA32FF"/>
    <w:rsid w:val="00F8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4E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77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C177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DC177C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Zkladntext">
    <w:name w:val="Body Text"/>
    <w:basedOn w:val="Normlny"/>
    <w:link w:val="ZkladntextChar"/>
    <w:rsid w:val="00DC177C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C177C"/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C177C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DC177C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7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77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4E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4ED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4E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4ED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76E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6E8"/>
    <w:rPr>
      <w:rFonts w:ascii="Times New Roman" w:eastAsia="Times New Roman" w:hAnsi="Times New Roman" w:cs="Times New Roman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77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C177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DC177C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Zkladntext">
    <w:name w:val="Body Text"/>
    <w:basedOn w:val="Normlny"/>
    <w:link w:val="ZkladntextChar"/>
    <w:rsid w:val="00DC177C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C177C"/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C177C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DC177C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7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77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4E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4ED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4E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4ED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76E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6E8"/>
    <w:rPr>
      <w:rFonts w:ascii="Times New Roman" w:eastAsia="Times New Roman" w:hAnsi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11</cp:revision>
  <cp:lastPrinted>2022-04-22T08:02:00Z</cp:lastPrinted>
  <dcterms:created xsi:type="dcterms:W3CDTF">2020-04-21T08:50:00Z</dcterms:created>
  <dcterms:modified xsi:type="dcterms:W3CDTF">2022-04-22T08:02:00Z</dcterms:modified>
</cp:coreProperties>
</file>