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C7B" w:rsidRPr="00C27B07" w:rsidRDefault="000C5C7B" w:rsidP="000C5C7B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C27B07">
        <w:rPr>
          <w:b/>
          <w:bCs/>
          <w:sz w:val="18"/>
          <w:szCs w:val="18"/>
        </w:rPr>
        <w:t>055/V/20-S</w:t>
      </w:r>
    </w:p>
    <w:p w:rsidR="000C5C7B" w:rsidRDefault="000C5C7B" w:rsidP="000C5C7B">
      <w:pPr>
        <w:tabs>
          <w:tab w:val="left" w:pos="851"/>
        </w:tabs>
        <w:rPr>
          <w:b/>
          <w:bCs/>
          <w:sz w:val="22"/>
          <w:szCs w:val="22"/>
        </w:rPr>
      </w:pPr>
    </w:p>
    <w:p w:rsidR="000C5C7B" w:rsidRDefault="000C5C7B" w:rsidP="000C5C7B">
      <w:pPr>
        <w:pStyle w:val="Nadpis4"/>
        <w:spacing w:line="240" w:lineRule="auto"/>
        <w:rPr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0C5C7B" w:rsidRPr="00405E45" w:rsidRDefault="000C5C7B" w:rsidP="000C5C7B">
      <w:pPr>
        <w:rPr>
          <w:b/>
          <w:bCs/>
          <w:sz w:val="22"/>
          <w:szCs w:val="22"/>
        </w:rPr>
      </w:pPr>
    </w:p>
    <w:p w:rsidR="000C5C7B" w:rsidRPr="006B58CD" w:rsidRDefault="000C5C7B" w:rsidP="000C5C7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BECOMPLEX sol.</w:t>
      </w:r>
    </w:p>
    <w:p w:rsidR="000C5C7B" w:rsidRPr="00A6732F" w:rsidRDefault="000C5C7B" w:rsidP="000C5C7B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0C5C7B" w:rsidRDefault="000C5C7B" w:rsidP="000C5C7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Miavit GmbH, Robert-Bosch-Straße 3, D-49632 Essen, Nemecko. </w:t>
      </w:r>
    </w:p>
    <w:p w:rsidR="000C5C7B" w:rsidRPr="00A6732F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C5C7B" w:rsidRDefault="000C5C7B" w:rsidP="000C5C7B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Farmavet s. r. o., Sklabinská 20, 036 01 Martin, Slovenská republika. </w:t>
      </w:r>
    </w:p>
    <w:p w:rsidR="000C5C7B" w:rsidRPr="00A6732F" w:rsidRDefault="000C5C7B" w:rsidP="000C5C7B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Thiaminum 2 500 mg, Riboflavinum 5 250 mg, Pyridoxinum 2 500 mg, Cyanocobalaminum 20 000 mg, Nicotinamidum 34 000 mg, D-Panthenol 11 000 mg v 1 litri veterinárneho prípravku.</w:t>
      </w:r>
    </w:p>
    <w:p w:rsidR="000C5C7B" w:rsidRPr="00A6732F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C5C7B" w:rsidRPr="006215FA" w:rsidRDefault="000C5C7B" w:rsidP="000C5C7B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Červenohnedý roztok charakteristickej vône.</w:t>
      </w:r>
    </w:p>
    <w:p w:rsidR="000C5C7B" w:rsidRPr="00A6732F" w:rsidRDefault="000C5C7B" w:rsidP="000C5C7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0C5C7B" w:rsidRPr="00405E45" w:rsidRDefault="000C5C7B" w:rsidP="000C5C7B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0C5C7B" w:rsidRDefault="000C5C7B" w:rsidP="000C5C7B">
      <w:pPr>
        <w:tabs>
          <w:tab w:val="left" w:pos="1985"/>
          <w:tab w:val="left" w:pos="2268"/>
        </w:tabs>
        <w:ind w:left="3260" w:hanging="326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Hydina</w:t>
      </w:r>
      <w:r>
        <w:rPr>
          <w:bCs/>
          <w:sz w:val="22"/>
          <w:szCs w:val="22"/>
        </w:rPr>
        <w:t xml:space="preserve">. </w:t>
      </w:r>
    </w:p>
    <w:p w:rsidR="000C5C7B" w:rsidRPr="00F57D0C" w:rsidRDefault="000C5C7B" w:rsidP="000C5C7B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0C5C7B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Veterinárny vitamínový prípravok s obsahom vodorozpustných vitamínov skupiny B, ktorý je určený pre hydinu.</w:t>
      </w:r>
    </w:p>
    <w:p w:rsidR="000C5C7B" w:rsidRPr="0072512A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Prevencia avitaminózy, hypovitaminóza, zlepšenie zdravotného stavu, zvýšenie odolnosti, vplyv na rast zvierat, fertilitu a reprodukciu. Doplnok liečby antibiotikami, chemoterapeutikami a sulfónamidmi. Podporne pri liečbe kokcidiózy, zníženie účinku stresu pri vakcinácii, presunoch a preprave zvierat.</w:t>
      </w:r>
    </w:p>
    <w:p w:rsidR="000C5C7B" w:rsidRPr="00C27B07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Hydina: 0,5 – 1 liter veterinárneho prípravku do 1 000 litrov pitnej vody.</w:t>
      </w:r>
    </w:p>
    <w:p w:rsidR="000C5C7B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Veterinárny prípravok sa podáva po dobu 3 – 5 dní.</w:t>
      </w:r>
    </w:p>
    <w:p w:rsidR="000C5C7B" w:rsidRPr="00221DE0" w:rsidRDefault="000C5C7B" w:rsidP="000C5C7B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</w:t>
      </w:r>
      <w:r>
        <w:rPr>
          <w:sz w:val="22"/>
          <w:szCs w:val="22"/>
        </w:rPr>
        <w:t>dania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Perorálne v pitnej vode.</w:t>
      </w:r>
    </w:p>
    <w:p w:rsidR="000C5C7B" w:rsidRPr="00667481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Aplikácia veterinárneho prípravku pri bežnom používaní nevyžaduje zohľadnenie zvláštnych okolností.</w:t>
      </w:r>
    </w:p>
    <w:p w:rsidR="000C5C7B" w:rsidRPr="00B01D5E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C5C7B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C27B07">
        <w:rPr>
          <w:sz w:val="22"/>
          <w:szCs w:val="22"/>
        </w:rPr>
        <w:t>Ochranná lehota</w:t>
      </w:r>
      <w:r w:rsidRPr="00C27B07">
        <w:rPr>
          <w:sz w:val="22"/>
          <w:szCs w:val="22"/>
        </w:rPr>
        <w:tab/>
        <w:t>:</w:t>
      </w:r>
      <w:r w:rsidRPr="00C27B07">
        <w:rPr>
          <w:sz w:val="22"/>
          <w:szCs w:val="22"/>
        </w:rPr>
        <w:tab/>
      </w:r>
      <w:r>
        <w:rPr>
          <w:sz w:val="22"/>
          <w:szCs w:val="22"/>
        </w:rPr>
        <w:t>B</w:t>
      </w:r>
      <w:r w:rsidRPr="00C27B07">
        <w:rPr>
          <w:sz w:val="22"/>
          <w:szCs w:val="22"/>
        </w:rPr>
        <w:t>ez ochrannej lehoty.</w:t>
      </w:r>
    </w:p>
    <w:p w:rsidR="000C5C7B" w:rsidRPr="00C27B07" w:rsidRDefault="000C5C7B" w:rsidP="000C5C7B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0C5C7B" w:rsidRPr="00405E45" w:rsidRDefault="000C5C7B" w:rsidP="000C5C7B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 l.</w:t>
      </w:r>
    </w:p>
    <w:p w:rsidR="000C5C7B" w:rsidRPr="00473763" w:rsidRDefault="000C5C7B" w:rsidP="000C5C7B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0C5C7B" w:rsidRPr="00405E45" w:rsidRDefault="000C5C7B" w:rsidP="000C5C7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 w:rsidRPr="004C5331">
        <w:rPr>
          <w:bCs/>
          <w:sz w:val="22"/>
          <w:szCs w:val="22"/>
          <w:lang w:eastAsia="sk-SK"/>
        </w:rPr>
        <w:t xml:space="preserve">Uchovávajte </w:t>
      </w:r>
      <w:r>
        <w:rPr>
          <w:bCs/>
          <w:sz w:val="22"/>
          <w:szCs w:val="22"/>
          <w:lang w:eastAsia="sk-SK"/>
        </w:rPr>
        <w:t>v chlade v uzatvorených obaloch, chráňte pred svetlom.</w:t>
      </w:r>
      <w:r w:rsidRPr="004C5331">
        <w:rPr>
          <w:bCs/>
          <w:sz w:val="22"/>
          <w:szCs w:val="22"/>
          <w:lang w:eastAsia="sk-SK"/>
        </w:rPr>
        <w:t xml:space="preserve"> Uchovávajte mimo dohľadu a dosahu detí</w:t>
      </w:r>
      <w:r w:rsidRPr="004C5331">
        <w:rPr>
          <w:sz w:val="22"/>
          <w:szCs w:val="22"/>
        </w:rPr>
        <w:t>.</w:t>
      </w:r>
    </w:p>
    <w:p w:rsidR="000C5C7B" w:rsidRPr="00B123C2" w:rsidRDefault="000C5C7B" w:rsidP="000C5C7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0C5C7B" w:rsidRPr="00405E45" w:rsidRDefault="000C5C7B" w:rsidP="000C5C7B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1 rok</w:t>
      </w:r>
      <w:r>
        <w:rPr>
          <w:sz w:val="22"/>
          <w:szCs w:val="22"/>
        </w:rPr>
        <w:t xml:space="preserve">.  </w:t>
      </w:r>
    </w:p>
    <w:p w:rsidR="000C5C7B" w:rsidRPr="00B123C2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C5C7B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0C5C7B" w:rsidRPr="00667481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0C5C7B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0C5C7B" w:rsidRDefault="000C5C7B" w:rsidP="000C5C7B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 xml:space="preserve">Nepoužité a nespotrebované veterinárne prípravky a ich obaly sa likvidujú v zmysle platných právnych predpisov. </w:t>
      </w:r>
    </w:p>
    <w:p w:rsidR="000C5C7B" w:rsidRPr="004E4E86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055/V/20-S</w:t>
      </w:r>
    </w:p>
    <w:p w:rsidR="000C5C7B" w:rsidRPr="00473763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Č. šarže: </w:t>
      </w: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0C5C7B" w:rsidRDefault="000C5C7B" w:rsidP="000C5C7B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EAN kód:</w:t>
      </w:r>
    </w:p>
    <w:p w:rsidR="00D02BC8" w:rsidRDefault="000C5C7B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7B" w:rsidRDefault="000C5C7B" w:rsidP="000C5C7B">
      <w:r>
        <w:separator/>
      </w:r>
    </w:p>
  </w:endnote>
  <w:endnote w:type="continuationSeparator" w:id="0">
    <w:p w:rsidR="000C5C7B" w:rsidRDefault="000C5C7B" w:rsidP="000C5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0C5C7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7B" w:rsidRDefault="000C5C7B" w:rsidP="000C5C7B">
      <w:r>
        <w:separator/>
      </w:r>
    </w:p>
  </w:footnote>
  <w:footnote w:type="continuationSeparator" w:id="0">
    <w:p w:rsidR="000C5C7B" w:rsidRDefault="000C5C7B" w:rsidP="000C5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7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EC"/>
    <w:rsid w:val="000C5C7B"/>
    <w:rsid w:val="004A60CF"/>
    <w:rsid w:val="008E135B"/>
    <w:rsid w:val="00BC7D9F"/>
    <w:rsid w:val="00D67ED0"/>
    <w:rsid w:val="00DD0050"/>
    <w:rsid w:val="00F4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0C5C7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C5C7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0C5C7B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0C5C7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0C5C7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C5C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C5C7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C5C7B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C5C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C5C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0C5C7B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0C5C7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0C5C7B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0C5C7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0C5C7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0C5C7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C5C7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C5C7B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0C5C7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C5C7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5C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ATC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2020-08-03T11:53:00Z</dcterms:created>
  <dcterms:modified xsi:type="dcterms:W3CDTF">2020-08-03T11:53:00Z</dcterms:modified>
</cp:coreProperties>
</file>