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EF" w:rsidRDefault="003300EF" w:rsidP="003300EF">
      <w:pPr>
        <w:tabs>
          <w:tab w:val="left" w:pos="851"/>
        </w:tabs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013/K/20-S</w:t>
      </w:r>
    </w:p>
    <w:p w:rsidR="003300EF" w:rsidRDefault="003300EF" w:rsidP="003300EF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3300EF" w:rsidRDefault="003300EF" w:rsidP="003300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3300EF" w:rsidRDefault="003300EF" w:rsidP="003300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(vnútroný obal)</w:t>
      </w:r>
    </w:p>
    <w:p w:rsidR="003300EF" w:rsidRDefault="003300EF" w:rsidP="003300EF">
      <w:pPr>
        <w:jc w:val="both"/>
        <w:rPr>
          <w:sz w:val="22"/>
          <w:szCs w:val="22"/>
        </w:rPr>
      </w:pPr>
    </w:p>
    <w:p w:rsidR="003300EF" w:rsidRDefault="003300EF" w:rsidP="003300EF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ARAVA - Bylinný šampón</w:t>
      </w: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Výrobca</w:t>
      </w:r>
      <w:r>
        <w:rPr>
          <w:szCs w:val="22"/>
        </w:rPr>
        <w:tab/>
        <w:t xml:space="preserve">: </w:t>
      </w:r>
      <w:r>
        <w:rPr>
          <w:szCs w:val="22"/>
        </w:rPr>
        <w:tab/>
      </w:r>
      <w:proofErr w:type="spellStart"/>
      <w:r>
        <w:rPr>
          <w:szCs w:val="22"/>
        </w:rPr>
        <w:t>Arava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Pet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Spa</w:t>
      </w:r>
      <w:proofErr w:type="spellEnd"/>
      <w:r>
        <w:rPr>
          <w:szCs w:val="22"/>
        </w:rPr>
        <w:t xml:space="preserve"> Ltd., 3 </w:t>
      </w:r>
      <w:proofErr w:type="spellStart"/>
      <w:r>
        <w:rPr>
          <w:szCs w:val="22"/>
        </w:rPr>
        <w:t>Bazelet</w:t>
      </w:r>
      <w:proofErr w:type="spellEnd"/>
      <w:r>
        <w:rPr>
          <w:szCs w:val="22"/>
        </w:rPr>
        <w:t xml:space="preserve"> St. </w:t>
      </w:r>
      <w:proofErr w:type="spellStart"/>
      <w:r>
        <w:rPr>
          <w:szCs w:val="22"/>
        </w:rPr>
        <w:t>Mitzpe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Sapir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Tzur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Igal</w:t>
      </w:r>
      <w:proofErr w:type="spellEnd"/>
      <w:r>
        <w:rPr>
          <w:szCs w:val="22"/>
        </w:rPr>
        <w:t>, Izrael.</w:t>
      </w: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  <w:lang w:eastAsia="sk-SK"/>
        </w:rPr>
        <w:t>Držiteľ rozhodnutia</w:t>
      </w:r>
      <w:r>
        <w:rPr>
          <w:szCs w:val="22"/>
          <w:lang w:eastAsia="sk-SK"/>
        </w:rPr>
        <w:tab/>
        <w:t xml:space="preserve">: </w:t>
      </w:r>
      <w:r>
        <w:rPr>
          <w:szCs w:val="22"/>
          <w:lang w:eastAsia="sk-SK"/>
        </w:rPr>
        <w:tab/>
      </w:r>
      <w:r>
        <w:rPr>
          <w:szCs w:val="22"/>
        </w:rPr>
        <w:t>ARAVA s. r. o., Na Bráne 10, 010 01 Žilina, Slovenská republika.</w:t>
      </w: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>
        <w:rPr>
          <w:szCs w:val="22"/>
        </w:rPr>
        <w:t>Zloženie</w:t>
      </w:r>
      <w:r>
        <w:rPr>
          <w:szCs w:val="22"/>
        </w:rPr>
        <w:tab/>
        <w:t>:</w:t>
      </w:r>
      <w:r>
        <w:rPr>
          <w:szCs w:val="22"/>
        </w:rPr>
        <w:tab/>
      </w:r>
      <w:proofErr w:type="spellStart"/>
      <w:r>
        <w:rPr>
          <w:szCs w:val="22"/>
        </w:rPr>
        <w:t>Aqua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Ammonium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Lauryl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Sulfate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Cocamidorpopyl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Betaine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Cocamide</w:t>
      </w:r>
      <w:proofErr w:type="spellEnd"/>
      <w:r>
        <w:rPr>
          <w:szCs w:val="22"/>
        </w:rPr>
        <w:t xml:space="preserve"> DEA, PEG-150 </w:t>
      </w:r>
      <w:proofErr w:type="spellStart"/>
      <w:r>
        <w:rPr>
          <w:szCs w:val="22"/>
        </w:rPr>
        <w:t>Distearate</w:t>
      </w:r>
      <w:proofErr w:type="spellEnd"/>
      <w:r>
        <w:rPr>
          <w:szCs w:val="22"/>
        </w:rPr>
        <w:t xml:space="preserve">, PEG-40 </w:t>
      </w:r>
      <w:proofErr w:type="spellStart"/>
      <w:r>
        <w:rPr>
          <w:szCs w:val="22"/>
        </w:rPr>
        <w:t>Hydrogenated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Castor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BHT, </w:t>
      </w:r>
      <w:proofErr w:type="spellStart"/>
      <w:r>
        <w:rPr>
          <w:szCs w:val="22"/>
        </w:rPr>
        <w:t>Borago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Officinalis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Chamomilla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Recutita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Matricaria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Flower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Argania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Spinosa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Kernel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Avena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Sativa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Oat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Kernel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Foeniculum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Vulgare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Fennel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Sativa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Officinalis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Simmondsia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Chenensis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Jojoba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Seed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Melaleuca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Alternifolia</w:t>
      </w:r>
      <w:proofErr w:type="spellEnd"/>
      <w:r>
        <w:rPr>
          <w:szCs w:val="22"/>
        </w:rPr>
        <w:t xml:space="preserve"> (Tea </w:t>
      </w:r>
      <w:proofErr w:type="spellStart"/>
      <w:r>
        <w:rPr>
          <w:szCs w:val="22"/>
        </w:rPr>
        <w:t>Tree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Leaf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Achillea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Millefolium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Linum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Usitatissimum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Linssed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Seed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Oenothera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Biennis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Evening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Primrose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Hippophae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Rhamnoides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Origanum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Vulgare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Punica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Granatum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Rosemarinus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Officinalis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Rosemary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Leaf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Styrax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Benzoin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Resin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Helianthus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Annuus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Sunflower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Seed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Oil</w:t>
      </w:r>
      <w:proofErr w:type="spellEnd"/>
      <w:r>
        <w:rPr>
          <w:szCs w:val="22"/>
        </w:rPr>
        <w:t xml:space="preserve"> &amp; </w:t>
      </w:r>
      <w:proofErr w:type="spellStart"/>
      <w:r>
        <w:rPr>
          <w:szCs w:val="22"/>
        </w:rPr>
        <w:t>Calendula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Officinalis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 &amp; BHT, </w:t>
      </w:r>
      <w:proofErr w:type="spellStart"/>
      <w:r>
        <w:rPr>
          <w:szCs w:val="22"/>
        </w:rPr>
        <w:t>Glycyrrrhiza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Glabra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Licorice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Root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Malva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Sylvestris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Mallow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Fôpwer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Arctium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Lappa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Root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Ganoderma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Lucidum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Mushroom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Lentinus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Edodes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 &amp; </w:t>
      </w:r>
      <w:proofErr w:type="spellStart"/>
      <w:r>
        <w:rPr>
          <w:szCs w:val="22"/>
        </w:rPr>
        <w:t>Grifola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Frondosa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Urtica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Dioica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Nettle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Laminaria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Japonica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Aloe </w:t>
      </w:r>
      <w:proofErr w:type="spellStart"/>
      <w:r>
        <w:rPr>
          <w:szCs w:val="22"/>
        </w:rPr>
        <w:t>Barbadensis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Leaf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Sophora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Angustifolia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Root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Ostrea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Shells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Dioscorea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Vilosa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Wild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Yam</w:t>
      </w:r>
      <w:proofErr w:type="spellEnd"/>
      <w:r>
        <w:rPr>
          <w:szCs w:val="22"/>
        </w:rPr>
        <w:t xml:space="preserve">) </w:t>
      </w:r>
      <w:proofErr w:type="spellStart"/>
      <w:r>
        <w:rPr>
          <w:szCs w:val="22"/>
        </w:rPr>
        <w:t>Root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Extract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Maris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Salt</w:t>
      </w:r>
      <w:proofErr w:type="spellEnd"/>
      <w:r>
        <w:rPr>
          <w:szCs w:val="22"/>
        </w:rPr>
        <w:t xml:space="preserve"> (</w:t>
      </w:r>
      <w:proofErr w:type="spellStart"/>
      <w:r>
        <w:rPr>
          <w:szCs w:val="22"/>
        </w:rPr>
        <w:t>Dead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Sea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Salt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Ronkosal</w:t>
      </w:r>
      <w:proofErr w:type="spellEnd"/>
      <w:r>
        <w:rPr>
          <w:szCs w:val="22"/>
        </w:rPr>
        <w:t xml:space="preserve"> KS-4, </w:t>
      </w:r>
      <w:proofErr w:type="spellStart"/>
      <w:r>
        <w:rPr>
          <w:szCs w:val="22"/>
        </w:rPr>
        <w:t>Disodium</w:t>
      </w:r>
      <w:proofErr w:type="spellEnd"/>
      <w:r>
        <w:rPr>
          <w:szCs w:val="22"/>
        </w:rPr>
        <w:t xml:space="preserve"> EDTA.</w:t>
      </w:r>
    </w:p>
    <w:p w:rsidR="003300EF" w:rsidRDefault="003300EF" w:rsidP="003300EF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Mierne viskózna číra kvapalina žltej farby s charakteristickou kvetinovou vôňou.</w:t>
      </w:r>
    </w:p>
    <w:p w:rsidR="003300EF" w:rsidRDefault="003300EF" w:rsidP="003300EF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3300EF" w:rsidRDefault="003300EF" w:rsidP="003300EF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>zvierat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</w:r>
      <w:r>
        <w:rPr>
          <w:sz w:val="22"/>
          <w:szCs w:val="22"/>
        </w:rPr>
        <w:t xml:space="preserve">Psy, šteňatá. </w:t>
      </w:r>
    </w:p>
    <w:p w:rsidR="003300EF" w:rsidRDefault="003300EF" w:rsidP="003300EF">
      <w:pPr>
        <w:tabs>
          <w:tab w:val="left" w:pos="2127"/>
          <w:tab w:val="left" w:pos="2552"/>
        </w:tabs>
        <w:ind w:left="3260" w:hanging="3260"/>
        <w:jc w:val="both"/>
        <w:rPr>
          <w:bCs/>
          <w:sz w:val="10"/>
          <w:szCs w:val="10"/>
        </w:rPr>
      </w:pPr>
    </w:p>
    <w:p w:rsidR="003300EF" w:rsidRDefault="003300EF" w:rsidP="003300EF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Bylinný šampón s vysokým obsahom prírodných olejov a minerálov z Mŕtveho mora pre psy a šteňatá. Napomáha pri dermatologických problémoch spojených s infekciami, vyrážkami ako aj pomoc pri poškodenej a poškriabanej pokožke. Jemne čistí, </w:t>
      </w:r>
      <w:proofErr w:type="spellStart"/>
      <w:r>
        <w:rPr>
          <w:bCs/>
          <w:sz w:val="22"/>
          <w:szCs w:val="22"/>
        </w:rPr>
        <w:t>hydratuje</w:t>
      </w:r>
      <w:proofErr w:type="spellEnd"/>
      <w:r>
        <w:rPr>
          <w:bCs/>
          <w:sz w:val="22"/>
          <w:szCs w:val="22"/>
        </w:rPr>
        <w:t xml:space="preserve"> a zanecháva srsť hodvábne jemnú a lesklú. Vhodný aj na bežné každodenné umývanie.</w:t>
      </w:r>
    </w:p>
    <w:p w:rsidR="003300EF" w:rsidRDefault="003300EF" w:rsidP="003300EF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>
        <w:rPr>
          <w:iCs/>
          <w:sz w:val="22"/>
          <w:szCs w:val="22"/>
        </w:rPr>
        <w:t>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</w:r>
      <w:r>
        <w:rPr>
          <w:iCs/>
          <w:sz w:val="22"/>
          <w:szCs w:val="22"/>
          <w:lang w:val="sk-SK"/>
        </w:rPr>
        <w:t xml:space="preserve">Dôkladne navlhčite srsť vlažnou vodou a naneste šampón vrátane labiek. </w:t>
      </w:r>
      <w:proofErr w:type="spellStart"/>
      <w:r>
        <w:rPr>
          <w:iCs/>
          <w:sz w:val="22"/>
          <w:szCs w:val="22"/>
          <w:lang w:val="sk-SK"/>
        </w:rPr>
        <w:t>Vmasírujte</w:t>
      </w:r>
      <w:proofErr w:type="spellEnd"/>
      <w:r>
        <w:rPr>
          <w:iCs/>
          <w:sz w:val="22"/>
          <w:szCs w:val="22"/>
          <w:lang w:val="sk-SK"/>
        </w:rPr>
        <w:t xml:space="preserve"> šampón po celom tele aj v okolí hlavy a krku, vyhnite sa však kontaktu s očami a ušami. Pre hĺbkové čistenie a ošetrenie nechajte pôsobiť 5 – 10 minút, aby sa všetky účinné zložky vstrebali do pokožky. Potom dôkladne opláchnite teplou vodou a nechajte uschnúť.  Vďaka jemnému zloženiu prírodných olejov z bylín a ideálnemu pH je možné prípravok aplikovať denne. </w:t>
      </w:r>
    </w:p>
    <w:p w:rsidR="003300EF" w:rsidRDefault="003300EF" w:rsidP="003300EF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3300EF" w:rsidRDefault="003300EF" w:rsidP="003300EF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>Nepoužívať pri alergiách a precitlivenosti na byliny a pele prípadne inú zložku produktu.  Len na vonkajšie použitie. Zabráňte kontaktu s očami. Zabráňte zvieraťu konzumovať výrobok.</w:t>
      </w:r>
    </w:p>
    <w:p w:rsidR="003300EF" w:rsidRDefault="003300EF" w:rsidP="003300EF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3300EF" w:rsidRDefault="003300EF" w:rsidP="003300EF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sz w:val="22"/>
          <w:szCs w:val="22"/>
          <w:lang w:val="sk-SK"/>
        </w:rPr>
        <w:t>400</w:t>
      </w:r>
      <w:r>
        <w:rPr>
          <w:sz w:val="22"/>
          <w:szCs w:val="22"/>
        </w:rPr>
        <w:t xml:space="preserve"> ml</w:t>
      </w:r>
      <w:r>
        <w:rPr>
          <w:bCs/>
          <w:sz w:val="22"/>
          <w:szCs w:val="22"/>
        </w:rPr>
        <w:t>.</w:t>
      </w:r>
    </w:p>
    <w:p w:rsidR="003300EF" w:rsidRDefault="003300EF" w:rsidP="003300EF">
      <w:pPr>
        <w:tabs>
          <w:tab w:val="left" w:pos="2127"/>
        </w:tabs>
        <w:ind w:left="2552" w:hanging="2552"/>
        <w:jc w:val="both"/>
        <w:rPr>
          <w:sz w:val="10"/>
          <w:szCs w:val="10"/>
          <w:lang w:val="x-none"/>
        </w:rPr>
      </w:pPr>
    </w:p>
    <w:p w:rsidR="003300EF" w:rsidRDefault="003300EF" w:rsidP="003300EF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pri izbovej teplote. Uchovávajte mimo dohľadu a dosahu detí.</w:t>
      </w:r>
    </w:p>
    <w:p w:rsidR="003300EF" w:rsidRDefault="003300EF" w:rsidP="003300EF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3300EF" w:rsidRDefault="003300EF" w:rsidP="003300EF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roky.</w:t>
      </w:r>
    </w:p>
    <w:p w:rsidR="003300EF" w:rsidRDefault="003300EF" w:rsidP="003300EF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3300EF" w:rsidRDefault="003300EF" w:rsidP="003300EF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>
        <w:rPr>
          <w:szCs w:val="22"/>
          <w:lang w:eastAsia="sk-SK"/>
        </w:rPr>
        <w:t>Označenie</w:t>
      </w:r>
      <w:r>
        <w:rPr>
          <w:szCs w:val="22"/>
          <w:lang w:eastAsia="sk-SK"/>
        </w:rPr>
        <w:tab/>
        <w:t>:</w:t>
      </w:r>
      <w:r>
        <w:rPr>
          <w:szCs w:val="22"/>
          <w:lang w:eastAsia="sk-SK"/>
        </w:rPr>
        <w:tab/>
        <w:t>Len pre zvieratá!</w:t>
      </w:r>
    </w:p>
    <w:p w:rsidR="003300EF" w:rsidRDefault="003300EF" w:rsidP="003300EF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3300EF" w:rsidRDefault="003300EF" w:rsidP="003300EF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>
        <w:rPr>
          <w:szCs w:val="22"/>
          <w:lang w:eastAsia="sk-SK"/>
        </w:rPr>
        <w:t>Bez predpisu veterinárneho lekára.</w:t>
      </w:r>
    </w:p>
    <w:p w:rsidR="003300EF" w:rsidRDefault="003300EF" w:rsidP="003300EF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3300EF" w:rsidRDefault="003300EF" w:rsidP="003300EF">
      <w:pPr>
        <w:tabs>
          <w:tab w:val="left" w:pos="851"/>
        </w:tabs>
        <w:jc w:val="both"/>
        <w:rPr>
          <w:bCs/>
          <w:sz w:val="22"/>
          <w:szCs w:val="22"/>
        </w:rPr>
      </w:pPr>
      <w:r>
        <w:rPr>
          <w:szCs w:val="22"/>
          <w:lang w:eastAsia="sk-SK"/>
        </w:rPr>
        <w:t xml:space="preserve">Schvaľovacie číslo: </w:t>
      </w:r>
      <w:r>
        <w:rPr>
          <w:sz w:val="22"/>
          <w:szCs w:val="22"/>
          <w:lang w:eastAsia="sk-SK"/>
        </w:rPr>
        <w:t>013/K/20-S</w:t>
      </w:r>
    </w:p>
    <w:p w:rsidR="003300EF" w:rsidRDefault="003300EF" w:rsidP="003300EF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3300EF" w:rsidRDefault="003300EF" w:rsidP="003300EF">
      <w:pPr>
        <w:rPr>
          <w:sz w:val="22"/>
          <w:szCs w:val="22"/>
        </w:rPr>
      </w:pPr>
      <w:r>
        <w:rPr>
          <w:sz w:val="22"/>
          <w:szCs w:val="22"/>
        </w:rPr>
        <w:t>Číslo šarže: na obale (LOT)</w:t>
      </w:r>
    </w:p>
    <w:p w:rsidR="003300EF" w:rsidRDefault="003300EF" w:rsidP="003300EF">
      <w:pPr>
        <w:rPr>
          <w:sz w:val="22"/>
          <w:szCs w:val="22"/>
        </w:rPr>
      </w:pPr>
      <w:r>
        <w:rPr>
          <w:sz w:val="22"/>
          <w:szCs w:val="22"/>
        </w:rPr>
        <w:t>Minimálna trvanlivosť do: na obale (EXP)</w:t>
      </w:r>
    </w:p>
    <w:p w:rsidR="003300EF" w:rsidRDefault="003300EF" w:rsidP="003300EF">
      <w:pPr>
        <w:rPr>
          <w:sz w:val="22"/>
          <w:szCs w:val="22"/>
        </w:rPr>
      </w:pPr>
      <w:r>
        <w:rPr>
          <w:sz w:val="22"/>
          <w:szCs w:val="22"/>
        </w:rPr>
        <w:t>EAN kód:</w:t>
      </w:r>
    </w:p>
    <w:p w:rsidR="003300EF" w:rsidRDefault="003300EF" w:rsidP="003300EF">
      <w:pPr>
        <w:rPr>
          <w:sz w:val="22"/>
          <w:szCs w:val="22"/>
        </w:rPr>
      </w:pPr>
    </w:p>
    <w:p w:rsidR="00D02BC8" w:rsidRDefault="003300E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499"/>
    <w:rsid w:val="003300EF"/>
    <w:rsid w:val="004A60CF"/>
    <w:rsid w:val="007A1499"/>
    <w:rsid w:val="008E135B"/>
    <w:rsid w:val="00BC7D9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3300EF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3300EF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3300EF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3300EF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30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semiHidden/>
    <w:unhideWhenUsed/>
    <w:rsid w:val="003300EF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semiHidden/>
    <w:rsid w:val="003300EF"/>
    <w:rPr>
      <w:rFonts w:ascii="Times New Roman" w:eastAsia="Times New Roman" w:hAnsi="Times New Roman" w:cs="Times New Roman"/>
      <w:szCs w:val="24"/>
      <w:lang w:eastAsia="x-none"/>
    </w:rPr>
  </w:style>
  <w:style w:type="paragraph" w:styleId="Zkladntext3">
    <w:name w:val="Body Text 3"/>
    <w:basedOn w:val="Normlny"/>
    <w:link w:val="Zkladntext3Char"/>
    <w:semiHidden/>
    <w:unhideWhenUsed/>
    <w:rsid w:val="003300EF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semiHidden/>
    <w:rsid w:val="003300EF"/>
    <w:rPr>
      <w:rFonts w:ascii="Times New Roman" w:eastAsia="Times New Roman" w:hAnsi="Times New Roman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5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Company>ATC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2020-07-21T06:59:00Z</dcterms:created>
  <dcterms:modified xsi:type="dcterms:W3CDTF">2020-07-21T06:59:00Z</dcterms:modified>
</cp:coreProperties>
</file>