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862" w:rsidRDefault="006E1862" w:rsidP="006E186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 xml:space="preserve">SÚHRN CHARAKTERISTICKÝCH VLASTNOSTÍ </w:t>
      </w:r>
    </w:p>
    <w:p w:rsidR="006E1862" w:rsidRDefault="006E1862" w:rsidP="006E1862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NÁZOV VETERINÁRNEHO LIEKU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tabs>
          <w:tab w:val="clear" w:pos="567"/>
          <w:tab w:val="left" w:pos="795"/>
        </w:tabs>
        <w:spacing w:line="240" w:lineRule="auto"/>
        <w:rPr>
          <w:szCs w:val="22"/>
        </w:rPr>
      </w:pPr>
      <w:proofErr w:type="spellStart"/>
      <w:r>
        <w:t>Apravet</w:t>
      </w:r>
      <w:proofErr w:type="spellEnd"/>
      <w:r>
        <w:t xml:space="preserve"> 552 IU/mg prášok na použitie v pitnej vode/mlieku pre ošípané, teľatá, kurčatá a králiky</w:t>
      </w:r>
    </w:p>
    <w:p w:rsidR="006E1862" w:rsidRPr="00A96984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F4681D" w:rsidRDefault="006E1862" w:rsidP="006E1862">
      <w:pPr>
        <w:spacing w:line="240" w:lineRule="auto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>KVALITATÍVNE A KVANTITATÍVNE ZLOŽENIE</w:t>
      </w:r>
    </w:p>
    <w:p w:rsidR="006E1862" w:rsidRPr="00A96984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C44C5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Každý mg obsahuje:</w:t>
      </w:r>
    </w:p>
    <w:p w:rsidR="006E1862" w:rsidRPr="00A96984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8A16CB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 w:rsidRPr="008A16CB">
        <w:rPr>
          <w:b/>
        </w:rPr>
        <w:t>Účinná látka:</w:t>
      </w:r>
    </w:p>
    <w:p w:rsidR="006E1862" w:rsidRPr="006C44C5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Apramycín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  <w:t>552 IU*</w:t>
      </w:r>
    </w:p>
    <w:p w:rsidR="006E1862" w:rsidRPr="006C44C5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(ako </w:t>
      </w:r>
      <w:proofErr w:type="spellStart"/>
      <w:r>
        <w:t>apramycínsulfát</w:t>
      </w:r>
      <w:proofErr w:type="spellEnd"/>
      <w:r>
        <w:t>)</w:t>
      </w:r>
    </w:p>
    <w:p w:rsidR="006E1862" w:rsidRPr="00F07136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*IU - medzinárodné jednotky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iCs/>
          <w:szCs w:val="22"/>
        </w:rPr>
      </w:pPr>
    </w:p>
    <w:p w:rsidR="006E1862" w:rsidRPr="008A16CB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 w:rsidRPr="008A16CB">
        <w:rPr>
          <w:b/>
        </w:rPr>
        <w:t>Pomocné látky: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Žiadne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spacing w:line="240" w:lineRule="auto"/>
        <w:rPr>
          <w:b/>
          <w:szCs w:val="22"/>
        </w:rPr>
      </w:pPr>
      <w:r>
        <w:rPr>
          <w:b/>
          <w:szCs w:val="22"/>
        </w:rPr>
        <w:t>3.</w:t>
      </w:r>
      <w:r>
        <w:rPr>
          <w:b/>
          <w:szCs w:val="22"/>
        </w:rPr>
        <w:tab/>
        <w:t>LIEKOVÁ FORMA</w:t>
      </w:r>
    </w:p>
    <w:p w:rsidR="006E1862" w:rsidRPr="00EB25BE" w:rsidRDefault="006E1862" w:rsidP="006E1862">
      <w:pPr>
        <w:spacing w:line="240" w:lineRule="auto"/>
        <w:rPr>
          <w:b/>
          <w:szCs w:val="22"/>
        </w:rPr>
      </w:pPr>
    </w:p>
    <w:p w:rsidR="006E1862" w:rsidRPr="00EB25BE" w:rsidRDefault="006E1862" w:rsidP="006E1862">
      <w:pPr>
        <w:rPr>
          <w:sz w:val="24"/>
          <w:szCs w:val="24"/>
        </w:rPr>
      </w:pPr>
      <w:r>
        <w:t>Prášok na použitie v pitnej vode/mlieku.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Takmer biely až žltý prášok.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spacing w:line="240" w:lineRule="auto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KLINICKÉ ÚDAJE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4.1</w:t>
      </w:r>
      <w:r>
        <w:rPr>
          <w:b/>
          <w:szCs w:val="22"/>
        </w:rPr>
        <w:tab/>
        <w:t>Cieľové druhy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Ošípané (odstavené prasiatka), hovädzí dobytok (</w:t>
      </w:r>
      <w:proofErr w:type="spellStart"/>
      <w:r>
        <w:t>neruminujúce</w:t>
      </w:r>
      <w:proofErr w:type="spellEnd"/>
      <w:r>
        <w:t xml:space="preserve"> teľatá), kurčatá (brojlery) a králiky.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4.2</w:t>
      </w:r>
      <w:r>
        <w:rPr>
          <w:b/>
          <w:szCs w:val="22"/>
        </w:rPr>
        <w:tab/>
        <w:t>Indikácie na použitie so špecifikovaním cieľových druhov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Ošípané (odstavené prasiatka)</w:t>
      </w:r>
      <w:r>
        <w:t xml:space="preserve">: Liečba bakteriálnej </w:t>
      </w:r>
      <w:proofErr w:type="spellStart"/>
      <w:r>
        <w:t>enteritídy</w:t>
      </w:r>
      <w:proofErr w:type="spellEnd"/>
      <w:r>
        <w:t xml:space="preserve"> spôsobenej </w:t>
      </w:r>
      <w:r w:rsidRPr="008A16CB">
        <w:rPr>
          <w:szCs w:val="22"/>
        </w:rPr>
        <w:t>baktériou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rPr>
          <w:i/>
          <w:szCs w:val="22"/>
        </w:rPr>
        <w:t xml:space="preserve"> </w:t>
      </w:r>
      <w:r>
        <w:t xml:space="preserve">citlivou na </w:t>
      </w:r>
      <w:proofErr w:type="spellStart"/>
      <w:r>
        <w:t>apramycín</w:t>
      </w:r>
      <w:proofErr w:type="spellEnd"/>
      <w:r>
        <w:t>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u w:val="single"/>
        </w:rPr>
        <w:t>Neruminujúce</w:t>
      </w:r>
      <w:proofErr w:type="spellEnd"/>
      <w:r>
        <w:rPr>
          <w:szCs w:val="22"/>
          <w:u w:val="single"/>
        </w:rPr>
        <w:t xml:space="preserve"> teľatá</w:t>
      </w:r>
      <w:r>
        <w:t xml:space="preserve">: Liečba bakteriálnej </w:t>
      </w:r>
      <w:proofErr w:type="spellStart"/>
      <w:r>
        <w:t>enteritídy</w:t>
      </w:r>
      <w:proofErr w:type="spellEnd"/>
      <w:r>
        <w:t xml:space="preserve"> spôsobenej </w:t>
      </w:r>
      <w:r w:rsidRPr="008A16CB">
        <w:rPr>
          <w:szCs w:val="22"/>
        </w:rPr>
        <w:t>baktériou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 a klinických ohnísk nákazy spôsobenej </w:t>
      </w:r>
      <w:r w:rsidRPr="008A16CB">
        <w:rPr>
          <w:szCs w:val="22"/>
        </w:rPr>
        <w:t>baktériou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Salmonella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t xml:space="preserve"> </w:t>
      </w:r>
      <w:proofErr w:type="spellStart"/>
      <w:r>
        <w:t>subsp</w:t>
      </w:r>
      <w:proofErr w:type="spellEnd"/>
      <w:r>
        <w:t>.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Dublin </w:t>
      </w:r>
      <w:r w:rsidRPr="008A16CB">
        <w:rPr>
          <w:szCs w:val="22"/>
        </w:rPr>
        <w:t>(</w:t>
      </w:r>
      <w:proofErr w:type="spellStart"/>
      <w:r>
        <w:rPr>
          <w:i/>
          <w:szCs w:val="22"/>
        </w:rPr>
        <w:t>Salmonella</w:t>
      </w:r>
      <w:proofErr w:type="spellEnd"/>
      <w:r>
        <w:t xml:space="preserve"> Dublin</w:t>
      </w:r>
      <w:r w:rsidRPr="008A16CB">
        <w:rPr>
          <w:szCs w:val="22"/>
        </w:rPr>
        <w:t>)</w:t>
      </w:r>
      <w:r w:rsidRPr="002E4988">
        <w:t xml:space="preserve"> </w:t>
      </w:r>
      <w:r>
        <w:t>citlivou</w:t>
      </w:r>
      <w:r>
        <w:rPr>
          <w:i/>
          <w:szCs w:val="22"/>
        </w:rPr>
        <w:t xml:space="preserve"> </w:t>
      </w:r>
      <w:r>
        <w:t xml:space="preserve"> na </w:t>
      </w:r>
      <w:proofErr w:type="spellStart"/>
      <w:r>
        <w:t>apramycín</w:t>
      </w:r>
      <w:proofErr w:type="spellEnd"/>
      <w:r>
        <w:t xml:space="preserve">. Liečba by mala byť založená na predchádzajúcom potvrdení prítomnosti </w:t>
      </w:r>
      <w:proofErr w:type="spellStart"/>
      <w:r>
        <w:t>sérovarov</w:t>
      </w:r>
      <w:proofErr w:type="spellEnd"/>
      <w:r>
        <w:t xml:space="preserve"> </w:t>
      </w:r>
      <w:proofErr w:type="spellStart"/>
      <w:r>
        <w:t>Salmonella</w:t>
      </w:r>
      <w:proofErr w:type="spellEnd"/>
      <w:r>
        <w:t xml:space="preserve"> alebo aspoň na dostupnosti epidemiologických údajov potvrdzujúcich prítomnosť tohto </w:t>
      </w:r>
      <w:proofErr w:type="spellStart"/>
      <w:r>
        <w:t>sérovaru</w:t>
      </w:r>
      <w:proofErr w:type="spellEnd"/>
      <w:r>
        <w:t>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Kurčatá</w:t>
      </w:r>
      <w:r>
        <w:t xml:space="preserve">: Liečba </w:t>
      </w:r>
      <w:proofErr w:type="spellStart"/>
      <w:r>
        <w:t>kolibacilózy</w:t>
      </w:r>
      <w:proofErr w:type="spellEnd"/>
      <w:r>
        <w:t xml:space="preserve"> spôsobenej baktériou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 citlivou na </w:t>
      </w:r>
      <w:proofErr w:type="spellStart"/>
      <w:r>
        <w:t>apramycín</w:t>
      </w:r>
      <w:proofErr w:type="spellEnd"/>
      <w:r>
        <w:t>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Králiky</w:t>
      </w:r>
      <w:r>
        <w:t xml:space="preserve">: Liečba a </w:t>
      </w:r>
      <w:proofErr w:type="spellStart"/>
      <w:r>
        <w:t>metafylaxia</w:t>
      </w:r>
      <w:proofErr w:type="spellEnd"/>
      <w:r>
        <w:t xml:space="preserve"> bakteriálnej </w:t>
      </w:r>
      <w:proofErr w:type="spellStart"/>
      <w:r>
        <w:t>enteritídy</w:t>
      </w:r>
      <w:proofErr w:type="spellEnd"/>
      <w:r>
        <w:t xml:space="preserve"> spôsobenej baktériou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 citlivou na </w:t>
      </w:r>
      <w:proofErr w:type="spellStart"/>
      <w:r>
        <w:t>apramycín</w:t>
      </w:r>
      <w:proofErr w:type="spellEnd"/>
      <w:r>
        <w:t xml:space="preserve">. Prítomnosť ochorenia v stáde sa musí stanoviť pred použitím lieku. 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4.3</w:t>
      </w:r>
      <w:r>
        <w:rPr>
          <w:b/>
          <w:szCs w:val="22"/>
        </w:rPr>
        <w:tab/>
        <w:t>Kontraindikácie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 prípade precitlivenosti na </w:t>
      </w:r>
      <w:proofErr w:type="spellStart"/>
      <w:r>
        <w:t>apramycín</w:t>
      </w:r>
      <w:proofErr w:type="spellEnd"/>
      <w:r>
        <w:t>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Nepoužívať u teliat s funkčným bachorom.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Nepoužívať u zvierat, ktoré trpia poruchami funkcie obličiek.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4.4</w:t>
      </w:r>
      <w:r>
        <w:rPr>
          <w:b/>
          <w:szCs w:val="22"/>
        </w:rPr>
        <w:tab/>
        <w:t>Osobitné upozornenia pre každý cieľový druh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:rsidR="006E1862" w:rsidRDefault="006E1862" w:rsidP="006E1862">
      <w:pPr>
        <w:tabs>
          <w:tab w:val="clear" w:pos="567"/>
        </w:tabs>
        <w:spacing w:line="240" w:lineRule="auto"/>
      </w:pPr>
      <w:r>
        <w:t>Žiadne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lastRenderedPageBreak/>
        <w:t xml:space="preserve"> 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4.5</w:t>
      </w:r>
      <w:r>
        <w:rPr>
          <w:b/>
          <w:szCs w:val="22"/>
        </w:rPr>
        <w:tab/>
        <w:t>Osobitné bezpečnostné opatrenia na používanie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Osobitné bezpečnostné opatrenia na používanie u zvierat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>Použitie veterinárneho lieku by malo byť založené na testovaní citlivosti baktérií izolovaných zo zvieraťa. Ak to nie je možné, liečba by mala vychádzať z lokálnych (miestnych, farmových) epidemiologických informácií o citlivosti cieľových baktérií.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 xml:space="preserve">Ak sa na farme diagnostikuje </w:t>
      </w:r>
      <w:proofErr w:type="spellStart"/>
      <w:r>
        <w:rPr>
          <w:i/>
          <w:szCs w:val="22"/>
        </w:rPr>
        <w:t>Salmonella</w:t>
      </w:r>
      <w:proofErr w:type="spellEnd"/>
      <w:r>
        <w:t xml:space="preserve"> Dublin, je potrebné zvážiť kontrolné opatrenia vrátane priebežného monitorovania stavu choroby, očkovania, biologickej bezpečnosti a kontroly pohybu. Majú sa dodržiavať národné kontrolné programy, ak sú k dispozícii.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 xml:space="preserve">Použitie veterinárneho lieku, ktoré sa odlišuje od pokynov uvedených v súhrne charakteristických vlastností lieku,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apramycínu</w:t>
      </w:r>
      <w:proofErr w:type="spellEnd"/>
      <w:r>
        <w:t xml:space="preserve"> a môže znížiť účinnosť liečby </w:t>
      </w:r>
      <w:proofErr w:type="spellStart"/>
      <w:r>
        <w:t>aminoglykozidmi</w:t>
      </w:r>
      <w:proofErr w:type="spellEnd"/>
      <w:r>
        <w:t xml:space="preserve"> kvôli možnosti krížovej rezistencie.</w:t>
      </w:r>
    </w:p>
    <w:p w:rsidR="006E1862" w:rsidRDefault="006E1862" w:rsidP="006E1862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 xml:space="preserve">Pri použití veterinárneho lieku by sa má brať do úvahy oficiálna národná a regionálna </w:t>
      </w:r>
      <w:proofErr w:type="spellStart"/>
      <w:r>
        <w:t>antimikrobiálna</w:t>
      </w:r>
      <w:proofErr w:type="spellEnd"/>
      <w:r>
        <w:t xml:space="preserve"> politika.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  <w:u w:val="single"/>
        </w:rPr>
      </w:pPr>
      <w:r>
        <w:rPr>
          <w:szCs w:val="22"/>
          <w:u w:val="single"/>
        </w:rPr>
        <w:t>Osobitné bezpečnostné opatrenia, ktoré má urobiť osoba podávajúca liek zvieratám: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Ľudia so známou precitlivenosťou na </w:t>
      </w:r>
      <w:proofErr w:type="spellStart"/>
      <w:r>
        <w:t>apramycín</w:t>
      </w:r>
      <w:proofErr w:type="spellEnd"/>
      <w:r>
        <w:t xml:space="preserve"> alebo akýkoľvek iný </w:t>
      </w:r>
      <w:proofErr w:type="spellStart"/>
      <w:r>
        <w:t>aminoglykozid</w:t>
      </w:r>
      <w:proofErr w:type="spellEnd"/>
      <w:r>
        <w:t xml:space="preserve"> by sa mali vyhnúť kontaktu s liekom.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Tento liek môže spôsobiť podráždenie alebo </w:t>
      </w:r>
      <w:proofErr w:type="spellStart"/>
      <w:r>
        <w:t>senzibilizáciu</w:t>
      </w:r>
      <w:proofErr w:type="spellEnd"/>
      <w:r>
        <w:t xml:space="preserve"> po kontakte s pokožkou alebo očami alebo pri vdýchnutí.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Vyhnite sa kontaktu s očami, pokožkou a sliznicami a vdýchnutiu prachu pri príprave </w:t>
      </w:r>
      <w:proofErr w:type="spellStart"/>
      <w:r>
        <w:t>medikovanej</w:t>
      </w:r>
      <w:proofErr w:type="spellEnd"/>
      <w:r>
        <w:t xml:space="preserve"> vody/mlieka.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Pri manipulácii s liekom používajte osobné ochranné prostriedky pozostávajúce z rukavíc, masky, okuliarov a ochranného odevu.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Po použití si umyte ruky.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V prípade kontaktu s očami vypláchnite postihnutú oblasť veľkým množstvom vody. V prípade kontaktu s pokožkou dôkladne umyte mydlom a vodou. Ak podráždenie pretrváva, vyhľadajte lekársku pomoc.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V prípade náhodného požitia vyhľadať ihneď lekársku pomoc a ukázať písomnú informáciu pre používateľov alebo obal lekárovi 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V prípade výskytu symptómov po expozícii, ako je kožná vyrážka, ihneď vyhľadajte lekársku pomoc a ukážte písomnú informáciu alebo obal lekárovi. Opuch tváre, pier a očí alebo ťažké dýchanie sú vážnejšie príznaky a vyžadujú okamžitú lekársku pomoc.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4.6</w:t>
      </w:r>
      <w:r>
        <w:rPr>
          <w:b/>
          <w:szCs w:val="22"/>
        </w:rPr>
        <w:tab/>
        <w:t>Nežiaduce účinky (frekvencia výskytu a závažnosť)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>Nie sú známe.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4.7</w:t>
      </w:r>
      <w:r>
        <w:rPr>
          <w:b/>
          <w:szCs w:val="22"/>
        </w:rPr>
        <w:tab/>
        <w:t>Použitie počas gravidity, laktácie alebo znášky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Ošípané: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Bezpečnosť veterinárneho lieku nebola potvrdená počas gravidity a laktácie u prasníc. Použiť len po zhodnotení prínosu/rizika zodpovedným veterinárnym lekárom.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Hovädzí dobytok: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Neodporúča sa používať počas gravidity alebo laktácie.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Králiky: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Perorálne dávky </w:t>
      </w:r>
      <w:proofErr w:type="spellStart"/>
      <w:r>
        <w:t>apramycínu</w:t>
      </w:r>
      <w:proofErr w:type="spellEnd"/>
      <w:r>
        <w:t xml:space="preserve"> podávané od 6. do 18. dňa gravidity (vrátane dávok pod terapeutickými dávkami) preukázali </w:t>
      </w:r>
      <w:proofErr w:type="spellStart"/>
      <w:r>
        <w:t>fetotoxické</w:t>
      </w:r>
      <w:proofErr w:type="spellEnd"/>
      <w:r>
        <w:t xml:space="preserve"> účinky. Nepoužívať počas gravidity.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lastRenderedPageBreak/>
        <w:t>Kurčatá: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Nepoužívať u nosníc a do 4 týždňov pred začiatkom obdobia znášky.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4.8</w:t>
      </w:r>
      <w:r>
        <w:rPr>
          <w:b/>
          <w:szCs w:val="22"/>
        </w:rPr>
        <w:tab/>
        <w:t>Liekové interakcie a iné formy vzájomného pôsobenia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proofErr w:type="spellStart"/>
      <w:r>
        <w:t>Aminoglykozidy</w:t>
      </w:r>
      <w:proofErr w:type="spellEnd"/>
      <w:r>
        <w:t xml:space="preserve"> môžu mať negatívny vplyv na funkciu obličiek. Podávanie </w:t>
      </w:r>
      <w:proofErr w:type="spellStart"/>
      <w:r>
        <w:t>aminoglykozidov</w:t>
      </w:r>
      <w:proofErr w:type="spellEnd"/>
      <w:r>
        <w:t xml:space="preserve"> zvieratám postihnutým poškodením funkcie obličiek alebo v kombinácii s látkami, ktoré tiež ovplyvňujú funkciu obličiek, môže predstavovať riziko intoxikácie.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Calibri"/>
          <w:b/>
          <w:szCs w:val="22"/>
        </w:rPr>
      </w:pPr>
      <w:proofErr w:type="spellStart"/>
      <w:r>
        <w:t>Aminoglykozidy</w:t>
      </w:r>
      <w:proofErr w:type="spellEnd"/>
      <w:r>
        <w:t xml:space="preserve"> môžu spôsobiť </w:t>
      </w:r>
      <w:proofErr w:type="spellStart"/>
      <w:r>
        <w:t>neuromuskulárnu</w:t>
      </w:r>
      <w:proofErr w:type="spellEnd"/>
      <w:r>
        <w:t xml:space="preserve"> blokádu. Preto sa odporúča, aby sa tento účinok zohľadnil pri podávaní anestézie liečeným zvieratám.</w:t>
      </w: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bCs/>
          <w:szCs w:val="22"/>
        </w:rPr>
      </w:pPr>
      <w:r>
        <w:rPr>
          <w:b/>
          <w:szCs w:val="22"/>
        </w:rPr>
        <w:t>4.9</w:t>
      </w:r>
      <w:r>
        <w:rPr>
          <w:b/>
          <w:szCs w:val="22"/>
        </w:rPr>
        <w:tab/>
      </w:r>
      <w:r>
        <w:rPr>
          <w:b/>
          <w:bCs/>
          <w:szCs w:val="22"/>
        </w:rPr>
        <w:t>Dávkovanie a spôsob podania lieku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Cesta podania: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Má sa podávať v pitnej vode. Systémy pitnej vody by mali byť čisté a bez hrdze, aby sa zabránilo zníženiu aktivity.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V prípade teliat sa môže podávať v mlieku alebo mliečnej náhrade.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Podávané množstvá:</w:t>
      </w:r>
    </w:p>
    <w:p w:rsidR="006E1862" w:rsidRPr="004E1109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Ošípané: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12 500 IU </w:t>
      </w:r>
      <w:proofErr w:type="spellStart"/>
      <w:r>
        <w:t>apramycínsulfátu</w:t>
      </w:r>
      <w:proofErr w:type="spellEnd"/>
      <w:r>
        <w:t xml:space="preserve"> na kilogram živej hmotnosti (to zodpovedá 22,5 mg lieku/kg živej hmotnosti) denne počas 7 po sebe nasledujúcich dní.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2323AF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Teľatá: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40 000 IU </w:t>
      </w:r>
      <w:proofErr w:type="spellStart"/>
      <w:r>
        <w:t>apramycínsulfátu</w:t>
      </w:r>
      <w:proofErr w:type="spellEnd"/>
      <w:r>
        <w:t xml:space="preserve"> na kilogram živej hmotnosti (to zodpovedá 72 mg lieku/kg živej hmotnosti) denne počas 5 po sebe nasledujúcich dní.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2323AF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Kurčatá: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80 000 IU </w:t>
      </w:r>
      <w:proofErr w:type="spellStart"/>
      <w:r>
        <w:t>apramycínsulfátu</w:t>
      </w:r>
      <w:proofErr w:type="spellEnd"/>
      <w:r>
        <w:t xml:space="preserve"> na kilogram živej hmotnosti (to zodpovedá 144 mg lieku/kg živej hmotnosti) denne počas 5 po sebe nasledujúcich dní.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2323AF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Králiky: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20 000 IU </w:t>
      </w:r>
      <w:proofErr w:type="spellStart"/>
      <w:r>
        <w:t>apramycínsulfátu</w:t>
      </w:r>
      <w:proofErr w:type="spellEnd"/>
      <w:r>
        <w:t xml:space="preserve"> na kilogram živej hmotnosti (to zodpovedá 36 mg lieku/kg živej hmotnosti) denne počas 5 po sebe nasledujúcich dní.</w:t>
      </w:r>
    </w:p>
    <w:p w:rsidR="006E1862" w:rsidRPr="00A31C1D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456EF3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Príjem </w:t>
      </w:r>
      <w:proofErr w:type="spellStart"/>
      <w:r>
        <w:t>medikovanej</w:t>
      </w:r>
      <w:proofErr w:type="spellEnd"/>
      <w:r>
        <w:t xml:space="preserve"> vody závisí od klinického stavu zvierat. Aby sa dosiahla správna dávka, koncentrácia veterinárneho lieku sa musí zodpovedajúcim spôsobom upraviť.</w:t>
      </w:r>
    </w:p>
    <w:p w:rsidR="006E1862" w:rsidRDefault="006E1862" w:rsidP="006E1862">
      <w:pPr>
        <w:tabs>
          <w:tab w:val="clear" w:pos="567"/>
        </w:tabs>
        <w:spacing w:line="240" w:lineRule="auto"/>
      </w:pP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Množstvo lieku (mg), ktoré sa má zapracovať na 1 liter vody alebo mlieka, sa má stanoviť podľa tohto vzorca: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820"/>
        <w:gridCol w:w="2950"/>
        <w:gridCol w:w="636"/>
        <w:gridCol w:w="3214"/>
      </w:tblGrid>
      <w:tr w:rsidR="006E1862" w:rsidTr="00C177A1">
        <w:trPr>
          <w:trHeight w:val="383"/>
        </w:trPr>
        <w:tc>
          <w:tcPr>
            <w:tcW w:w="1956" w:type="dxa"/>
            <w:vMerge w:val="restart"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Dávka (mg lieku na kg živej hmotnosti za deň)</w:t>
            </w:r>
          </w:p>
        </w:tc>
        <w:tc>
          <w:tcPr>
            <w:tcW w:w="820" w:type="dxa"/>
            <w:vMerge w:val="restart"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X</w:t>
            </w:r>
          </w:p>
        </w:tc>
        <w:tc>
          <w:tcPr>
            <w:tcW w:w="2950" w:type="dxa"/>
            <w:vMerge w:val="restart"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priemerná živá hmotnosť (kg) zvierat, ktoré sa majú liečiť</w:t>
            </w:r>
          </w:p>
        </w:tc>
        <w:tc>
          <w:tcPr>
            <w:tcW w:w="3850" w:type="dxa"/>
            <w:gridSpan w:val="2"/>
            <w:vAlign w:val="center"/>
          </w:tcPr>
          <w:p w:rsidR="006E1862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6E1862" w:rsidTr="00C177A1">
        <w:trPr>
          <w:trHeight w:val="382"/>
        </w:trPr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6E1862" w:rsidRDefault="006E1862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=</w:t>
            </w:r>
          </w:p>
        </w:tc>
        <w:tc>
          <w:tcPr>
            <w:tcW w:w="3214" w:type="dxa"/>
            <w:vMerge w:val="restart"/>
            <w:vAlign w:val="center"/>
          </w:tcPr>
          <w:p w:rsidR="006E1862" w:rsidRDefault="006E1862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mg výrobku na liter pitnej vody/mlieka</w:t>
            </w:r>
          </w:p>
        </w:tc>
      </w:tr>
      <w:tr w:rsidR="006E1862" w:rsidTr="00C177A1">
        <w:trPr>
          <w:trHeight w:val="253"/>
        </w:trPr>
        <w:tc>
          <w:tcPr>
            <w:tcW w:w="57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6E1862" w:rsidRDefault="006E1862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Priemerný denný príjem vody (l/zviera)</w:t>
            </w:r>
          </w:p>
        </w:tc>
        <w:tc>
          <w:tcPr>
            <w:tcW w:w="636" w:type="dxa"/>
            <w:vMerge/>
            <w:vAlign w:val="center"/>
          </w:tcPr>
          <w:p w:rsidR="006E1862" w:rsidRPr="00523AA1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Merge/>
            <w:vAlign w:val="center"/>
          </w:tcPr>
          <w:p w:rsidR="006E1862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6E1862" w:rsidTr="00C177A1">
        <w:tc>
          <w:tcPr>
            <w:tcW w:w="5726" w:type="dxa"/>
            <w:gridSpan w:val="3"/>
            <w:vMerge/>
            <w:vAlign w:val="center"/>
          </w:tcPr>
          <w:p w:rsidR="006E1862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6E1862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Align w:val="center"/>
          </w:tcPr>
          <w:p w:rsidR="006E1862" w:rsidRDefault="006E1862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</w:tbl>
    <w:p w:rsidR="006E1862" w:rsidRDefault="006E1862" w:rsidP="006E1862">
      <w:pPr>
        <w:tabs>
          <w:tab w:val="clear" w:pos="567"/>
        </w:tabs>
        <w:spacing w:line="240" w:lineRule="auto"/>
        <w:rPr>
          <w:rFonts w:eastAsia="Calibri"/>
          <w:sz w:val="18"/>
          <w:szCs w:val="18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Arial"/>
          <w:w w:val="104"/>
          <w:sz w:val="17"/>
          <w:szCs w:val="17"/>
        </w:rPr>
      </w:pPr>
    </w:p>
    <w:p w:rsidR="006E1862" w:rsidRPr="00456EF3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Aby sa zaistilo správne dávkovanie a predišlo </w:t>
      </w:r>
      <w:proofErr w:type="spellStart"/>
      <w:r>
        <w:t>poddávkovaniu</w:t>
      </w:r>
      <w:proofErr w:type="spellEnd"/>
      <w:r>
        <w:t xml:space="preserve">, živá hmotnosť má byť určená čo najpresnejšie. Roztok s čerstvou vodou z vodovodu (alebo mlieko/náhradu mlieka pre teľatá) pripravte bezprostredne pred použitím. </w:t>
      </w:r>
      <w:proofErr w:type="spellStart"/>
      <w:r>
        <w:t>Medikovaná</w:t>
      </w:r>
      <w:proofErr w:type="spellEnd"/>
      <w:r>
        <w:t xml:space="preserve"> pitná voda sa má obnovovať alebo vymieňať každých 24 </w:t>
      </w:r>
      <w:r>
        <w:lastRenderedPageBreak/>
        <w:t xml:space="preserve">hodín. Náhrada mlieka sa má pripraviť pred pridaním prášku. Roztok sa musí 5 minút intenzívne miešať. </w:t>
      </w:r>
      <w:proofErr w:type="spellStart"/>
      <w:r>
        <w:t>Medikované</w:t>
      </w:r>
      <w:proofErr w:type="spellEnd"/>
      <w:r>
        <w:t xml:space="preserve"> mlieko/náhrada mlieka sa má konzumovať ihneď po podaní. Počas liečby sa musí v častých intervaloch sledovať príjem vody. Aby sa zabezpečila konzumácia </w:t>
      </w:r>
      <w:proofErr w:type="spellStart"/>
      <w:r>
        <w:t>medikovanej</w:t>
      </w:r>
      <w:proofErr w:type="spellEnd"/>
      <w:r>
        <w:t xml:space="preserve"> vody, zvieratá nesmú mať počas liečby prístup k iným zdrojom vody. Po uplynutí doby podávania lieku sa má systém zásobovania vodou vhodným spôsobom vyčistiť, aby sa zabránilo príjmu </w:t>
      </w:r>
      <w:proofErr w:type="spellStart"/>
      <w:r>
        <w:t>subterapeutických</w:t>
      </w:r>
      <w:proofErr w:type="spellEnd"/>
      <w:r>
        <w:t xml:space="preserve"> množstiev účinnej látky. Ak nie je možné dosiahnuť dostatočný príjem </w:t>
      </w:r>
      <w:proofErr w:type="spellStart"/>
      <w:r>
        <w:t>medikovanej</w:t>
      </w:r>
      <w:proofErr w:type="spellEnd"/>
      <w:r>
        <w:t xml:space="preserve"> vody, zvieratá sa majú liečiť </w:t>
      </w:r>
      <w:proofErr w:type="spellStart"/>
      <w:r>
        <w:t>parenterálne</w:t>
      </w:r>
      <w:proofErr w:type="spellEnd"/>
      <w:r>
        <w:t xml:space="preserve"> (ak je to vhodné). Maximálna rozpustnosť lieku vo vode a mliečnej náhrade je približne 1000 g/l. Odporúča sa použiť vhodne kalibrované váhy, aby sa zabezpečilo odmeranie presného množstva podávaného lieku.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6E1862" w:rsidRPr="00EB25BE" w:rsidRDefault="006E1862" w:rsidP="006E1862">
      <w:pPr>
        <w:pStyle w:val="Zarkazkladnhotextu"/>
        <w:keepNext/>
        <w:keepLines/>
        <w:ind w:left="0" w:firstLine="0"/>
        <w:rPr>
          <w:szCs w:val="22"/>
        </w:rPr>
      </w:pPr>
      <w:r>
        <w:t>4.10</w:t>
      </w:r>
      <w:r>
        <w:tab/>
        <w:t xml:space="preserve">Predávkovanie (príznaky, núdzové postupy, </w:t>
      </w:r>
      <w:proofErr w:type="spellStart"/>
      <w:r>
        <w:t>antidotá</w:t>
      </w:r>
      <w:proofErr w:type="spellEnd"/>
      <w:r>
        <w:t>), ak sú potrebné</w:t>
      </w:r>
    </w:p>
    <w:p w:rsidR="006E1862" w:rsidRPr="00EB25BE" w:rsidRDefault="006E1862" w:rsidP="006E1862">
      <w:pPr>
        <w:pStyle w:val="Zarkazkladnhotextu"/>
        <w:keepNext/>
        <w:keepLines/>
        <w:ind w:left="0" w:firstLine="0"/>
        <w:rPr>
          <w:szCs w:val="22"/>
        </w:rPr>
      </w:pPr>
    </w:p>
    <w:p w:rsidR="006E1862" w:rsidRDefault="006E1862" w:rsidP="006E1862">
      <w:pPr>
        <w:pStyle w:val="Zarkazkladnhotextu"/>
        <w:keepNext/>
        <w:keepLines/>
        <w:rPr>
          <w:b w:val="0"/>
          <w:szCs w:val="22"/>
        </w:rPr>
      </w:pPr>
      <w:r>
        <w:rPr>
          <w:b w:val="0"/>
          <w:szCs w:val="22"/>
        </w:rPr>
        <w:t xml:space="preserve">Ošípané: </w:t>
      </w:r>
    </w:p>
    <w:p w:rsidR="006E1862" w:rsidRDefault="006E1862" w:rsidP="006E1862">
      <w:pPr>
        <w:pStyle w:val="Zarkazkladnhotextu"/>
        <w:keepNext/>
        <w:keepLines/>
        <w:ind w:left="0" w:firstLine="0"/>
        <w:rPr>
          <w:b w:val="0"/>
          <w:szCs w:val="22"/>
        </w:rPr>
      </w:pPr>
      <w:r>
        <w:rPr>
          <w:b w:val="0"/>
          <w:szCs w:val="22"/>
        </w:rPr>
        <w:t>Ošípané dostávali až deväťnásobok odporúčanej dávky na použitie v pitnej vode počas 28 dní bez akejkoľvek nepriaznivej reakcie.</w:t>
      </w:r>
    </w:p>
    <w:p w:rsidR="006E1862" w:rsidRPr="00EA17B0" w:rsidRDefault="006E1862" w:rsidP="006E1862">
      <w:pPr>
        <w:pStyle w:val="Zarkazkladnhotextu"/>
        <w:keepNext/>
        <w:keepLines/>
        <w:ind w:left="0" w:firstLine="0"/>
        <w:rPr>
          <w:b w:val="0"/>
          <w:szCs w:val="22"/>
        </w:rPr>
      </w:pP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Teľatá: 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Teľatám bol podávaný </w:t>
      </w:r>
      <w:proofErr w:type="spellStart"/>
      <w:r>
        <w:t>apramycín</w:t>
      </w:r>
      <w:proofErr w:type="spellEnd"/>
      <w:r>
        <w:t xml:space="preserve"> v mliečnej náhrade denne počas piatich dní v dávkach do 120 mg/kg živej hmotnosti. Neprejavil sa žiadny toxický účinok.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Kurčatá: 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Pri kurčatách nebola žiadna úmrtnosť po podaní jednorazovej perorálnej dávky 1000 mg/kg živej hmotnosti. Kurčatá dostávali až päťnásobok odporúčanej dávky počas 15 dní bez akejkoľvek nepriaznivej  reakcie.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Možná intoxikácia sa môže prejaviť nasledujúcimi príznakmi: mäkké výkaly, hnačka, vracanie (úbytok hmotnosti, </w:t>
      </w:r>
      <w:proofErr w:type="spellStart"/>
      <w:r>
        <w:t>anorexia</w:t>
      </w:r>
      <w:proofErr w:type="spellEnd"/>
      <w:r>
        <w:t xml:space="preserve"> a podobné prejavy), poškodenie funkcie obličiek a účinky na centrálny nervový systém (znížená aktivita, strata reflexov, kŕče atď.).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Neprekračujte odporúčanú dávku.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tabs>
          <w:tab w:val="clear" w:pos="567"/>
        </w:tabs>
        <w:spacing w:line="240" w:lineRule="auto"/>
        <w:rPr>
          <w:szCs w:val="22"/>
        </w:rPr>
      </w:pPr>
      <w:r>
        <w:rPr>
          <w:b/>
          <w:szCs w:val="22"/>
        </w:rPr>
        <w:t>4.11</w:t>
      </w:r>
      <w:r>
        <w:rPr>
          <w:b/>
          <w:szCs w:val="22"/>
        </w:rPr>
        <w:tab/>
        <w:t>Ochranná lehota</w:t>
      </w:r>
    </w:p>
    <w:p w:rsidR="006E1862" w:rsidRPr="00EB25BE" w:rsidRDefault="006E1862" w:rsidP="006E1862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Ošípané: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Mäso a vnútornosti: 0 dní.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Teľatá: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Mäso a vnútornosti: 28 dní.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Kurčatá: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Mäso a vnútornosti: 0 dní.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Nepoužívať u vtákov, ktoré produkujú alebo sú určené na produkciu vajec na ľudskú spotrebu. Nepoužívať počas 4 týždňov pred začiatkom obdobia znášky.</w:t>
      </w:r>
    </w:p>
    <w:p w:rsidR="006E1862" w:rsidRPr="00EA17B0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Králiky:</w:t>
      </w: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Mäso a vnútornosti: 0 dní.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t>5.</w:t>
      </w:r>
      <w:r>
        <w:rPr>
          <w:b/>
          <w:szCs w:val="22"/>
        </w:rPr>
        <w:tab/>
        <w:t>FARMAKOLOGICKÉ VLASTNOSTI</w:t>
      </w:r>
    </w:p>
    <w:p w:rsidR="006E1862" w:rsidRPr="00EB25BE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EB25BE" w:rsidRDefault="006E1862" w:rsidP="006E1862">
      <w:pPr>
        <w:spacing w:line="240" w:lineRule="auto"/>
        <w:ind w:left="20" w:right="-50"/>
        <w:rPr>
          <w:rFonts w:eastAsia="STFangsong"/>
          <w:szCs w:val="22"/>
        </w:rPr>
      </w:pPr>
      <w:proofErr w:type="spellStart"/>
      <w:r>
        <w:t>Farmakoterapeutická</w:t>
      </w:r>
      <w:proofErr w:type="spellEnd"/>
      <w:r>
        <w:t xml:space="preserve"> skupina: </w:t>
      </w:r>
      <w:proofErr w:type="spellStart"/>
      <w:r>
        <w:t>Intestinálne</w:t>
      </w:r>
      <w:proofErr w:type="spellEnd"/>
      <w:r>
        <w:t xml:space="preserve"> </w:t>
      </w:r>
      <w:proofErr w:type="spellStart"/>
      <w:r>
        <w:t>antiinfektivá</w:t>
      </w:r>
      <w:proofErr w:type="spellEnd"/>
      <w:r>
        <w:t>, antibiotiká.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STFangsong"/>
          <w:szCs w:val="22"/>
        </w:rPr>
      </w:pPr>
      <w:proofErr w:type="spellStart"/>
      <w:r>
        <w:t>ATCvet</w:t>
      </w:r>
      <w:proofErr w:type="spellEnd"/>
      <w:r>
        <w:t xml:space="preserve"> kód: QA07AA92.</w:t>
      </w:r>
    </w:p>
    <w:p w:rsidR="006E1862" w:rsidRDefault="006E1862" w:rsidP="006E1862">
      <w:pPr>
        <w:keepNext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tabs>
          <w:tab w:val="clear" w:pos="567"/>
        </w:tabs>
        <w:spacing w:line="240" w:lineRule="auto"/>
        <w:rPr>
          <w:b/>
          <w:szCs w:val="22"/>
        </w:rPr>
      </w:pPr>
      <w:r w:rsidRPr="006E1862">
        <w:rPr>
          <w:b/>
          <w:szCs w:val="22"/>
        </w:rPr>
        <w:t>5.1</w:t>
      </w:r>
      <w:r w:rsidRPr="006E1862">
        <w:rPr>
          <w:b/>
          <w:szCs w:val="22"/>
        </w:rPr>
        <w:tab/>
      </w:r>
      <w:proofErr w:type="spellStart"/>
      <w:r w:rsidRPr="006E1862">
        <w:rPr>
          <w:b/>
          <w:szCs w:val="22"/>
        </w:rPr>
        <w:t>Farmakodynamické</w:t>
      </w:r>
      <w:proofErr w:type="spellEnd"/>
      <w:r w:rsidRPr="006E1862">
        <w:rPr>
          <w:b/>
          <w:szCs w:val="22"/>
        </w:rPr>
        <w:t xml:space="preserve"> vlastnosti</w:t>
      </w:r>
    </w:p>
    <w:p w:rsidR="006E1862" w:rsidRPr="006E1862" w:rsidRDefault="006E1862" w:rsidP="006E1862">
      <w:pPr>
        <w:keepNext/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proofErr w:type="spellStart"/>
      <w:r w:rsidRPr="006E1862">
        <w:rPr>
          <w:szCs w:val="22"/>
        </w:rPr>
        <w:t>Apramycín</w:t>
      </w:r>
      <w:proofErr w:type="spellEnd"/>
      <w:r w:rsidRPr="006E1862">
        <w:rPr>
          <w:szCs w:val="22"/>
        </w:rPr>
        <w:t xml:space="preserve"> je baktericídne </w:t>
      </w:r>
      <w:proofErr w:type="spellStart"/>
      <w:r w:rsidRPr="006E1862">
        <w:rPr>
          <w:szCs w:val="22"/>
        </w:rPr>
        <w:t>aminoglykozidové</w:t>
      </w:r>
      <w:proofErr w:type="spellEnd"/>
      <w:r w:rsidRPr="006E1862">
        <w:rPr>
          <w:szCs w:val="22"/>
        </w:rPr>
        <w:t xml:space="preserve"> antibiotikum, ktorého účinok je výsledkom väzby na 30S </w:t>
      </w:r>
      <w:proofErr w:type="spellStart"/>
      <w:r w:rsidRPr="006E1862">
        <w:rPr>
          <w:szCs w:val="22"/>
        </w:rPr>
        <w:t>podjednotku</w:t>
      </w:r>
      <w:proofErr w:type="spellEnd"/>
      <w:r w:rsidRPr="006E1862">
        <w:rPr>
          <w:szCs w:val="22"/>
        </w:rPr>
        <w:t xml:space="preserve"> </w:t>
      </w:r>
      <w:proofErr w:type="spellStart"/>
      <w:r w:rsidRPr="006E1862">
        <w:rPr>
          <w:szCs w:val="22"/>
        </w:rPr>
        <w:t>ribozómu</w:t>
      </w:r>
      <w:proofErr w:type="spellEnd"/>
      <w:r w:rsidRPr="006E1862">
        <w:rPr>
          <w:szCs w:val="22"/>
        </w:rPr>
        <w:t>, čím zabraňuje syntéze proteínov, čo vedie k poškodeniu priepustnosti membrány baktérií.</w:t>
      </w:r>
    </w:p>
    <w:p w:rsidR="006E1862" w:rsidRPr="006E1862" w:rsidRDefault="006E1862" w:rsidP="006E1862">
      <w:pPr>
        <w:pStyle w:val="Default"/>
        <w:rPr>
          <w:rFonts w:ascii="Times New Roman" w:hAnsi="Times New Roman" w:cs="Times New Roman"/>
          <w:sz w:val="22"/>
          <w:szCs w:val="22"/>
        </w:rPr>
      </w:pPr>
      <w:proofErr w:type="spellStart"/>
      <w:r w:rsidRPr="006E1862">
        <w:rPr>
          <w:sz w:val="22"/>
          <w:szCs w:val="22"/>
        </w:rPr>
        <w:t>Apramycín</w:t>
      </w:r>
      <w:proofErr w:type="spellEnd"/>
      <w:r w:rsidRPr="006E1862">
        <w:rPr>
          <w:sz w:val="22"/>
          <w:szCs w:val="22"/>
        </w:rPr>
        <w:t xml:space="preserve"> je účinný proti </w:t>
      </w:r>
      <w:proofErr w:type="spellStart"/>
      <w:r w:rsidRPr="006E1862">
        <w:rPr>
          <w:sz w:val="22"/>
          <w:szCs w:val="22"/>
        </w:rPr>
        <w:t>gramnegatívnym</w:t>
      </w:r>
      <w:proofErr w:type="spellEnd"/>
      <w:r w:rsidRPr="006E1862">
        <w:rPr>
          <w:sz w:val="22"/>
          <w:szCs w:val="22"/>
        </w:rPr>
        <w:t xml:space="preserve"> baktériám (</w:t>
      </w:r>
      <w:proofErr w:type="spellStart"/>
      <w:r w:rsidRPr="006E1862">
        <w:rPr>
          <w:i/>
          <w:sz w:val="22"/>
          <w:szCs w:val="22"/>
        </w:rPr>
        <w:t>Salmonella</w:t>
      </w:r>
      <w:proofErr w:type="spellEnd"/>
      <w:r w:rsidRPr="006E1862">
        <w:rPr>
          <w:sz w:val="22"/>
          <w:szCs w:val="22"/>
        </w:rPr>
        <w:t xml:space="preserve"> a </w:t>
      </w:r>
      <w:proofErr w:type="spellStart"/>
      <w:r w:rsidRPr="006E1862">
        <w:rPr>
          <w:i/>
          <w:sz w:val="22"/>
          <w:szCs w:val="22"/>
        </w:rPr>
        <w:t>Escherichia</w:t>
      </w:r>
      <w:proofErr w:type="spellEnd"/>
      <w:r w:rsidRPr="006E1862">
        <w:rPr>
          <w:i/>
          <w:sz w:val="22"/>
          <w:szCs w:val="22"/>
        </w:rPr>
        <w:t xml:space="preserve"> </w:t>
      </w:r>
      <w:proofErr w:type="spellStart"/>
      <w:r w:rsidRPr="006E1862">
        <w:rPr>
          <w:i/>
          <w:sz w:val="22"/>
          <w:szCs w:val="22"/>
        </w:rPr>
        <w:t>coli</w:t>
      </w:r>
      <w:proofErr w:type="spellEnd"/>
      <w:r w:rsidRPr="006E1862">
        <w:rPr>
          <w:sz w:val="22"/>
          <w:szCs w:val="22"/>
        </w:rPr>
        <w:t xml:space="preserve">). </w:t>
      </w:r>
      <w:r w:rsidRPr="006E1862">
        <w:rPr>
          <w:rFonts w:ascii="Times New Roman" w:hAnsi="Times New Roman"/>
          <w:sz w:val="22"/>
          <w:szCs w:val="22"/>
        </w:rPr>
        <w:br/>
        <w:t xml:space="preserve">Mechanizmy odolnosti: Rezistencia na </w:t>
      </w:r>
      <w:proofErr w:type="spellStart"/>
      <w:r w:rsidRPr="006E1862">
        <w:rPr>
          <w:rFonts w:ascii="Times New Roman" w:hAnsi="Times New Roman"/>
          <w:sz w:val="22"/>
          <w:szCs w:val="22"/>
        </w:rPr>
        <w:t>apramycín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súvisí s rôznymi </w:t>
      </w:r>
      <w:proofErr w:type="spellStart"/>
      <w:r w:rsidRPr="006E1862">
        <w:rPr>
          <w:rFonts w:ascii="Times New Roman" w:hAnsi="Times New Roman"/>
          <w:sz w:val="22"/>
          <w:szCs w:val="22"/>
        </w:rPr>
        <w:t>aminoglykozidovými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3-N-acetyltransferázovými enzýmami (AAC-3). Tieto enzýmy spôsobujú odlišnú krížovú rezistenciu voči iným </w:t>
      </w:r>
      <w:proofErr w:type="spellStart"/>
      <w:r w:rsidRPr="006E1862">
        <w:rPr>
          <w:rFonts w:ascii="Times New Roman" w:hAnsi="Times New Roman"/>
          <w:sz w:val="22"/>
          <w:szCs w:val="22"/>
        </w:rPr>
        <w:t>aminoglykozidom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. Niektoré kmene </w:t>
      </w:r>
      <w:proofErr w:type="spellStart"/>
      <w:r w:rsidRPr="006E1862">
        <w:rPr>
          <w:rFonts w:ascii="Times New Roman" w:hAnsi="Times New Roman"/>
          <w:i/>
          <w:sz w:val="22"/>
          <w:szCs w:val="22"/>
        </w:rPr>
        <w:t>Salmonella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6E1862">
        <w:rPr>
          <w:rFonts w:ascii="Times New Roman" w:hAnsi="Times New Roman"/>
          <w:sz w:val="22"/>
          <w:szCs w:val="22"/>
        </w:rPr>
        <w:t>Typhimurium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DT104 majú okrem rezistencie na </w:t>
      </w:r>
      <w:proofErr w:type="spellStart"/>
      <w:r w:rsidRPr="006E1862">
        <w:rPr>
          <w:rFonts w:ascii="Times New Roman" w:hAnsi="Times New Roman"/>
          <w:sz w:val="22"/>
          <w:szCs w:val="22"/>
        </w:rPr>
        <w:t>beta-laktámy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, streptomycín, tetracyklíny a sulfónamidy aj konjugačný </w:t>
      </w:r>
      <w:proofErr w:type="spellStart"/>
      <w:r w:rsidRPr="006E1862">
        <w:rPr>
          <w:rFonts w:ascii="Times New Roman" w:hAnsi="Times New Roman"/>
          <w:sz w:val="22"/>
          <w:szCs w:val="22"/>
        </w:rPr>
        <w:t>plazmid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rezistencie proti </w:t>
      </w:r>
      <w:proofErr w:type="spellStart"/>
      <w:r w:rsidRPr="006E1862">
        <w:rPr>
          <w:rFonts w:ascii="Times New Roman" w:hAnsi="Times New Roman"/>
          <w:sz w:val="22"/>
          <w:szCs w:val="22"/>
        </w:rPr>
        <w:t>apramycínu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. Rezistencia na </w:t>
      </w:r>
      <w:proofErr w:type="spellStart"/>
      <w:r w:rsidRPr="006E1862">
        <w:rPr>
          <w:rFonts w:ascii="Times New Roman" w:hAnsi="Times New Roman"/>
          <w:sz w:val="22"/>
          <w:szCs w:val="22"/>
        </w:rPr>
        <w:t>apramycín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môže byť ovplyvnená spoločnou selekciou (bolo opísané, že rezistencia na </w:t>
      </w:r>
      <w:proofErr w:type="spellStart"/>
      <w:r w:rsidRPr="006E1862">
        <w:rPr>
          <w:rFonts w:ascii="Times New Roman" w:hAnsi="Times New Roman"/>
          <w:sz w:val="22"/>
          <w:szCs w:val="22"/>
        </w:rPr>
        <w:t>apramycín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 sa nachádza v rovnakom mobilnom genetickom prvku ako iné determinanty rezistencie u </w:t>
      </w:r>
      <w:proofErr w:type="spellStart"/>
      <w:r w:rsidRPr="006E1862">
        <w:rPr>
          <w:rFonts w:ascii="Times New Roman" w:hAnsi="Times New Roman"/>
          <w:sz w:val="22"/>
          <w:szCs w:val="22"/>
        </w:rPr>
        <w:t>Enterobacteriaceae</w:t>
      </w:r>
      <w:proofErr w:type="spellEnd"/>
      <w:r w:rsidRPr="006E1862">
        <w:rPr>
          <w:rFonts w:ascii="Times New Roman" w:hAnsi="Times New Roman"/>
          <w:sz w:val="22"/>
          <w:szCs w:val="22"/>
        </w:rPr>
        <w:t xml:space="preserve">) a krížovou rezistenciou (napr. s </w:t>
      </w:r>
      <w:proofErr w:type="spellStart"/>
      <w:r w:rsidRPr="006E1862">
        <w:rPr>
          <w:rFonts w:ascii="Times New Roman" w:hAnsi="Times New Roman"/>
          <w:sz w:val="22"/>
          <w:szCs w:val="22"/>
        </w:rPr>
        <w:t>gentamycínom</w:t>
      </w:r>
      <w:proofErr w:type="spellEnd"/>
      <w:r w:rsidRPr="006E1862">
        <w:rPr>
          <w:rFonts w:ascii="Times New Roman" w:hAnsi="Times New Roman"/>
          <w:sz w:val="22"/>
          <w:szCs w:val="22"/>
        </w:rPr>
        <w:t>).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1862">
        <w:rPr>
          <w:szCs w:val="22"/>
        </w:rPr>
        <w:t>Chromozomálna</w:t>
      </w:r>
      <w:proofErr w:type="spellEnd"/>
      <w:r w:rsidRPr="006E1862">
        <w:rPr>
          <w:szCs w:val="22"/>
        </w:rPr>
        <w:t xml:space="preserve"> rezistencia sa u väčšiny </w:t>
      </w:r>
      <w:proofErr w:type="spellStart"/>
      <w:r w:rsidRPr="006E1862">
        <w:rPr>
          <w:szCs w:val="22"/>
        </w:rPr>
        <w:t>aminoglykozidov</w:t>
      </w:r>
      <w:proofErr w:type="spellEnd"/>
      <w:r w:rsidRPr="006E1862">
        <w:rPr>
          <w:szCs w:val="22"/>
        </w:rPr>
        <w:t xml:space="preserve"> vyvíja minimálne.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5.2</w:t>
      </w:r>
      <w:r w:rsidRPr="006E1862">
        <w:rPr>
          <w:b/>
          <w:szCs w:val="22"/>
        </w:rPr>
        <w:tab/>
      </w:r>
      <w:proofErr w:type="spellStart"/>
      <w:r w:rsidRPr="006E1862">
        <w:rPr>
          <w:b/>
          <w:szCs w:val="22"/>
        </w:rPr>
        <w:t>Farmakokinetické</w:t>
      </w:r>
      <w:proofErr w:type="spellEnd"/>
      <w:r w:rsidRPr="006E1862">
        <w:rPr>
          <w:b/>
          <w:szCs w:val="22"/>
        </w:rPr>
        <w:t xml:space="preserve"> údaje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 xml:space="preserve">Perorálne sa </w:t>
      </w:r>
      <w:proofErr w:type="spellStart"/>
      <w:r w:rsidRPr="006E1862">
        <w:rPr>
          <w:szCs w:val="22"/>
        </w:rPr>
        <w:t>apramycín</w:t>
      </w:r>
      <w:proofErr w:type="spellEnd"/>
      <w:r w:rsidRPr="006E1862">
        <w:rPr>
          <w:szCs w:val="22"/>
        </w:rPr>
        <w:t xml:space="preserve"> podáva za účelom </w:t>
      </w:r>
      <w:proofErr w:type="spellStart"/>
      <w:r w:rsidRPr="006E1862">
        <w:rPr>
          <w:szCs w:val="22"/>
        </w:rPr>
        <w:t>antimikrobiálnej</w:t>
      </w:r>
      <w:proofErr w:type="spellEnd"/>
      <w:r w:rsidRPr="006E1862">
        <w:rPr>
          <w:szCs w:val="22"/>
        </w:rPr>
        <w:t xml:space="preserve"> aktivity v čreve; </w:t>
      </w:r>
      <w:proofErr w:type="spellStart"/>
      <w:r w:rsidRPr="006E1862">
        <w:rPr>
          <w:szCs w:val="22"/>
        </w:rPr>
        <w:t>apramycín</w:t>
      </w:r>
      <w:proofErr w:type="spellEnd"/>
      <w:r w:rsidRPr="006E1862">
        <w:rPr>
          <w:szCs w:val="22"/>
        </w:rPr>
        <w:t xml:space="preserve"> sa absorbuje slabo, ale absorpcia môže byť zvýšená u mladých zvierat a zvierat s narušenou črevnou bariérou.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>Absorpcia: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>Absorpcia môže byť vysoká u novorodených mláďat, ale rýchlo klesá v prvých týždňoch života.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 xml:space="preserve">Teľatá. Sérové ​​hladiny dosahujú vrchol po približne 6 hodinách s hodnotou 2,4 </w:t>
      </w:r>
      <w:proofErr w:type="spellStart"/>
      <w:r w:rsidRPr="006E1862">
        <w:rPr>
          <w:szCs w:val="22"/>
        </w:rPr>
        <w:t>μg</w:t>
      </w:r>
      <w:proofErr w:type="spellEnd"/>
      <w:r w:rsidRPr="006E1862">
        <w:rPr>
          <w:szCs w:val="22"/>
        </w:rPr>
        <w:t xml:space="preserve">/ml po perorálnom podaní 40 mg </w:t>
      </w:r>
      <w:proofErr w:type="spellStart"/>
      <w:r w:rsidRPr="006E1862">
        <w:rPr>
          <w:szCs w:val="22"/>
        </w:rPr>
        <w:t>apramycínu</w:t>
      </w:r>
      <w:proofErr w:type="spellEnd"/>
      <w:r w:rsidRPr="006E1862">
        <w:rPr>
          <w:szCs w:val="22"/>
        </w:rPr>
        <w:t>/kg živej hmotnosti.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 xml:space="preserve">Distribúcia, </w:t>
      </w:r>
      <w:proofErr w:type="spellStart"/>
      <w:r w:rsidRPr="006E1862">
        <w:rPr>
          <w:szCs w:val="22"/>
        </w:rPr>
        <w:t>biotransformácia</w:t>
      </w:r>
      <w:proofErr w:type="spellEnd"/>
      <w:r w:rsidRPr="006E1862">
        <w:rPr>
          <w:szCs w:val="22"/>
        </w:rPr>
        <w:t xml:space="preserve"> a vylučovanie: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proofErr w:type="spellStart"/>
      <w:r w:rsidRPr="006E1862">
        <w:rPr>
          <w:szCs w:val="22"/>
        </w:rPr>
        <w:t>Apramycín</w:t>
      </w:r>
      <w:proofErr w:type="spellEnd"/>
      <w:r w:rsidRPr="006E1862">
        <w:rPr>
          <w:szCs w:val="22"/>
        </w:rPr>
        <w:t xml:space="preserve"> sa vylučuje hlavne cez stolicu v aktívnej forme a iba malé množstvo sa vylučuje močom.</w:t>
      </w:r>
    </w:p>
    <w:p w:rsidR="006E1862" w:rsidRPr="006E1862" w:rsidRDefault="006E1862" w:rsidP="006E1862">
      <w:pPr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 xml:space="preserve">Ošípané. </w:t>
      </w:r>
      <w:proofErr w:type="spellStart"/>
      <w:r w:rsidRPr="006E1862">
        <w:rPr>
          <w:szCs w:val="22"/>
        </w:rPr>
        <w:t>Metabolizácia</w:t>
      </w:r>
      <w:proofErr w:type="spellEnd"/>
      <w:r w:rsidRPr="006E1862">
        <w:rPr>
          <w:szCs w:val="22"/>
        </w:rPr>
        <w:t xml:space="preserve"> </w:t>
      </w:r>
      <w:proofErr w:type="spellStart"/>
      <w:r w:rsidRPr="006E1862">
        <w:rPr>
          <w:szCs w:val="22"/>
        </w:rPr>
        <w:t>apramycínu</w:t>
      </w:r>
      <w:proofErr w:type="spellEnd"/>
      <w:r w:rsidRPr="006E1862">
        <w:rPr>
          <w:szCs w:val="22"/>
        </w:rPr>
        <w:t xml:space="preserve"> prebieha u zvieraťa iba v minimálnom rozsahu.</w:t>
      </w:r>
    </w:p>
    <w:p w:rsidR="006E1862" w:rsidRPr="006E1862" w:rsidRDefault="006E1862" w:rsidP="006E1862">
      <w:pPr>
        <w:spacing w:line="240" w:lineRule="auto"/>
        <w:rPr>
          <w:rFonts w:eastAsia="Calibri"/>
          <w:szCs w:val="22"/>
        </w:rPr>
      </w:pPr>
      <w:r w:rsidRPr="006E1862">
        <w:rPr>
          <w:szCs w:val="22"/>
        </w:rPr>
        <w:t xml:space="preserve">Dávka </w:t>
      </w:r>
      <w:r w:rsidRPr="006E1862">
        <w:rPr>
          <w:szCs w:val="22"/>
          <w:vertAlign w:val="superscript"/>
        </w:rPr>
        <w:t>14</w:t>
      </w:r>
      <w:r w:rsidRPr="006E1862">
        <w:rPr>
          <w:szCs w:val="22"/>
        </w:rPr>
        <w:t xml:space="preserve">C </w:t>
      </w:r>
      <w:proofErr w:type="spellStart"/>
      <w:r w:rsidRPr="006E1862">
        <w:rPr>
          <w:szCs w:val="22"/>
        </w:rPr>
        <w:t>apramycínu</w:t>
      </w:r>
      <w:proofErr w:type="spellEnd"/>
      <w:r w:rsidRPr="006E1862">
        <w:rPr>
          <w:szCs w:val="22"/>
        </w:rPr>
        <w:t xml:space="preserve"> 10 kg ošípaným viedla k vylúčeniu približne 83 % stolicou a 4 % močom vo forme </w:t>
      </w:r>
      <w:r w:rsidRPr="006E1862">
        <w:rPr>
          <w:szCs w:val="22"/>
          <w:vertAlign w:val="superscript"/>
        </w:rPr>
        <w:t>14</w:t>
      </w:r>
      <w:r w:rsidRPr="006E1862">
        <w:rPr>
          <w:szCs w:val="22"/>
        </w:rPr>
        <w:t xml:space="preserve">C </w:t>
      </w:r>
      <w:proofErr w:type="spellStart"/>
      <w:r w:rsidRPr="006E1862">
        <w:rPr>
          <w:szCs w:val="22"/>
        </w:rPr>
        <w:t>apramycínu</w:t>
      </w:r>
      <w:proofErr w:type="spellEnd"/>
      <w:r w:rsidRPr="006E1862">
        <w:rPr>
          <w:szCs w:val="22"/>
        </w:rPr>
        <w:t>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6.</w:t>
      </w:r>
      <w:r w:rsidRPr="006E1862">
        <w:rPr>
          <w:b/>
          <w:szCs w:val="22"/>
        </w:rPr>
        <w:tab/>
        <w:t>FARMACEUTICKÉ ÚDAJE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6E1862">
        <w:rPr>
          <w:b/>
          <w:szCs w:val="22"/>
        </w:rPr>
        <w:t>6.1</w:t>
      </w:r>
      <w:r w:rsidRPr="006E1862">
        <w:rPr>
          <w:b/>
          <w:szCs w:val="22"/>
        </w:rPr>
        <w:tab/>
        <w:t>Zoznam pomocných látok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6E1862" w:rsidRDefault="006E1862" w:rsidP="006E1862">
      <w:pPr>
        <w:spacing w:line="224" w:lineRule="exact"/>
        <w:ind w:left="20" w:right="-50"/>
        <w:rPr>
          <w:rFonts w:eastAsia="Arial"/>
          <w:szCs w:val="22"/>
        </w:rPr>
      </w:pPr>
      <w:r w:rsidRPr="006E1862">
        <w:rPr>
          <w:szCs w:val="22"/>
        </w:rPr>
        <w:t>Žiadne</w:t>
      </w:r>
      <w:r>
        <w:rPr>
          <w:szCs w:val="22"/>
        </w:rPr>
        <w:t>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6.2</w:t>
      </w:r>
      <w:r w:rsidRPr="006E1862">
        <w:rPr>
          <w:b/>
          <w:szCs w:val="22"/>
        </w:rPr>
        <w:tab/>
        <w:t>Závažné inkompatibility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 xml:space="preserve">Z dôvodu chýbania štúdií kompatibility sa tento veterinárny liek nesmie miešať s inými veterinárnymi liekmi. 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6.3</w:t>
      </w:r>
      <w:r w:rsidRPr="006E1862">
        <w:rPr>
          <w:b/>
          <w:szCs w:val="22"/>
        </w:rPr>
        <w:tab/>
        <w:t>Čas použiteľnosti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Čas použiteľnosti veterinárneho lieku zabaleného v neporušenom obale: 2 roky.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Čas použiteľnosti po prvom otvorení vnútorného obalu (fľaša a vrece): 28 dní.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Čas použiteľnosti po prvom otvorení vnútorného obalu (</w:t>
      </w:r>
      <w:proofErr w:type="spellStart"/>
      <w:r w:rsidRPr="006E1862">
        <w:rPr>
          <w:szCs w:val="22"/>
        </w:rPr>
        <w:t>sáčok</w:t>
      </w:r>
      <w:proofErr w:type="spellEnd"/>
      <w:r w:rsidRPr="006E1862">
        <w:rPr>
          <w:szCs w:val="22"/>
        </w:rPr>
        <w:t>): Okamžite použite.</w:t>
      </w: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E1862">
        <w:rPr>
          <w:szCs w:val="22"/>
        </w:rPr>
        <w:t xml:space="preserve">Čas použiteľnosti po rozpustení v pitnej vode: 24 hodín. </w:t>
      </w: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 w:rsidRPr="006E1862">
        <w:rPr>
          <w:szCs w:val="22"/>
        </w:rPr>
        <w:t xml:space="preserve">Čas použiteľnosti po rozpustení v mliečnej náhrade: Okamžite použite. Neuchovávajte. 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lastRenderedPageBreak/>
        <w:t>6.4.</w:t>
      </w:r>
      <w:r w:rsidRPr="006E1862">
        <w:rPr>
          <w:b/>
          <w:szCs w:val="22"/>
        </w:rPr>
        <w:tab/>
        <w:t>Osobitné bezpečnostné opatrenia na uchovávanie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 xml:space="preserve">Uchovávať pri teplote neprevyšujúcej 25°C. 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6.5</w:t>
      </w:r>
      <w:r w:rsidRPr="006E1862">
        <w:rPr>
          <w:b/>
          <w:szCs w:val="22"/>
        </w:rPr>
        <w:tab/>
        <w:t xml:space="preserve">Charakter a </w:t>
      </w:r>
      <w:r w:rsidRPr="006E1862">
        <w:rPr>
          <w:b/>
          <w:bCs/>
          <w:szCs w:val="22"/>
        </w:rPr>
        <w:t>zloženie vnútorného obalu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6E1862">
        <w:rPr>
          <w:szCs w:val="22"/>
        </w:rPr>
        <w:t xml:space="preserve">Fľaše z polyetylénu s vysokou hustotou s polypropylénovými </w:t>
      </w:r>
      <w:proofErr w:type="spellStart"/>
      <w:r w:rsidRPr="006E1862">
        <w:rPr>
          <w:szCs w:val="22"/>
        </w:rPr>
        <w:t>skrutkovacími</w:t>
      </w:r>
      <w:proofErr w:type="spellEnd"/>
      <w:r w:rsidRPr="006E1862">
        <w:rPr>
          <w:szCs w:val="22"/>
        </w:rPr>
        <w:t xml:space="preserve"> uzávermi.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jc w:val="both"/>
        <w:rPr>
          <w:szCs w:val="22"/>
        </w:rPr>
      </w:pPr>
      <w:r w:rsidRPr="006E1862">
        <w:rPr>
          <w:szCs w:val="22"/>
        </w:rPr>
        <w:t xml:space="preserve">Kartónová krabica obsahujúca 25 alebo 50 </w:t>
      </w:r>
      <w:proofErr w:type="spellStart"/>
      <w:r w:rsidRPr="006E1862">
        <w:rPr>
          <w:szCs w:val="22"/>
        </w:rPr>
        <w:t>sáčkov</w:t>
      </w:r>
      <w:proofErr w:type="spellEnd"/>
      <w:r w:rsidRPr="006E1862">
        <w:rPr>
          <w:szCs w:val="22"/>
        </w:rPr>
        <w:t xml:space="preserve"> z polyetylénu/hliníka/polypropylénu. </w:t>
      </w: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 w:rsidRPr="006E1862">
        <w:rPr>
          <w:szCs w:val="22"/>
        </w:rPr>
        <w:t>Laminované vrecia z polyetylénu/hliníka/</w:t>
      </w:r>
      <w:proofErr w:type="spellStart"/>
      <w:r w:rsidRPr="006E1862">
        <w:rPr>
          <w:szCs w:val="22"/>
        </w:rPr>
        <w:t>polyetyléntereftalátu</w:t>
      </w:r>
      <w:proofErr w:type="spellEnd"/>
      <w:r w:rsidRPr="006E1862">
        <w:rPr>
          <w:szCs w:val="22"/>
        </w:rPr>
        <w:t xml:space="preserve"> s plochým dnom. </w:t>
      </w: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  <w:lang w:eastAsia="ja-JP"/>
        </w:rPr>
      </w:pP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 w:rsidRPr="006E1862">
        <w:rPr>
          <w:szCs w:val="22"/>
        </w:rPr>
        <w:t>Fľaše</w:t>
      </w:r>
      <w:r w:rsidRPr="006E1862">
        <w:rPr>
          <w:b/>
          <w:szCs w:val="22"/>
        </w:rPr>
        <w:t xml:space="preserve"> </w:t>
      </w:r>
      <w:r w:rsidRPr="006E1862">
        <w:rPr>
          <w:szCs w:val="22"/>
        </w:rPr>
        <w:t xml:space="preserve">obsahujúce 90,58 g </w:t>
      </w:r>
      <w:proofErr w:type="spellStart"/>
      <w:r w:rsidRPr="006E1862">
        <w:rPr>
          <w:szCs w:val="22"/>
        </w:rPr>
        <w:t>apramycínsulfátu</w:t>
      </w:r>
      <w:proofErr w:type="spellEnd"/>
      <w:r w:rsidRPr="006E1862">
        <w:rPr>
          <w:szCs w:val="22"/>
        </w:rPr>
        <w:t xml:space="preserve"> alebo 50 000 000 IU.</w:t>
      </w: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proofErr w:type="spellStart"/>
      <w:r w:rsidRPr="006E1862">
        <w:rPr>
          <w:szCs w:val="22"/>
        </w:rPr>
        <w:t>Sáčky</w:t>
      </w:r>
      <w:proofErr w:type="spellEnd"/>
      <w:r w:rsidRPr="006E1862">
        <w:rPr>
          <w:szCs w:val="22"/>
        </w:rPr>
        <w:t xml:space="preserve"> obsahujúce 1,812 g </w:t>
      </w:r>
      <w:proofErr w:type="spellStart"/>
      <w:r w:rsidRPr="006E1862">
        <w:rPr>
          <w:szCs w:val="22"/>
        </w:rPr>
        <w:t>apramycínsulfátu</w:t>
      </w:r>
      <w:proofErr w:type="spellEnd"/>
      <w:r w:rsidRPr="006E1862">
        <w:rPr>
          <w:szCs w:val="22"/>
        </w:rPr>
        <w:t xml:space="preserve"> alebo 1 000 000 IU.</w:t>
      </w: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</w:rPr>
      </w:pPr>
      <w:r w:rsidRPr="006E1862">
        <w:rPr>
          <w:szCs w:val="22"/>
        </w:rPr>
        <w:t xml:space="preserve">Vrecia obsahujúce 1811,6 g </w:t>
      </w:r>
      <w:proofErr w:type="spellStart"/>
      <w:r w:rsidRPr="006E1862">
        <w:rPr>
          <w:szCs w:val="22"/>
        </w:rPr>
        <w:t>apramycínsulfátu</w:t>
      </w:r>
      <w:proofErr w:type="spellEnd"/>
      <w:r w:rsidRPr="006E1862">
        <w:rPr>
          <w:szCs w:val="22"/>
        </w:rPr>
        <w:t xml:space="preserve"> alebo 1 000 000 000 IU.</w:t>
      </w: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b/>
          <w:szCs w:val="22"/>
          <w:lang w:eastAsia="ja-JP"/>
        </w:rPr>
      </w:pPr>
    </w:p>
    <w:p w:rsidR="006E1862" w:rsidRPr="006E1862" w:rsidRDefault="006E1862" w:rsidP="006E1862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jc w:val="both"/>
        <w:rPr>
          <w:szCs w:val="22"/>
        </w:rPr>
      </w:pPr>
      <w:r w:rsidRPr="006E1862">
        <w:rPr>
          <w:szCs w:val="22"/>
        </w:rPr>
        <w:t>Nie všetky veľkosti balenia sa musia uvádzať na trh.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jc w:val="both"/>
        <w:rPr>
          <w:szCs w:val="22"/>
          <w:lang w:eastAsia="ja-JP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ind w:left="567" w:hanging="567"/>
        <w:rPr>
          <w:szCs w:val="22"/>
        </w:rPr>
      </w:pPr>
      <w:r w:rsidRPr="006E1862">
        <w:rPr>
          <w:b/>
          <w:szCs w:val="22"/>
        </w:rPr>
        <w:t>6.6</w:t>
      </w:r>
      <w:r w:rsidRPr="006E1862">
        <w:rPr>
          <w:szCs w:val="22"/>
        </w:rPr>
        <w:tab/>
      </w:r>
      <w:r w:rsidRPr="006E1862">
        <w:rPr>
          <w:b/>
          <w:szCs w:val="22"/>
        </w:rPr>
        <w:t>Osobitné bezpečnostné opatrenia na zneškodňovanie nepoužitých veterinárnych liekov, prípadne odpadových materiálov vytvorených pri používaní týchto liekov.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rFonts w:eastAsia="Arial"/>
          <w:szCs w:val="22"/>
        </w:rPr>
      </w:pPr>
      <w:r w:rsidRPr="006E1862">
        <w:rPr>
          <w:szCs w:val="22"/>
        </w:rPr>
        <w:t>Každý nepoužitý veterinárny liek alebo odpadové materiály z tohto veterinárneho lieku musia byť zlikvidované v súlade s miestnymi požiadavkami.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6E1862">
        <w:rPr>
          <w:b/>
          <w:szCs w:val="22"/>
        </w:rPr>
        <w:t>7.</w:t>
      </w:r>
      <w:r w:rsidRPr="006E1862">
        <w:rPr>
          <w:b/>
          <w:szCs w:val="22"/>
        </w:rPr>
        <w:tab/>
        <w:t>DRŽITEĽ ROZHODNUTIA O REGISTRÁCII</w:t>
      </w: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1862">
        <w:rPr>
          <w:szCs w:val="22"/>
        </w:rPr>
        <w:t>Huvepharma</w:t>
      </w:r>
      <w:proofErr w:type="spellEnd"/>
      <w:r w:rsidRPr="006E1862">
        <w:rPr>
          <w:szCs w:val="22"/>
        </w:rPr>
        <w:t xml:space="preserve"> NV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 w:rsidRPr="006E1862">
        <w:rPr>
          <w:szCs w:val="22"/>
        </w:rPr>
        <w:t>Uitbreidingstraat</w:t>
      </w:r>
      <w:proofErr w:type="spellEnd"/>
      <w:r w:rsidRPr="006E1862">
        <w:rPr>
          <w:szCs w:val="22"/>
        </w:rPr>
        <w:t xml:space="preserve"> 80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2600 Antverpy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Belgicko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8.</w:t>
      </w:r>
      <w:r w:rsidRPr="006E1862">
        <w:rPr>
          <w:b/>
          <w:szCs w:val="22"/>
        </w:rPr>
        <w:tab/>
        <w:t>REGISTRAČNÉ ČÍSLO</w:t>
      </w:r>
    </w:p>
    <w:p w:rsidR="006E1862" w:rsidRPr="006E1862" w:rsidRDefault="006E1862" w:rsidP="006E1862">
      <w:pPr>
        <w:spacing w:before="18" w:line="240" w:lineRule="auto"/>
        <w:ind w:left="20" w:right="-20"/>
        <w:rPr>
          <w:rFonts w:eastAsia="Arial"/>
          <w:szCs w:val="22"/>
        </w:rPr>
      </w:pPr>
    </w:p>
    <w:p w:rsid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96/058/DC/18-S</w:t>
      </w: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szCs w:val="22"/>
        </w:rPr>
      </w:pPr>
      <w:r w:rsidRPr="006E1862">
        <w:rPr>
          <w:b/>
          <w:szCs w:val="22"/>
        </w:rPr>
        <w:t>9.</w:t>
      </w:r>
      <w:r w:rsidRPr="006E1862">
        <w:rPr>
          <w:b/>
          <w:szCs w:val="22"/>
        </w:rPr>
        <w:tab/>
        <w:t>DÁTUM PRVEJ REGISTRÁCIE/PREDĹŽENIA REGISTRÁCIE</w:t>
      </w:r>
    </w:p>
    <w:p w:rsidR="006E1862" w:rsidRPr="006E1862" w:rsidRDefault="006E1862" w:rsidP="006E1862">
      <w:pPr>
        <w:spacing w:line="224" w:lineRule="exact"/>
        <w:ind w:left="24" w:right="-20"/>
        <w:rPr>
          <w:rFonts w:eastAsia="Arial"/>
          <w:szCs w:val="22"/>
        </w:rPr>
      </w:pPr>
    </w:p>
    <w:p w:rsidR="004E43B2" w:rsidRDefault="004E43B2" w:rsidP="004E43B2">
      <w:pPr>
        <w:rPr>
          <w:bCs/>
        </w:rPr>
      </w:pPr>
      <w:r>
        <w:rPr>
          <w:bCs/>
        </w:rPr>
        <w:t xml:space="preserve">Dátum prvej registrácie: </w:t>
      </w:r>
      <w:r>
        <w:rPr>
          <w:bCs/>
        </w:rPr>
        <w:t>26/10/2018</w:t>
      </w:r>
      <w:bookmarkStart w:id="0" w:name="_GoBack"/>
      <w:bookmarkEnd w:id="0"/>
    </w:p>
    <w:p w:rsidR="004E43B2" w:rsidRPr="00C44D51" w:rsidRDefault="004E43B2" w:rsidP="004E43B2">
      <w:pPr>
        <w:rPr>
          <w:bCs/>
        </w:rPr>
      </w:pPr>
      <w:r>
        <w:rPr>
          <w:bCs/>
        </w:rPr>
        <w:t>Dátum posledného predĺženia:</w:t>
      </w:r>
    </w:p>
    <w:p w:rsidR="00C177A1" w:rsidRPr="006E1862" w:rsidRDefault="00C177A1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  <w:r w:rsidRPr="006E1862">
        <w:rPr>
          <w:b/>
          <w:szCs w:val="22"/>
        </w:rPr>
        <w:t>10.</w:t>
      </w:r>
      <w:r w:rsidRPr="006E1862">
        <w:rPr>
          <w:b/>
          <w:szCs w:val="22"/>
        </w:rPr>
        <w:tab/>
        <w:t>DÁTUM REVÍZIE TEXTU</w:t>
      </w: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6E1862" w:rsidRDefault="006E1862" w:rsidP="006E1862">
      <w:pPr>
        <w:keepNext/>
        <w:keepLines/>
        <w:tabs>
          <w:tab w:val="clear" w:pos="567"/>
        </w:tabs>
        <w:spacing w:line="240" w:lineRule="auto"/>
        <w:rPr>
          <w:b/>
          <w:szCs w:val="22"/>
        </w:rPr>
      </w:pPr>
    </w:p>
    <w:p w:rsidR="006E1862" w:rsidRPr="006E1862" w:rsidRDefault="006E1862" w:rsidP="006E1862">
      <w:pPr>
        <w:spacing w:line="224" w:lineRule="exact"/>
        <w:ind w:left="20" w:right="-50"/>
        <w:rPr>
          <w:rFonts w:eastAsia="Arial"/>
          <w:szCs w:val="22"/>
        </w:rPr>
      </w:pPr>
    </w:p>
    <w:p w:rsidR="006E1862" w:rsidRPr="006E1862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 w:rsidRPr="006E1862">
        <w:rPr>
          <w:szCs w:val="22"/>
        </w:rPr>
        <w:t>Výdaj lieku je viazaný na veterinárny predpis.</w:t>
      </w: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jc w:val="center"/>
        <w:rPr>
          <w:b/>
          <w:bCs/>
          <w:szCs w:val="22"/>
        </w:rPr>
      </w:pPr>
    </w:p>
    <w:p w:rsidR="00C177A1" w:rsidRPr="00EB25BE" w:rsidRDefault="00C177A1" w:rsidP="006E1862">
      <w:pPr>
        <w:autoSpaceDE w:val="0"/>
        <w:autoSpaceDN w:val="0"/>
        <w:adjustRightInd w:val="0"/>
        <w:spacing w:line="240" w:lineRule="auto"/>
        <w:sectPr w:rsidR="00C177A1" w:rsidRPr="00EB25BE">
          <w:footerReference w:type="default" r:id="rId7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tbl>
      <w:tblPr>
        <w:tblW w:w="9639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9639"/>
      </w:tblGrid>
      <w:tr w:rsidR="006E1862" w:rsidRPr="00EB25BE" w:rsidTr="006E1862">
        <w:trPr>
          <w:trHeight w:val="502"/>
        </w:trPr>
        <w:tc>
          <w:tcPr>
            <w:tcW w:w="9639" w:type="dxa"/>
            <w:tcBorders>
              <w:top w:val="single" w:sz="8" w:space="0" w:color="000000"/>
              <w:bottom w:val="single" w:sz="8" w:space="0" w:color="000000"/>
            </w:tcBorders>
          </w:tcPr>
          <w:p w:rsidR="006E1862" w:rsidRPr="00EB25BE" w:rsidRDefault="006E1862" w:rsidP="00C177A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ÚDAJE, KTORÉ MAJÚ BYŤ UVEDENÉ NA VONKAJŠOM A VNÚTORNOM OBALE</w:t>
            </w:r>
          </w:p>
          <w:p w:rsidR="006E1862" w:rsidRPr="00EB25BE" w:rsidRDefault="006E1862" w:rsidP="00C177A1">
            <w:pPr>
              <w:autoSpaceDE w:val="0"/>
              <w:autoSpaceDN w:val="0"/>
              <w:adjustRightInd w:val="0"/>
              <w:spacing w:line="240" w:lineRule="auto"/>
              <w:rPr>
                <w:color w:val="000000"/>
              </w:rPr>
            </w:pPr>
          </w:p>
          <w:p w:rsidR="006E1862" w:rsidRPr="00EB25BE" w:rsidRDefault="006E1862" w:rsidP="00C177A1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Krabica z kartónu s 25 alebo 50 vreckami hmotnosti 1,812 g; vrecko s hmotnosťou 1811,6 g; fľaša 90,58 g </w:t>
            </w:r>
          </w:p>
        </w:tc>
      </w:tr>
    </w:tbl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iCs/>
          <w:szCs w:val="22"/>
        </w:rPr>
      </w:pPr>
    </w:p>
    <w:p w:rsidR="006E1862" w:rsidRPr="00EB25BE" w:rsidRDefault="006E1862" w:rsidP="006E1862">
      <w:pPr>
        <w:tabs>
          <w:tab w:val="clear" w:pos="567"/>
          <w:tab w:val="left" w:pos="795"/>
        </w:tabs>
        <w:spacing w:line="240" w:lineRule="auto"/>
        <w:rPr>
          <w:szCs w:val="22"/>
        </w:rPr>
      </w:pPr>
      <w:proofErr w:type="spellStart"/>
      <w:r>
        <w:t>Apravet</w:t>
      </w:r>
      <w:proofErr w:type="spellEnd"/>
      <w:r>
        <w:t xml:space="preserve"> 552 IU/mg prášok na použitie v pitnej vode/mlieku pre ošípané, teľatá, kurčatá a králiky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proofErr w:type="spellStart"/>
      <w:r>
        <w:t>Apramycín</w:t>
      </w:r>
      <w:proofErr w:type="spellEnd"/>
      <w:r>
        <w:t xml:space="preserve"> (ako </w:t>
      </w:r>
      <w:proofErr w:type="spellStart"/>
      <w:r>
        <w:t>apramycínsulfát</w:t>
      </w:r>
      <w:proofErr w:type="spellEnd"/>
      <w:r>
        <w:t>)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>ÚČINNÉ LÁTKY</w:t>
            </w:r>
          </w:p>
        </w:tc>
      </w:tr>
    </w:tbl>
    <w:p w:rsidR="006E1862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066F44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Každý mg obsahuje:</w:t>
      </w:r>
    </w:p>
    <w:p w:rsidR="006E1862" w:rsidRPr="00A96984" w:rsidRDefault="006E1862" w:rsidP="006E1862">
      <w:pPr>
        <w:tabs>
          <w:tab w:val="clear" w:pos="567"/>
        </w:tabs>
        <w:spacing w:line="240" w:lineRule="auto"/>
        <w:rPr>
          <w:szCs w:val="22"/>
        </w:rPr>
      </w:pPr>
    </w:p>
    <w:p w:rsidR="006E1862" w:rsidRPr="008A16CB" w:rsidRDefault="006E1862" w:rsidP="006E1862">
      <w:pPr>
        <w:tabs>
          <w:tab w:val="clear" w:pos="567"/>
        </w:tabs>
        <w:spacing w:line="240" w:lineRule="auto"/>
        <w:rPr>
          <w:b/>
          <w:szCs w:val="22"/>
        </w:rPr>
      </w:pPr>
      <w:r w:rsidRPr="008A16CB">
        <w:rPr>
          <w:b/>
        </w:rPr>
        <w:t>Účinná látka:</w:t>
      </w:r>
    </w:p>
    <w:p w:rsidR="006E1862" w:rsidRPr="00066F44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Apramycín</w:t>
      </w:r>
      <w:proofErr w:type="spellEnd"/>
      <w:r>
        <w:tab/>
      </w:r>
      <w:r>
        <w:tab/>
      </w:r>
      <w:r>
        <w:tab/>
      </w:r>
      <w:r>
        <w:tab/>
        <w:t>552 IU *</w:t>
      </w:r>
    </w:p>
    <w:p w:rsidR="006E1862" w:rsidRPr="00066F44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 xml:space="preserve">(ako </w:t>
      </w:r>
      <w:proofErr w:type="spellStart"/>
      <w:r>
        <w:t>apramycínsulfát</w:t>
      </w:r>
      <w:proofErr w:type="spellEnd"/>
      <w:r>
        <w:t>)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  <w:r>
        <w:t>*IU – medzinárodné jednotky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LIEKOVÁ FORMA 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Default="006E1862" w:rsidP="006E1862">
      <w:pPr>
        <w:rPr>
          <w:szCs w:val="22"/>
        </w:rPr>
      </w:pPr>
      <w:r>
        <w:t>Prášok na použitie v pitnej vode/mlieku.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VEĽKOSŤ BALENIA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jc w:val="both"/>
      </w:pPr>
      <w:r>
        <w:t>90,58 g alebo 50 000 000 IU.</w:t>
      </w: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25 x 1,812 g alebo 1 000 000 IU. </w:t>
      </w:r>
    </w:p>
    <w:p w:rsidR="006E1862" w:rsidRDefault="006E1862" w:rsidP="006E1862">
      <w:pPr>
        <w:keepNext/>
        <w:keepLines/>
        <w:tabs>
          <w:tab w:val="clear" w:pos="567"/>
        </w:tabs>
        <w:spacing w:line="240" w:lineRule="auto"/>
        <w:jc w:val="both"/>
      </w:pPr>
      <w:r>
        <w:t xml:space="preserve">50 x 1,812 g alebo 1 000 000 IU. </w:t>
      </w:r>
    </w:p>
    <w:p w:rsidR="006E1862" w:rsidRPr="006C44C5" w:rsidRDefault="006E1862" w:rsidP="006E1862">
      <w:pPr>
        <w:autoSpaceDE w:val="0"/>
        <w:autoSpaceDN w:val="0"/>
        <w:adjustRightInd w:val="0"/>
        <w:spacing w:line="240" w:lineRule="auto"/>
      </w:pPr>
      <w:r>
        <w:t>1811,6 g alebo 1 000 000 000 IU.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CIEĽOVÉ DRUHY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szCs w:val="22"/>
        </w:rPr>
      </w:pPr>
      <w:r>
        <w:t>Ošípané (odstavené prasiatka), hovädzí dobytok (</w:t>
      </w:r>
      <w:proofErr w:type="spellStart"/>
      <w:r>
        <w:t>neruminujúce</w:t>
      </w:r>
      <w:proofErr w:type="spellEnd"/>
      <w:r>
        <w:t xml:space="preserve"> teľatá), kurčatá (brojlery) a králiky.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INDIKÁCIE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Pred použitím si prečítajte písomnú informáciu pre používateľov. 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SPÔSOB  A CESTA PODANIA LIEKU</w:t>
            </w:r>
          </w:p>
        </w:tc>
      </w:tr>
    </w:tbl>
    <w:p w:rsidR="006E1862" w:rsidRDefault="006E1862" w:rsidP="006E1862">
      <w:pPr>
        <w:autoSpaceDE w:val="0"/>
        <w:autoSpaceDN w:val="0"/>
        <w:adjustRightInd w:val="0"/>
        <w:spacing w:line="240" w:lineRule="auto"/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Na použitie v pitnej vode/mlieku.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  <w:highlight w:val="lightGray"/>
        </w:rPr>
        <w:t>Pred použitím si prečítajte písomnú informáciu pre používateľov.</w:t>
      </w:r>
      <w:r>
        <w:t xml:space="preserve"> 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>
              <w:rPr>
                <w:b/>
                <w:bCs/>
              </w:rPr>
              <w:tab/>
              <w:t>OCHRANNÉ LEHOTY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Ošípané: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0 dní.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Teľatá: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28 dní.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Kurčatá: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lastRenderedPageBreak/>
        <w:t>Mäso a vnútornosti: 0 dní. Nepoužívať u vtákov, ktoré produkujú alebo sú určené na produkciu vajec na ľudskú spotrebu. Nepoužívajte počas 4 týždňov pred začiatkom obdobia znášky.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Králiky:</w:t>
      </w: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Mäso a vnútornosti: 0 dní.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  <w:r>
              <w:rPr>
                <w:b/>
                <w:bCs/>
              </w:rPr>
              <w:tab/>
              <w:t>OSOBITNÉ UPOZORNENIE (-A), AK JE POTREBNÉ</w:t>
            </w:r>
          </w:p>
        </w:tc>
      </w:tr>
    </w:tbl>
    <w:p w:rsid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  <w:highlight w:val="lightGray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  <w:highlight w:val="lightGray"/>
        </w:rPr>
        <w:t>Pred použitím si prečítajte písomnú informáciu pre používateľov.</w:t>
      </w:r>
      <w:r>
        <w:t xml:space="preserve"> </w:t>
      </w:r>
      <w:r>
        <w:br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072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EXP </w:t>
      </w:r>
      <w:r>
        <w:rPr>
          <w:lang w:val="en-US"/>
        </w:rPr>
        <w:t>{</w:t>
      </w:r>
      <w:r>
        <w:t xml:space="preserve">EXP mesiac/rok} </w:t>
      </w:r>
    </w:p>
    <w:p w:rsidR="006E1862" w:rsidRPr="009E5F55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Čas použiteľnosti po prvom otvorení vnútorného obalu (fľaša a vrece): 28 dní.</w:t>
      </w:r>
    </w:p>
    <w:p w:rsidR="006E1862" w:rsidRPr="009E5F55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Čas použiteľnosti po prvom otvorení vnútorného obalu (</w:t>
      </w:r>
      <w:proofErr w:type="spellStart"/>
      <w:r>
        <w:t>sáčku</w:t>
      </w:r>
      <w:proofErr w:type="spellEnd"/>
      <w:r>
        <w:t>): Okamžite použite.</w:t>
      </w:r>
    </w:p>
    <w:p w:rsidR="006E1862" w:rsidRPr="009E5F55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Čas použiteľnosti po rozpustení v pitnej vode: 24 hodín. 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Čas použiteľnosti po rozpustení v mliečnej náhrade: Okamžite použite. Neuchovávajte.  </w:t>
      </w: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Po prvom otvorení použiť do: </w:t>
      </w:r>
      <w:r>
        <w:br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072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11.</w:t>
            </w:r>
            <w:r>
              <w:rPr>
                <w:b/>
                <w:bCs/>
              </w:rPr>
              <w:tab/>
              <w:t>OSOBITNÉ PODMIENKY NA UCHOVÁVANIE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Uchovávať pri teplote neprevyšujúcej 25°C.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  <w:r>
              <w:rPr>
                <w:b/>
                <w:bCs/>
              </w:rPr>
              <w:tab/>
              <w:t>OSOBITNÉ BEZPEČNOSTNÉ OPATRENIA NA ZNEŠKODNENIE NEPOUŽITÉHO LIEKU(-OV) ALEBO ODPADOVÉHO MATERIÁLU, V PRÍPADE POTREBY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360" w:hanging="3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Pred použitím si prečítajte písomnú informáciu pre používateľov.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  <w:r>
              <w:rPr>
                <w:b/>
                <w:bCs/>
              </w:rPr>
              <w:tab/>
              <w:t xml:space="preserve">OZNAČENIE „LEN PRE ZVIERATÁ“ A PODMIENKY ALEBO OBMEDZENIA TÝKAJÚCE SA DODÁVKY A POUŽITIA, ak sa uplatňujú 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360" w:hanging="360"/>
        <w:rPr>
          <w:szCs w:val="22"/>
        </w:rPr>
      </w:pPr>
    </w:p>
    <w:p w:rsidR="006E1862" w:rsidRP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Len pre zvieratá. Výdaj lieku je viazaný  na veterinárny predpis. </w:t>
      </w:r>
      <w:r>
        <w:br/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  <w:r>
              <w:rPr>
                <w:b/>
                <w:bCs/>
              </w:rPr>
              <w:tab/>
              <w:t>OZNAČENIE „UCHOVÁVAŤ MIMO  DOHĽADU A DOSAHU DETÍ“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Uchovávať mimo dohľadu a dosahu detí. </w:t>
      </w:r>
    </w:p>
    <w:p w:rsidR="006E1862" w:rsidRDefault="006E1862" w:rsidP="006E1862">
      <w:pPr>
        <w:rPr>
          <w:b/>
          <w:bCs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  <w:r>
              <w:rPr>
                <w:b/>
                <w:bCs/>
              </w:rPr>
              <w:tab/>
              <w:t xml:space="preserve">NÁZOV A ADRESA DRŽITEĽA ROZHODNUTIA O REGISTRÁCII 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bCs/>
          <w:szCs w:val="22"/>
        </w:rPr>
      </w:pPr>
      <w:proofErr w:type="spellStart"/>
      <w:r>
        <w:t>Huvepharma</w:t>
      </w:r>
      <w:proofErr w:type="spellEnd"/>
      <w:r>
        <w:t xml:space="preserve"> NV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bCs/>
          <w:szCs w:val="22"/>
        </w:rPr>
      </w:pPr>
      <w:proofErr w:type="spellStart"/>
      <w:r>
        <w:t>Uitbreidingstraat</w:t>
      </w:r>
      <w:proofErr w:type="spellEnd"/>
      <w:r>
        <w:t xml:space="preserve"> 80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bCs/>
          <w:szCs w:val="22"/>
        </w:rPr>
      </w:pPr>
      <w:r>
        <w:t>2600 Antverpy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bCs/>
          <w:szCs w:val="22"/>
        </w:rPr>
      </w:pPr>
      <w:r>
        <w:t>Belgicko</w:t>
      </w:r>
    </w:p>
    <w:p w:rsidR="006E1862" w:rsidRDefault="006E1862" w:rsidP="006E1862">
      <w:pPr>
        <w:rPr>
          <w:b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</w:rPr>
            </w:pPr>
            <w:r>
              <w:rPr>
                <w:b/>
              </w:rPr>
              <w:t>16.</w:t>
            </w:r>
            <w:r>
              <w:rPr>
                <w:b/>
              </w:rPr>
              <w:tab/>
              <w:t xml:space="preserve">REGISTRAČNÉ ČÍSLO 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  <w:lang w:val="nl-BE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rPr>
          <w:szCs w:val="22"/>
        </w:rPr>
        <w:t>96/058/DC/18-S</w:t>
      </w:r>
    </w:p>
    <w:p w:rsidR="006E1862" w:rsidRDefault="006E1862" w:rsidP="006E1862">
      <w:pPr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0"/>
      </w:tblGrid>
      <w:tr w:rsidR="006E1862" w:rsidTr="00C177A1">
        <w:tc>
          <w:tcPr>
            <w:tcW w:w="907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  <w:r>
              <w:rPr>
                <w:b/>
                <w:bCs/>
              </w:rPr>
              <w:tab/>
              <w:t>ČÍSLO VÝROBNEJ ŠARŽE</w:t>
            </w:r>
          </w:p>
        </w:tc>
      </w:tr>
    </w:tbl>
    <w:p w:rsidR="006E1862" w:rsidRDefault="006E1862" w:rsidP="006E1862">
      <w:pPr>
        <w:autoSpaceDE w:val="0"/>
        <w:autoSpaceDN w:val="0"/>
        <w:adjustRightInd w:val="0"/>
        <w:spacing w:line="240" w:lineRule="auto"/>
      </w:pPr>
    </w:p>
    <w:p w:rsid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Šarža {číslo</w:t>
      </w:r>
      <w:r>
        <w:rPr>
          <w:lang w:val="en-US"/>
        </w:rPr>
        <w:t>}</w:t>
      </w:r>
    </w:p>
    <w:p w:rsidR="006E1862" w:rsidRPr="00EB25BE" w:rsidRDefault="006E1862" w:rsidP="006E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b/>
          <w:bCs/>
          <w:color w:val="000000"/>
        </w:rPr>
        <w:lastRenderedPageBreak/>
        <w:t>MINIMÁLNE ÚDAJE, KTORÉ MAJÚ BYŤ UVEDENÉ NA MALOM VNÚTORNOM OBALE</w:t>
      </w:r>
    </w:p>
    <w:p w:rsidR="006E1862" w:rsidRDefault="006E1862" w:rsidP="006E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jc w:val="center"/>
        <w:rPr>
          <w:color w:val="000000"/>
        </w:rPr>
      </w:pPr>
    </w:p>
    <w:p w:rsidR="006E1862" w:rsidRPr="008A16CB" w:rsidRDefault="006E1862" w:rsidP="006E18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line="240" w:lineRule="auto"/>
        <w:rPr>
          <w:b/>
          <w:color w:val="000000"/>
        </w:rPr>
      </w:pPr>
      <w:proofErr w:type="spellStart"/>
      <w:r w:rsidRPr="008A16CB">
        <w:rPr>
          <w:b/>
          <w:color w:val="000000"/>
        </w:rPr>
        <w:t>Sáčok</w:t>
      </w:r>
      <w:proofErr w:type="spellEnd"/>
      <w:r w:rsidRPr="008A16CB">
        <w:rPr>
          <w:b/>
          <w:color w:val="000000"/>
        </w:rPr>
        <w:t xml:space="preserve"> s hmotnosťou 1,812 g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  <w:r>
              <w:rPr>
                <w:b/>
                <w:bCs/>
              </w:rPr>
              <w:tab/>
              <w:t>NÁZOV VETERINÁRNEHO LIEKU</w:t>
            </w:r>
          </w:p>
        </w:tc>
      </w:tr>
    </w:tbl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iCs/>
          <w:color w:val="000000"/>
        </w:rPr>
      </w:pP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Apravet</w:t>
      </w:r>
      <w:proofErr w:type="spellEnd"/>
      <w:r>
        <w:rPr>
          <w:color w:val="000000"/>
        </w:rPr>
        <w:t xml:space="preserve"> 552 IU/mg prášok na použitie v pitnej vode/mlieku pre ošípané, teľatá, kurčatá a králiky</w:t>
      </w: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Apramycín</w:t>
      </w:r>
      <w:proofErr w:type="spellEnd"/>
      <w:r>
        <w:rPr>
          <w:color w:val="000000"/>
        </w:rPr>
        <w:t xml:space="preserve"> (ako </w:t>
      </w:r>
      <w:proofErr w:type="spellStart"/>
      <w:r>
        <w:rPr>
          <w:color w:val="000000"/>
        </w:rPr>
        <w:t>apramycínsulfát</w:t>
      </w:r>
      <w:proofErr w:type="spellEnd"/>
      <w:r>
        <w:rPr>
          <w:color w:val="000000"/>
        </w:rPr>
        <w:t>)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  <w:r>
              <w:rPr>
                <w:b/>
                <w:bCs/>
              </w:rPr>
              <w:tab/>
              <w:t xml:space="preserve">MNOŽSTVO ÚČINNEJ LÁTKY (-OK) </w:t>
            </w:r>
          </w:p>
        </w:tc>
      </w:tr>
    </w:tbl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Každý mg obsahuje:</w:t>
      </w:r>
    </w:p>
    <w:p w:rsidR="006E1862" w:rsidRPr="00A96984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Účinná látka:</w:t>
      </w: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Apramycín</w:t>
      </w:r>
      <w:proofErr w:type="spellEnd"/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552 IU*</w:t>
      </w:r>
    </w:p>
    <w:p w:rsidR="006E1862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 xml:space="preserve">(ako </w:t>
      </w:r>
      <w:proofErr w:type="spellStart"/>
      <w:r>
        <w:rPr>
          <w:color w:val="000000"/>
        </w:rPr>
        <w:t>apramycínsulfát</w:t>
      </w:r>
      <w:proofErr w:type="spellEnd"/>
      <w:r>
        <w:rPr>
          <w:color w:val="000000"/>
        </w:rPr>
        <w:t>)</w:t>
      </w:r>
    </w:p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color w:val="000000"/>
        </w:rPr>
      </w:pPr>
      <w:r>
        <w:rPr>
          <w:color w:val="000000"/>
        </w:rPr>
        <w:t>*IU – medzinárodné jednotky</w:t>
      </w:r>
    </w:p>
    <w:p w:rsidR="006E1862" w:rsidRDefault="006E1862" w:rsidP="006E1862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6E1862" w:rsidTr="00C177A1">
        <w:tc>
          <w:tcPr>
            <w:tcW w:w="5000" w:type="pct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  <w:r>
              <w:rPr>
                <w:b/>
                <w:bCs/>
              </w:rPr>
              <w:tab/>
              <w:t xml:space="preserve">OBSAH V HMOTNOSTNÝCH, OBJEMOVÝCH JEDNOTKÁCH ALEBO POČET DÁVOK </w:t>
            </w:r>
          </w:p>
        </w:tc>
      </w:tr>
    </w:tbl>
    <w:p w:rsidR="006E1862" w:rsidRPr="00074CDF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1,812 g alebo 50 000 000 IU.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  <w:r>
              <w:rPr>
                <w:b/>
                <w:bCs/>
              </w:rPr>
              <w:tab/>
              <w:t>SP</w:t>
            </w:r>
            <w:r>
              <w:rPr>
                <w:b/>
                <w:bCs/>
                <w:caps/>
              </w:rPr>
              <w:t>ô</w:t>
            </w:r>
            <w:r>
              <w:rPr>
                <w:b/>
                <w:bCs/>
              </w:rPr>
              <w:t xml:space="preserve">SOB(-Y) PODANIA 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Na použitie v pitnej vode/mlieku.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  <w:r>
              <w:rPr>
                <w:b/>
                <w:bCs/>
              </w:rPr>
              <w:tab/>
              <w:t>OCHRANNÉ LEHOTY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Ošípané: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0 dní.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Teľatá: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28 dní.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Kurčatá:</w:t>
      </w:r>
    </w:p>
    <w:p w:rsidR="006E1862" w:rsidRPr="00EB25BE" w:rsidRDefault="006E1862" w:rsidP="006E1862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Mäso a vnútornosti: 0 dní.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Nepoužívať u vtákov, ktoré produkujú alebo sú určené na produkciu vajec na ľudskú spotrebu. Nepoužívajte počas 4 týždňov pred začiatkom obdobia znášky.</w:t>
      </w:r>
    </w:p>
    <w:p w:rsidR="006E1862" w:rsidRPr="009E5F55" w:rsidRDefault="006E1862" w:rsidP="006E1862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Králiky:</w:t>
      </w:r>
    </w:p>
    <w:p w:rsidR="006E1862" w:rsidRDefault="006E1862" w:rsidP="006E1862">
      <w:pPr>
        <w:autoSpaceDE w:val="0"/>
        <w:autoSpaceDN w:val="0"/>
        <w:adjustRightInd w:val="0"/>
        <w:spacing w:line="240" w:lineRule="auto"/>
        <w:rPr>
          <w:rFonts w:eastAsia="Calibri"/>
          <w:iCs/>
          <w:szCs w:val="22"/>
        </w:rPr>
      </w:pPr>
      <w:r>
        <w:t>Mäso a vnútornosti: 0 dní.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  <w:r>
              <w:rPr>
                <w:b/>
                <w:bCs/>
              </w:rPr>
              <w:tab/>
              <w:t>ČÍSLO ŠARŽE</w:t>
            </w:r>
          </w:p>
        </w:tc>
      </w:tr>
    </w:tbl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Šarža {číslo</w:t>
      </w:r>
      <w:r>
        <w:rPr>
          <w:lang w:val="en-US"/>
        </w:rPr>
        <w:t>}</w:t>
      </w:r>
    </w:p>
    <w:p w:rsidR="006E1862" w:rsidRDefault="006E1862" w:rsidP="006E1862">
      <w:pPr>
        <w:rPr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  <w:r>
              <w:rPr>
                <w:b/>
                <w:bCs/>
              </w:rPr>
              <w:tab/>
              <w:t>DÁTUM EXSPIRÁCIE</w:t>
            </w:r>
          </w:p>
        </w:tc>
      </w:tr>
    </w:tbl>
    <w:p w:rsidR="006E1862" w:rsidRDefault="006E1862" w:rsidP="006E1862">
      <w:pPr>
        <w:autoSpaceDE w:val="0"/>
        <w:autoSpaceDN w:val="0"/>
        <w:adjustRightInd w:val="0"/>
        <w:spacing w:line="240" w:lineRule="auto"/>
      </w:pP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EXP {mesiac/rok}</w:t>
      </w:r>
    </w:p>
    <w:p w:rsidR="006E1862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>Čas použiteľnosti po prvom otvorení vnútorného obalu: okamžite použite.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Čas použiteľnosti po rozpustení v pitnej vode: 24 hodín. </w:t>
      </w:r>
    </w:p>
    <w:p w:rsidR="006E1862" w:rsidRPr="00EB25BE" w:rsidRDefault="006E1862" w:rsidP="006E1862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Čas použiteľnosti po rozpustení v mliečnej náhrade: Okamžite použite. Neuchovávajte. 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6E1862" w:rsidTr="00C177A1">
        <w:tc>
          <w:tcPr>
            <w:tcW w:w="9250" w:type="dxa"/>
          </w:tcPr>
          <w:p w:rsidR="006E1862" w:rsidRDefault="006E1862" w:rsidP="00C177A1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8.</w:t>
            </w:r>
            <w:r>
              <w:rPr>
                <w:b/>
                <w:bCs/>
              </w:rPr>
              <w:tab/>
              <w:t>OZNAČENIE „LEN PRE ZVIERATÁ“</w:t>
            </w:r>
          </w:p>
        </w:tc>
      </w:tr>
    </w:tbl>
    <w:p w:rsidR="006E1862" w:rsidRDefault="006E1862" w:rsidP="006E1862">
      <w:pPr>
        <w:rPr>
          <w:bCs/>
        </w:rPr>
      </w:pPr>
    </w:p>
    <w:p w:rsidR="00C177A1" w:rsidRDefault="00C177A1" w:rsidP="006E1862">
      <w:r>
        <w:t>Len pre zvieratá.</w:t>
      </w:r>
    </w:p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Default="00C177A1" w:rsidP="006E1862"/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right="100"/>
        <w:jc w:val="center"/>
        <w:rPr>
          <w:b/>
          <w:bCs/>
        </w:rPr>
      </w:pPr>
      <w:r>
        <w:rPr>
          <w:b/>
          <w:bCs/>
        </w:rPr>
        <w:t>PÍSOMNÁ INFORMÁCIA PRE POUŽÍVATEĽOV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  <w:proofErr w:type="spellStart"/>
      <w:r>
        <w:rPr>
          <w:b/>
          <w:color w:val="000000"/>
        </w:rPr>
        <w:t>Apravet</w:t>
      </w:r>
      <w:proofErr w:type="spellEnd"/>
      <w:r>
        <w:rPr>
          <w:b/>
          <w:color w:val="000000"/>
        </w:rPr>
        <w:t xml:space="preserve"> 552 IU/</w:t>
      </w:r>
      <w:r w:rsidRPr="008A16CB">
        <w:rPr>
          <w:b/>
          <w:color w:val="000000"/>
        </w:rPr>
        <w:t>mg p</w:t>
      </w:r>
      <w:r>
        <w:rPr>
          <w:b/>
          <w:color w:val="000000"/>
        </w:rPr>
        <w:t>rášok na použitie v pitnej vode/</w:t>
      </w:r>
      <w:r w:rsidRPr="008A16CB">
        <w:rPr>
          <w:b/>
          <w:color w:val="000000"/>
        </w:rPr>
        <w:t>mlieku pre ošípané, teľatá, kurčatá a</w:t>
      </w:r>
      <w:r>
        <w:rPr>
          <w:b/>
          <w:color w:val="000000"/>
        </w:rPr>
        <w:t> </w:t>
      </w:r>
      <w:r w:rsidRPr="008A16CB">
        <w:rPr>
          <w:b/>
          <w:color w:val="000000"/>
        </w:rPr>
        <w:t>králiky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jc w:val="center"/>
        <w:rPr>
          <w:b/>
          <w:color w:val="000000"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270" w:hanging="270"/>
        <w:rPr>
          <w:b/>
          <w:bCs/>
        </w:rPr>
      </w:pPr>
      <w:r>
        <w:rPr>
          <w:b/>
          <w:bCs/>
        </w:rPr>
        <w:t xml:space="preserve">1. NÁZOV A ADRESA DRŽITEĽA ROZHODNUTIA O REGISTRÁCII A DRŽITEĽA POVOLENIA NA VÝROBU ZODPOVEDNÉHO ZA UVOĽNENIE ŠARŽE, AK NIE SÚ IDENTICKÍ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270" w:hanging="270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>
        <w:rPr>
          <w:u w:val="single"/>
        </w:rPr>
        <w:t xml:space="preserve">Držiteľ rozhodnutia o registrácii: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600" w:hanging="600"/>
        <w:rPr>
          <w:bCs/>
        </w:rPr>
      </w:pPr>
      <w:proofErr w:type="spellStart"/>
      <w:r>
        <w:t>Huvepharma</w:t>
      </w:r>
      <w:proofErr w:type="spellEnd"/>
      <w:r>
        <w:t xml:space="preserve"> NV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600" w:hanging="600"/>
        <w:rPr>
          <w:bCs/>
        </w:rPr>
      </w:pPr>
      <w:proofErr w:type="spellStart"/>
      <w:r>
        <w:t>Uitbreidingstraat</w:t>
      </w:r>
      <w:proofErr w:type="spellEnd"/>
      <w:r>
        <w:t xml:space="preserve"> 80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600" w:hanging="600"/>
        <w:rPr>
          <w:bCs/>
        </w:rPr>
      </w:pPr>
      <w:r>
        <w:t>2600 Antverpy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600" w:hanging="600"/>
        <w:rPr>
          <w:bCs/>
        </w:rPr>
      </w:pPr>
      <w:r>
        <w:t>Belgicko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600" w:hanging="600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  <w:r>
        <w:rPr>
          <w:u w:val="single"/>
        </w:rPr>
        <w:t xml:space="preserve">Výrobca zodpovedný za uvoľnenie šarže: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Cs/>
        </w:rPr>
      </w:pPr>
      <w:proofErr w:type="spellStart"/>
      <w:r>
        <w:t>Biovet</w:t>
      </w:r>
      <w:proofErr w:type="spellEnd"/>
      <w:r>
        <w:t xml:space="preserve"> JSC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Cs/>
        </w:rPr>
      </w:pPr>
      <w:r>
        <w:t xml:space="preserve">39 </w:t>
      </w:r>
      <w:proofErr w:type="spellStart"/>
      <w:r>
        <w:t>Petar</w:t>
      </w:r>
      <w:proofErr w:type="spellEnd"/>
      <w:r>
        <w:t xml:space="preserve"> Rakov </w:t>
      </w:r>
      <w:proofErr w:type="spellStart"/>
      <w:r>
        <w:t>Street</w:t>
      </w:r>
      <w:proofErr w:type="spellEnd"/>
      <w:r>
        <w:t>,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Cs/>
        </w:rPr>
      </w:pPr>
      <w:r>
        <w:t xml:space="preserve">4550 </w:t>
      </w:r>
      <w:proofErr w:type="spellStart"/>
      <w:r>
        <w:t>Peshtera</w:t>
      </w:r>
      <w:proofErr w:type="spellEnd"/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Cs/>
        </w:rPr>
      </w:pPr>
      <w:r>
        <w:t>Bulharsko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Cs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/>
          <w:bCs/>
        </w:rPr>
      </w:pPr>
      <w:r>
        <w:rPr>
          <w:b/>
          <w:bCs/>
        </w:rPr>
        <w:t xml:space="preserve">2. NÁZOV VETERINÁRNEHO LIEKU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</w:p>
    <w:p w:rsidR="00C177A1" w:rsidRPr="00074CDF" w:rsidRDefault="00C177A1" w:rsidP="00C177A1">
      <w:pPr>
        <w:autoSpaceDE w:val="0"/>
        <w:autoSpaceDN w:val="0"/>
        <w:adjustRightInd w:val="0"/>
        <w:spacing w:line="240" w:lineRule="auto"/>
        <w:rPr>
          <w:color w:val="000000"/>
        </w:rPr>
      </w:pPr>
      <w:proofErr w:type="spellStart"/>
      <w:r>
        <w:rPr>
          <w:color w:val="000000"/>
        </w:rPr>
        <w:t>Apravet</w:t>
      </w:r>
      <w:proofErr w:type="spellEnd"/>
      <w:r>
        <w:rPr>
          <w:color w:val="000000"/>
        </w:rPr>
        <w:t xml:space="preserve"> 552 IU/mg prášok na použitie v pitnej vode/mlieku pre ošípané, teľatá, kurčatá a králiky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  <w:proofErr w:type="spellStart"/>
      <w:r>
        <w:t>Apramycín</w:t>
      </w:r>
      <w:proofErr w:type="spellEnd"/>
      <w:r>
        <w:t xml:space="preserve"> (ako </w:t>
      </w:r>
      <w:proofErr w:type="spellStart"/>
      <w:r>
        <w:t>apramycínsulfát</w:t>
      </w:r>
      <w:proofErr w:type="spellEnd"/>
      <w:r>
        <w:t>)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>
        <w:rPr>
          <w:b/>
          <w:bCs/>
        </w:rPr>
        <w:br/>
        <w:t xml:space="preserve">3. OBSAH ÚČINNEJ LÁTKY A INEJ LÁTKY </w:t>
      </w:r>
      <w:r>
        <w:rPr>
          <w:b/>
          <w:bCs/>
        </w:rPr>
        <w:br/>
      </w:r>
    </w:p>
    <w:p w:rsidR="00C177A1" w:rsidRPr="00066F44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Každý mg obsahuje:</w:t>
      </w:r>
    </w:p>
    <w:p w:rsidR="00C177A1" w:rsidRPr="00A96984" w:rsidRDefault="00C177A1" w:rsidP="00C177A1">
      <w:pPr>
        <w:tabs>
          <w:tab w:val="clear" w:pos="567"/>
        </w:tabs>
        <w:spacing w:line="240" w:lineRule="auto"/>
        <w:rPr>
          <w:szCs w:val="22"/>
        </w:rPr>
      </w:pPr>
    </w:p>
    <w:p w:rsidR="00C177A1" w:rsidRPr="008A16CB" w:rsidRDefault="00C177A1" w:rsidP="00C177A1">
      <w:pPr>
        <w:tabs>
          <w:tab w:val="clear" w:pos="567"/>
        </w:tabs>
        <w:spacing w:line="240" w:lineRule="auto"/>
        <w:rPr>
          <w:b/>
          <w:szCs w:val="22"/>
        </w:rPr>
      </w:pPr>
      <w:r w:rsidRPr="008A16CB">
        <w:rPr>
          <w:b/>
        </w:rPr>
        <w:t>Účinná látka:</w:t>
      </w:r>
    </w:p>
    <w:p w:rsidR="00C177A1" w:rsidRPr="00066F44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Apramycín</w:t>
      </w:r>
      <w:proofErr w:type="spellEnd"/>
      <w:r>
        <w:tab/>
      </w:r>
      <w:r>
        <w:tab/>
      </w:r>
      <w:r>
        <w:tab/>
      </w:r>
      <w:r>
        <w:tab/>
        <w:t>552 IU*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(ako </w:t>
      </w:r>
      <w:proofErr w:type="spellStart"/>
      <w:r>
        <w:t>apramycínsulfát</w:t>
      </w:r>
      <w:proofErr w:type="spellEnd"/>
      <w:r>
        <w:t>)</w:t>
      </w:r>
    </w:p>
    <w:p w:rsidR="00C177A1" w:rsidRPr="00066F44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*IU – medzinárodné jednotky</w:t>
      </w:r>
    </w:p>
    <w:p w:rsidR="00C177A1" w:rsidRPr="00A96984" w:rsidRDefault="00C177A1" w:rsidP="00C177A1">
      <w:pPr>
        <w:tabs>
          <w:tab w:val="clear" w:pos="567"/>
          <w:tab w:val="left" w:pos="1701"/>
        </w:tabs>
        <w:spacing w:line="240" w:lineRule="auto"/>
        <w:rPr>
          <w:szCs w:val="22"/>
        </w:rPr>
      </w:pPr>
    </w:p>
    <w:p w:rsidR="00C177A1" w:rsidRPr="008A16CB" w:rsidRDefault="00C177A1" w:rsidP="00C177A1">
      <w:pPr>
        <w:tabs>
          <w:tab w:val="clear" w:pos="567"/>
        </w:tabs>
        <w:spacing w:line="240" w:lineRule="auto"/>
        <w:rPr>
          <w:b/>
          <w:szCs w:val="22"/>
        </w:rPr>
      </w:pPr>
      <w:r w:rsidRPr="008A16CB">
        <w:rPr>
          <w:b/>
        </w:rPr>
        <w:t>Pomocné látky: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Žiadne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C177A1" w:rsidRPr="00EB25BE" w:rsidRDefault="00C177A1" w:rsidP="00C177A1">
      <w:pPr>
        <w:rPr>
          <w:sz w:val="24"/>
          <w:szCs w:val="24"/>
        </w:rPr>
      </w:pPr>
      <w:r>
        <w:t>Prášok na použitie v pitnej vode/mlieku.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Takmer biely až žltý prášok.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  <w:r>
        <w:rPr>
          <w:b/>
          <w:bCs/>
        </w:rPr>
        <w:t>4. INDIKÁCIE</w:t>
      </w:r>
      <w:r>
        <w:rPr>
          <w:b/>
          <w:bCs/>
        </w:rPr>
        <w:br/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Ošípané (odstavené prasiatka):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bakteriálnej </w:t>
      </w:r>
      <w:proofErr w:type="spellStart"/>
      <w:r>
        <w:t>enteritídy</w:t>
      </w:r>
      <w:proofErr w:type="spellEnd"/>
      <w:r>
        <w:t xml:space="preserve"> spôsobenej baktériou </w:t>
      </w:r>
      <w:proofErr w:type="spellStart"/>
      <w:r w:rsidRPr="008A16CB">
        <w:rPr>
          <w:i/>
        </w:rPr>
        <w:t>Escherichia</w:t>
      </w:r>
      <w:proofErr w:type="spellEnd"/>
      <w:r w:rsidRPr="008A16CB">
        <w:rPr>
          <w:i/>
        </w:rPr>
        <w:t xml:space="preserve"> </w:t>
      </w:r>
      <w:proofErr w:type="spellStart"/>
      <w:r w:rsidRPr="008A16CB">
        <w:rPr>
          <w:i/>
        </w:rPr>
        <w:t>coli</w:t>
      </w:r>
      <w:proofErr w:type="spellEnd"/>
      <w:r>
        <w:t xml:space="preserve"> citlivou na </w:t>
      </w:r>
      <w:proofErr w:type="spellStart"/>
      <w:r>
        <w:t>apramycín</w:t>
      </w:r>
      <w:proofErr w:type="spellEnd"/>
      <w:r>
        <w:t>.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t>Neruminujúce</w:t>
      </w:r>
      <w:proofErr w:type="spellEnd"/>
      <w:r>
        <w:t xml:space="preserve"> teľatá: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bakteriálnej </w:t>
      </w:r>
      <w:proofErr w:type="spellStart"/>
      <w:r>
        <w:t>enteritídy</w:t>
      </w:r>
      <w:proofErr w:type="spellEnd"/>
      <w:r>
        <w:t xml:space="preserve"> spôsobenej baktériou </w:t>
      </w:r>
      <w:proofErr w:type="spellStart"/>
      <w:r w:rsidRPr="008A16CB">
        <w:rPr>
          <w:i/>
        </w:rPr>
        <w:t>Escherichia</w:t>
      </w:r>
      <w:proofErr w:type="spellEnd"/>
      <w:r w:rsidRPr="008A16CB">
        <w:rPr>
          <w:i/>
        </w:rPr>
        <w:t xml:space="preserve"> </w:t>
      </w:r>
      <w:proofErr w:type="spellStart"/>
      <w:r w:rsidRPr="008A16CB">
        <w:rPr>
          <w:i/>
        </w:rPr>
        <w:t>coli</w:t>
      </w:r>
      <w:proofErr w:type="spellEnd"/>
      <w:r>
        <w:t xml:space="preserve"> a klinických ohnísk nákazy spôsobenej baktériou </w:t>
      </w:r>
      <w:proofErr w:type="spellStart"/>
      <w:r>
        <w:rPr>
          <w:i/>
          <w:szCs w:val="22"/>
        </w:rPr>
        <w:t>Salmonella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t xml:space="preserve"> </w:t>
      </w:r>
      <w:proofErr w:type="spellStart"/>
      <w:r>
        <w:t>subsp</w:t>
      </w:r>
      <w:proofErr w:type="spellEnd"/>
      <w:r>
        <w:t xml:space="preserve">. 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enterica</w:t>
      </w:r>
      <w:proofErr w:type="spellEnd"/>
      <w:r>
        <w:t xml:space="preserve"> </w:t>
      </w:r>
      <w:proofErr w:type="spellStart"/>
      <w:r>
        <w:t>sérovar</w:t>
      </w:r>
      <w:proofErr w:type="spellEnd"/>
      <w:r>
        <w:t xml:space="preserve"> Dublin </w:t>
      </w:r>
      <w:r w:rsidRPr="008A16CB">
        <w:rPr>
          <w:szCs w:val="22"/>
        </w:rPr>
        <w:t>(</w:t>
      </w:r>
      <w:proofErr w:type="spellStart"/>
      <w:r>
        <w:rPr>
          <w:i/>
          <w:szCs w:val="22"/>
        </w:rPr>
        <w:t>Salmonella</w:t>
      </w:r>
      <w:proofErr w:type="spellEnd"/>
      <w:r>
        <w:t xml:space="preserve"> Dublin</w:t>
      </w:r>
      <w:r w:rsidRPr="008A16CB">
        <w:rPr>
          <w:szCs w:val="22"/>
        </w:rPr>
        <w:t>)</w:t>
      </w:r>
      <w:r>
        <w:t xml:space="preserve"> citlivou  na </w:t>
      </w:r>
      <w:proofErr w:type="spellStart"/>
      <w:r>
        <w:t>apramycín</w:t>
      </w:r>
      <w:proofErr w:type="spellEnd"/>
      <w:r>
        <w:t xml:space="preserve">. Liečba by mala byť založená na predchádzajúcom potvrdení prítomnosti </w:t>
      </w:r>
      <w:proofErr w:type="spellStart"/>
      <w:r>
        <w:t>sérovarov</w:t>
      </w:r>
      <w:proofErr w:type="spellEnd"/>
      <w:r>
        <w:t xml:space="preserve"> </w:t>
      </w:r>
      <w:proofErr w:type="spellStart"/>
      <w:r>
        <w:rPr>
          <w:i/>
          <w:szCs w:val="22"/>
        </w:rPr>
        <w:lastRenderedPageBreak/>
        <w:t>Salmonella</w:t>
      </w:r>
      <w:proofErr w:type="spellEnd"/>
      <w:r>
        <w:t xml:space="preserve"> alebo aspoň na dostupnosti epidemiologických údajov potvrdzujúcich prítomnosť tohto </w:t>
      </w:r>
      <w:proofErr w:type="spellStart"/>
      <w:r>
        <w:t>sérovaru</w:t>
      </w:r>
      <w:proofErr w:type="spellEnd"/>
      <w:r>
        <w:t>.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Kurčatá: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</w:t>
      </w:r>
      <w:proofErr w:type="spellStart"/>
      <w:r>
        <w:t>kolibacilózy</w:t>
      </w:r>
      <w:proofErr w:type="spellEnd"/>
      <w:r>
        <w:t xml:space="preserve"> spôsobenej baktériou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 citlivou na </w:t>
      </w:r>
      <w:proofErr w:type="spellStart"/>
      <w:r>
        <w:t>apramycín</w:t>
      </w:r>
      <w:proofErr w:type="spellEnd"/>
      <w:r>
        <w:t>.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Králiky: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Liečba a </w:t>
      </w:r>
      <w:proofErr w:type="spellStart"/>
      <w:r>
        <w:t>metafylaxia</w:t>
      </w:r>
      <w:proofErr w:type="spellEnd"/>
      <w:r>
        <w:t xml:space="preserve"> bakteriálnej </w:t>
      </w:r>
      <w:proofErr w:type="spellStart"/>
      <w:r>
        <w:t>enteritídy</w:t>
      </w:r>
      <w:proofErr w:type="spellEnd"/>
      <w:r>
        <w:t xml:space="preserve"> spôsobenej baktériou</w:t>
      </w:r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Escherichia</w:t>
      </w:r>
      <w:proofErr w:type="spellEnd"/>
      <w:r>
        <w:rPr>
          <w:i/>
          <w:szCs w:val="22"/>
        </w:rPr>
        <w:t xml:space="preserve"> </w:t>
      </w:r>
      <w:proofErr w:type="spellStart"/>
      <w:r>
        <w:rPr>
          <w:i/>
          <w:szCs w:val="22"/>
        </w:rPr>
        <w:t>coli</w:t>
      </w:r>
      <w:proofErr w:type="spellEnd"/>
      <w:r>
        <w:t xml:space="preserve"> citlivou na </w:t>
      </w:r>
      <w:proofErr w:type="spellStart"/>
      <w:r>
        <w:t>apramycín</w:t>
      </w:r>
      <w:proofErr w:type="spellEnd"/>
      <w:r>
        <w:t>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  <w:r>
        <w:t>Prítomnosť ochorenia v stáde sa musí stanoviť pred použitím lieku.</w:t>
      </w:r>
    </w:p>
    <w:p w:rsidR="00C177A1" w:rsidRPr="00A31C1D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</w:rPr>
        <w:t xml:space="preserve">5. KONTRAINDIKÁCIE </w:t>
      </w:r>
      <w:r>
        <w:rPr>
          <w:b/>
          <w:bCs/>
        </w:rPr>
        <w:br/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 xml:space="preserve">Nepoužívať v prípade precitlivenosti na </w:t>
      </w:r>
      <w:proofErr w:type="spellStart"/>
      <w:r>
        <w:t>apramycín</w:t>
      </w:r>
      <w:proofErr w:type="spellEnd"/>
      <w:r>
        <w:t>.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Nepoužívať u teliat s funkčným bachorom.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Nepoužívať u zvierat, ktoré trpia poruchami funkcie obličiek.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  <w:r>
        <w:rPr>
          <w:b/>
          <w:bCs/>
        </w:rPr>
        <w:t xml:space="preserve">6. NEŽIADUCE ÚČINKY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177A1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Nie sú známe.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Ak zistíte akékoľvek nežiaduce účinky, aj tie, ktoré už nie sú uvedené v tejto písomnej informácii pre používateľov, alebo si myslíte, že liek je neúčinný, informujte vášho veterinárneho lekára. Prípadne nežiaduce účinky môžete nahlásiť národnej kompetentnej autorite {www.uskvbl.sk}.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  <w:r>
        <w:rPr>
          <w:b/>
          <w:bCs/>
        </w:rPr>
        <w:t>7. CIEĽOÝ DRUH</w:t>
      </w:r>
      <w:r>
        <w:rPr>
          <w:b/>
          <w:bCs/>
        </w:rPr>
        <w:br/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  <w:r>
        <w:t>Ošípané (odstavené prasiatka), hovädzí dobytok (</w:t>
      </w:r>
      <w:proofErr w:type="spellStart"/>
      <w:r>
        <w:t>neruminujúce</w:t>
      </w:r>
      <w:proofErr w:type="spellEnd"/>
      <w:r>
        <w:t xml:space="preserve"> teľatá), kurčatá (brojlery) a králiky.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szCs w:val="22"/>
        </w:rPr>
      </w:pPr>
      <w:r>
        <w:rPr>
          <w:b/>
          <w:bCs/>
        </w:rPr>
        <w:t xml:space="preserve">8. DÁVKOVANIE PRE KAŽDÝ DRUH, CESTA(-Y) A SPÔSOB PODANIA LIEKU </w:t>
      </w:r>
      <w:r>
        <w:rPr>
          <w:b/>
          <w:bCs/>
        </w:rPr>
        <w:br/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Spôsob podávania: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Má sa podávať v pitnej vode. Systémy pitnej vody by mali byť čisté a bez hrdze, aby sa zabránilo zníženiu aktivity.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V prípade teliat sa môže podávať v mlieku alebo mliečnej náhrade.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  <w:u w:val="single"/>
        </w:rPr>
      </w:pPr>
      <w:r>
        <w:rPr>
          <w:szCs w:val="22"/>
          <w:u w:val="single"/>
        </w:rPr>
        <w:t>Dávkovanie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Ošípané: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12 500 IU </w:t>
      </w:r>
      <w:proofErr w:type="spellStart"/>
      <w:r>
        <w:t>apramycínsulfátu</w:t>
      </w:r>
      <w:proofErr w:type="spellEnd"/>
      <w:r>
        <w:t xml:space="preserve"> na kilogram živej hmotnosti (to zodpovedá 22,5 mg lieku/kg živej hmotnosti) denne počas 7 po sebe nasledujúcich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Teľatá: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40 000 IU </w:t>
      </w:r>
      <w:proofErr w:type="spellStart"/>
      <w:r>
        <w:t>apramycínsulfátu</w:t>
      </w:r>
      <w:proofErr w:type="spellEnd"/>
      <w:r>
        <w:t xml:space="preserve"> na kilogram živej hmotnosti (to zodpovedá 72 mg lieku/kg živej hmotnosti) denne počas 5 po sebe nasledujúcich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Kurčatá: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80 000 IU </w:t>
      </w:r>
      <w:proofErr w:type="spellStart"/>
      <w:r>
        <w:t>apramycínsulfátu</w:t>
      </w:r>
      <w:proofErr w:type="spellEnd"/>
      <w:r>
        <w:t xml:space="preserve"> na kilogram živej hmotnosti (to zodpovedá 144 mg lieku/kg živej hmotnosti) denne počas 5 po sebe nasledujúcich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  <w:u w:val="single"/>
        </w:rPr>
      </w:pPr>
      <w:r>
        <w:rPr>
          <w:szCs w:val="22"/>
          <w:u w:val="single"/>
        </w:rPr>
        <w:t>Králiky: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Podávajte 20 000 IU </w:t>
      </w:r>
      <w:proofErr w:type="spellStart"/>
      <w:r>
        <w:t>apramycínsulfátu</w:t>
      </w:r>
      <w:proofErr w:type="spellEnd"/>
      <w:r>
        <w:t xml:space="preserve"> na kilogram živej hmotnosti (to zodpovedá 36 mg lieku/kg živej hmotnosti) denne počas 5 po sebe nasledujúcich dní.</w:t>
      </w:r>
    </w:p>
    <w:p w:rsidR="00C177A1" w:rsidRPr="00A31C1D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rPr>
          <w:b/>
          <w:bCs/>
        </w:rPr>
        <w:t xml:space="preserve">9. POKYN O SPRÁVNOM PODANÍ </w:t>
      </w:r>
      <w:r>
        <w:rPr>
          <w:b/>
          <w:bCs/>
        </w:rPr>
        <w:br/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lastRenderedPageBreak/>
        <w:t xml:space="preserve">Príjem </w:t>
      </w:r>
      <w:proofErr w:type="spellStart"/>
      <w:r>
        <w:t>medikovanej</w:t>
      </w:r>
      <w:proofErr w:type="spellEnd"/>
      <w:r>
        <w:t xml:space="preserve"> vody závisí od klinického stavu zvierat. Aby sa dosiahla správna dávka, koncentrácia veterinárneho lieku sa musí zodpovedajúcim spôsobom upraviť.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Množstvo lieku (mg), ktoré sa má zapracovať na 1 liter vody alebo mlieka, sa má stanoviť podľa tohto vzorca: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6"/>
        <w:gridCol w:w="820"/>
        <w:gridCol w:w="2950"/>
        <w:gridCol w:w="636"/>
        <w:gridCol w:w="3214"/>
      </w:tblGrid>
      <w:tr w:rsidR="00C177A1" w:rsidTr="00C177A1">
        <w:trPr>
          <w:trHeight w:val="383"/>
        </w:trPr>
        <w:tc>
          <w:tcPr>
            <w:tcW w:w="1956" w:type="dxa"/>
            <w:vMerge w:val="restart"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Dávka (mg lieku na kg živej hmotnosti za deň)</w:t>
            </w:r>
          </w:p>
        </w:tc>
        <w:tc>
          <w:tcPr>
            <w:tcW w:w="820" w:type="dxa"/>
            <w:vMerge w:val="restart"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X</w:t>
            </w:r>
          </w:p>
        </w:tc>
        <w:tc>
          <w:tcPr>
            <w:tcW w:w="2950" w:type="dxa"/>
            <w:vMerge w:val="restart"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priemerná živá hmotnosť (kg) zvierat, ktoré sa majú liečiť</w:t>
            </w:r>
          </w:p>
        </w:tc>
        <w:tc>
          <w:tcPr>
            <w:tcW w:w="3850" w:type="dxa"/>
            <w:gridSpan w:val="2"/>
            <w:vAlign w:val="center"/>
          </w:tcPr>
          <w:p w:rsidR="00C177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C177A1" w:rsidTr="00C177A1">
        <w:trPr>
          <w:trHeight w:val="382"/>
        </w:trPr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820" w:type="dxa"/>
            <w:vMerge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2950" w:type="dxa"/>
            <w:vMerge/>
            <w:tcBorders>
              <w:bottom w:val="single" w:sz="4" w:space="0" w:color="auto"/>
            </w:tcBorders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Merge w:val="restart"/>
            <w:vAlign w:val="center"/>
          </w:tcPr>
          <w:p w:rsidR="00C177A1" w:rsidRDefault="00C177A1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=</w:t>
            </w:r>
          </w:p>
        </w:tc>
        <w:tc>
          <w:tcPr>
            <w:tcW w:w="3214" w:type="dxa"/>
            <w:vMerge w:val="restart"/>
            <w:vAlign w:val="center"/>
          </w:tcPr>
          <w:p w:rsidR="00C177A1" w:rsidRDefault="00C177A1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mg výrobku na liter pitnej vody/mlieka</w:t>
            </w:r>
          </w:p>
        </w:tc>
      </w:tr>
      <w:tr w:rsidR="00C177A1" w:rsidTr="00C177A1">
        <w:trPr>
          <w:trHeight w:val="253"/>
        </w:trPr>
        <w:tc>
          <w:tcPr>
            <w:tcW w:w="5726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C177A1" w:rsidRDefault="00C177A1" w:rsidP="00C177A1">
            <w:pPr>
              <w:spacing w:line="240" w:lineRule="auto"/>
              <w:jc w:val="center"/>
              <w:rPr>
                <w:rFonts w:eastAsia="Calibri"/>
                <w:szCs w:val="22"/>
              </w:rPr>
            </w:pPr>
            <w:r>
              <w:t>Priemerný denný príjem vody (l/zviera)</w:t>
            </w:r>
          </w:p>
        </w:tc>
        <w:tc>
          <w:tcPr>
            <w:tcW w:w="636" w:type="dxa"/>
            <w:vMerge/>
            <w:vAlign w:val="center"/>
          </w:tcPr>
          <w:p w:rsidR="00C177A1" w:rsidRPr="00523A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Merge/>
            <w:vAlign w:val="center"/>
          </w:tcPr>
          <w:p w:rsidR="00C177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  <w:tr w:rsidR="00C177A1" w:rsidTr="00C177A1">
        <w:tc>
          <w:tcPr>
            <w:tcW w:w="5726" w:type="dxa"/>
            <w:gridSpan w:val="3"/>
            <w:vMerge/>
            <w:vAlign w:val="center"/>
          </w:tcPr>
          <w:p w:rsidR="00C177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636" w:type="dxa"/>
            <w:vAlign w:val="center"/>
          </w:tcPr>
          <w:p w:rsidR="00C177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  <w:tc>
          <w:tcPr>
            <w:tcW w:w="3214" w:type="dxa"/>
            <w:vAlign w:val="center"/>
          </w:tcPr>
          <w:p w:rsidR="00C177A1" w:rsidRDefault="00C177A1" w:rsidP="00C177A1">
            <w:pPr>
              <w:tabs>
                <w:tab w:val="clear" w:pos="567"/>
              </w:tabs>
              <w:spacing w:line="240" w:lineRule="auto"/>
              <w:jc w:val="center"/>
              <w:rPr>
                <w:rFonts w:eastAsia="Calibri"/>
                <w:szCs w:val="22"/>
              </w:rPr>
            </w:pPr>
          </w:p>
        </w:tc>
      </w:tr>
    </w:tbl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Aby sa zaistilo správne dávkovanie a predišlo </w:t>
      </w:r>
      <w:proofErr w:type="spellStart"/>
      <w:r>
        <w:t>poddávkovaniu</w:t>
      </w:r>
      <w:proofErr w:type="spellEnd"/>
      <w:r>
        <w:t xml:space="preserve">, živá hmotnosť má byť určená čo najpresnejšie. Roztok s čerstvou vodou z vodovodu (alebo mlieko/náhradu mlieka pre teľatá) pripravte bezprostredne pred použitím. Náhrada mlieka sa má pripraviť pred pridaním prášku. Roztok sa musí 5 minút intenzívne miešať. </w:t>
      </w:r>
      <w:proofErr w:type="spellStart"/>
      <w:r>
        <w:t>Medikovaná</w:t>
      </w:r>
      <w:proofErr w:type="spellEnd"/>
      <w:r>
        <w:t xml:space="preserve"> pitná voda sa má obnovovať alebo vymieňať každých 24 hodín. </w:t>
      </w:r>
      <w:proofErr w:type="spellStart"/>
      <w:r>
        <w:t>Medikované</w:t>
      </w:r>
      <w:proofErr w:type="spellEnd"/>
      <w:r>
        <w:t xml:space="preserve"> mlieko/náhrada mlieka sa má konzumovať ihneď po podaní. Počas liečby sa musí v častých intervaloch sledovať príjem vody. Aby sa zabezpečila konzumácia </w:t>
      </w:r>
      <w:proofErr w:type="spellStart"/>
      <w:r>
        <w:t>medikovanej</w:t>
      </w:r>
      <w:proofErr w:type="spellEnd"/>
      <w:r>
        <w:t xml:space="preserve"> vody, zvieratá nesmú mať počas liečby prístup k iným zdrojom vody. Po uplynutí doby podávania lieku sa má systém zásobovania vodou vhodným spôsobom vyčistiť, aby sa zabránilo príjmu </w:t>
      </w:r>
      <w:proofErr w:type="spellStart"/>
      <w:r>
        <w:t>subterapeutických</w:t>
      </w:r>
      <w:proofErr w:type="spellEnd"/>
      <w:r>
        <w:t xml:space="preserve"> množstiev účinnej látky. Ak nie je možné dosiahnuť dostatočný príjem </w:t>
      </w:r>
      <w:proofErr w:type="spellStart"/>
      <w:r>
        <w:t>medikovanej</w:t>
      </w:r>
      <w:proofErr w:type="spellEnd"/>
      <w:r>
        <w:t xml:space="preserve"> vody, zvieratá sa majú liečiť </w:t>
      </w:r>
      <w:proofErr w:type="spellStart"/>
      <w:r>
        <w:t>parenterálne</w:t>
      </w:r>
      <w:proofErr w:type="spellEnd"/>
      <w:r>
        <w:t xml:space="preserve"> (ak je to vhodné). Maximálna rozpustnosť lieku vo vode a mliečnej náhrade je približne 1000 g/l. Odporúča sa použiť vhodne kalibrované váhy, aby sa zabezpečilo odmeranie presného množstva podávaného lieku.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szCs w:val="22"/>
        </w:rPr>
      </w:pPr>
    </w:p>
    <w:p w:rsidR="00C177A1" w:rsidRPr="006E1862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/>
          <w:bCs/>
          <w:szCs w:val="22"/>
        </w:rPr>
      </w:pPr>
      <w:r w:rsidRPr="006E1862">
        <w:rPr>
          <w:b/>
          <w:bCs/>
          <w:szCs w:val="22"/>
        </w:rPr>
        <w:t>10. OCHRANNÉ LEHOTY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sz w:val="24"/>
          <w:szCs w:val="24"/>
        </w:rPr>
      </w:pP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Ošípané: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0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Teľatá: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28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Kurčatá: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Mäso a vnútornosti: 0 dní.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Nepoužívať u vtákov, ktoré produkujú alebo sú určené na produkciu vajec na ľudskú spotrebu. Nepoužívajte počas 4 týždňov pred začiatkom obdobia znášky.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iCs/>
          <w:szCs w:val="22"/>
        </w:rPr>
      </w:pPr>
      <w:r>
        <w:t>Králiky: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Mäso a vnútornosti: 0 dní.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  <w:r>
        <w:rPr>
          <w:b/>
          <w:bCs/>
        </w:rPr>
        <w:t xml:space="preserve">11. OSOBITNÉ BEZPEČNOSTNÉ OPATRENIA NA UCHOVÁVANIE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>
        <w:t xml:space="preserve">Uchovávať mimo dohľadu a dosahu detí.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>
        <w:t>Uchovávať pri teplote neprevyšujúcej 25°C.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>
        <w:t>Nepoužívať tento veterinárny liek po dátume exspirácie uvedenom na obale po EXP. Dátum exspirácie sa vzťahuje na posledný deň v uvedenom mesiaci.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>Čas použiteľnosti po prvom otvorení vnútorného obalu (fľaša a vrece): 28 dní.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>Čas použiteľnosti po prvom otvorení vnútorného obalu (</w:t>
      </w:r>
      <w:proofErr w:type="spellStart"/>
      <w:r>
        <w:t>sáčok</w:t>
      </w:r>
      <w:proofErr w:type="spellEnd"/>
      <w:r>
        <w:t>): Okamžite použite.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 xml:space="preserve">Čas použiteľnosti po rozpustení v pitnej vode: 24 hodín. 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 xml:space="preserve">Čas použiteľnosti po rozpustení v mliečnej náhrade: Okamžite použite. Neuchovávajte.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/>
          <w:bCs/>
        </w:rPr>
      </w:pPr>
      <w:r>
        <w:rPr>
          <w:b/>
          <w:bCs/>
        </w:rPr>
        <w:t xml:space="preserve">12. OSOBITNÉ UPOZORNENIA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</w:p>
    <w:p w:rsidR="00C177A1" w:rsidRPr="006E1862" w:rsidRDefault="00C177A1" w:rsidP="00C177A1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8A16CB">
        <w:rPr>
          <w:bCs/>
          <w:u w:val="single"/>
        </w:rPr>
        <w:t xml:space="preserve">Osobitné bezpečnostné opatrenia na používanie u zvierat 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lastRenderedPageBreak/>
        <w:t>Použitie veterinárneho lieku by malo byť založené na testovaní citlivosti baktérií izolovaných zo zvieraťa. Ak to nie je možné, liečba by mala vychádzať z lokálnych (miestnych, farmových) epidemiologických informácií o citlivosti cieľových baktérií.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 xml:space="preserve">Ak sa na farme diagnostikuje </w:t>
      </w:r>
      <w:proofErr w:type="spellStart"/>
      <w:r>
        <w:rPr>
          <w:i/>
          <w:szCs w:val="22"/>
        </w:rPr>
        <w:t>Salmonella</w:t>
      </w:r>
      <w:proofErr w:type="spellEnd"/>
      <w:r>
        <w:t xml:space="preserve"> Dublin, je potrebné zvážiť kontrolné opatrenia vrátane priebežného monitorovania stavu choroby, očkovania, biologickej bezpečnosti a kontroly pohybu. Majú sa dodržiavať národné kontrolné programy, ak sú k dispozícii.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Arial"/>
          <w:szCs w:val="22"/>
        </w:rPr>
      </w:pPr>
      <w:r>
        <w:t xml:space="preserve">Použitie veterinárneho lieku, ktoré sa odlišuje od pokynov uvedených v súhrne charakteristických vlastností lieku, môže zvýšiť </w:t>
      </w:r>
      <w:proofErr w:type="spellStart"/>
      <w:r>
        <w:t>prevalenciu</w:t>
      </w:r>
      <w:proofErr w:type="spellEnd"/>
      <w:r>
        <w:t xml:space="preserve"> baktérií rezistentných voči </w:t>
      </w:r>
      <w:proofErr w:type="spellStart"/>
      <w:r>
        <w:t>apramycínu</w:t>
      </w:r>
      <w:proofErr w:type="spellEnd"/>
      <w:r>
        <w:t xml:space="preserve"> a môže znížiť účinnosť liečby </w:t>
      </w:r>
      <w:proofErr w:type="spellStart"/>
      <w:r>
        <w:t>aminoglykozidmi</w:t>
      </w:r>
      <w:proofErr w:type="spellEnd"/>
      <w:r>
        <w:t xml:space="preserve"> kvôli možnosti krížovej rezistencie.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rFonts w:eastAsia="Arial"/>
          <w:szCs w:val="22"/>
        </w:rPr>
      </w:pPr>
      <w:r>
        <w:t xml:space="preserve">Pri použití veterinárneho lieku by sa má brať do úvahy oficiálna národná a regionálna </w:t>
      </w:r>
      <w:proofErr w:type="spellStart"/>
      <w:r>
        <w:t>antimikrobiálna</w:t>
      </w:r>
      <w:proofErr w:type="spellEnd"/>
      <w:r>
        <w:t xml:space="preserve"> politika.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8A16CB">
        <w:rPr>
          <w:bCs/>
          <w:u w:val="single"/>
        </w:rPr>
        <w:t xml:space="preserve">Osobitné bezpečnostné opatrenia, ktoré má urobiť osoba podávajúca liek zvieratám </w:t>
      </w:r>
    </w:p>
    <w:p w:rsidR="00C177A1" w:rsidRPr="006E1862" w:rsidRDefault="00C177A1" w:rsidP="00C177A1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>
        <w:t xml:space="preserve">Ľudia so známou precitlivenosťou na </w:t>
      </w:r>
      <w:proofErr w:type="spellStart"/>
      <w:r>
        <w:t>apramycín</w:t>
      </w:r>
      <w:proofErr w:type="spellEnd"/>
      <w:r>
        <w:t xml:space="preserve"> alebo akýkoľvek iný </w:t>
      </w:r>
      <w:proofErr w:type="spellStart"/>
      <w:r>
        <w:t>aminoglykozid</w:t>
      </w:r>
      <w:proofErr w:type="spellEnd"/>
      <w:r>
        <w:t xml:space="preserve"> by sa mali vyhnúť kontaktu s liekom.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Tento liek môže spôsobiť podráždenie alebo </w:t>
      </w:r>
      <w:proofErr w:type="spellStart"/>
      <w:r>
        <w:t>senzibilizáciu</w:t>
      </w:r>
      <w:proofErr w:type="spellEnd"/>
      <w:r>
        <w:t xml:space="preserve"> po kontakte s pokožkou alebo očami alebo pri vdýchnutí.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 xml:space="preserve">Vyhnite sa kontaktu s očami, pokožkou a sliznicami a vdýchnutiu prachu pri príprave </w:t>
      </w:r>
      <w:proofErr w:type="spellStart"/>
      <w:r>
        <w:t>medikovanej</w:t>
      </w:r>
      <w:proofErr w:type="spellEnd"/>
      <w:r>
        <w:t xml:space="preserve"> vody/mlieka.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Pri manipulácii s liekom používajte osobné ochranné prostriedky pozostávajúce z rukavíc, masky, okuliarov a ochranného odevu.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Po použití si umyte ruky.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V prípade kontaktu s očami vypláchnite postihnutú oblasť veľkým množstvom vody. V prípade kontaktu s pokožkou dôkladne umyte mydlom a vodou. Ak podráždenie pretrváva, vyhľadajte lekársku pomoc.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V prípade náhodného požitia vyhľadať ihneď lekársku pomoc a ukázať písomnú informáciu pre používateľov alebo obal lekárovi.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jc w:val="both"/>
        <w:rPr>
          <w:rFonts w:eastAsia="Calibri"/>
          <w:szCs w:val="22"/>
        </w:rPr>
      </w:pPr>
      <w:r>
        <w:t>V prípade výskytu symptómov po expozícii, ako je kožná vyrážka, ihneď vyhľadajte lekársku pomoc a ukážte písomnú informáciu alebo obal lekárovi. Opuch tváre, pier a očí alebo ťažké dýchanie sú vážnejšie príznaky a vyžadujú okamžitú lekársku pomoc.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  <w:r w:rsidRPr="008A16CB">
        <w:rPr>
          <w:bCs/>
          <w:u w:val="single"/>
        </w:rPr>
        <w:t>Gravidita a laktácia: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Ošípané: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Bezpečnosť veterinárneho lieku nebola potvrdená počas gravidity a laktácie u prasníc. Použiť len po zhodnotení prínosu/rizika zodpovedným veterinárnym lekárom.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Hovädzí dobytok: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Neodporúča sa používať počas gravidity alebo laktácie.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Králiky: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 xml:space="preserve">Perorálne dávky </w:t>
      </w:r>
      <w:proofErr w:type="spellStart"/>
      <w:r>
        <w:t>apramycínu</w:t>
      </w:r>
      <w:proofErr w:type="spellEnd"/>
      <w:r>
        <w:t xml:space="preserve"> podávané od 6. do 18. dňa gravidity (vrátane dávok pod terapeutickými dávkami) preukázali </w:t>
      </w:r>
      <w:proofErr w:type="spellStart"/>
      <w:r>
        <w:t>fetotoxické</w:t>
      </w:r>
      <w:proofErr w:type="spellEnd"/>
      <w:r>
        <w:t xml:space="preserve"> účinky. Nepoužívať počas gravidity.</w:t>
      </w:r>
    </w:p>
    <w:p w:rsidR="00C177A1" w:rsidRPr="006F6E06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r>
        <w:t>Kurčatá: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r>
        <w:t>Nepoužívať u nosníc a do 4 týždňov pred začiatkom obdobia znášky.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8A16CB" w:rsidRDefault="00C177A1" w:rsidP="00C177A1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8A16CB">
        <w:rPr>
          <w:bCs/>
          <w:u w:val="single"/>
        </w:rPr>
        <w:t xml:space="preserve">Liekové interakcie a iné formy vzájomného pôsobenia </w:t>
      </w:r>
    </w:p>
    <w:p w:rsidR="00C177A1" w:rsidRPr="006828C3" w:rsidRDefault="00C177A1" w:rsidP="00C177A1">
      <w:pPr>
        <w:tabs>
          <w:tab w:val="clear" w:pos="567"/>
        </w:tabs>
        <w:spacing w:line="240" w:lineRule="auto"/>
        <w:rPr>
          <w:rFonts w:eastAsia="Calibri"/>
          <w:szCs w:val="22"/>
        </w:rPr>
      </w:pPr>
      <w:proofErr w:type="spellStart"/>
      <w:r>
        <w:t>Aminoglykozidy</w:t>
      </w:r>
      <w:proofErr w:type="spellEnd"/>
      <w:r>
        <w:t xml:space="preserve"> môžu mať negatívny vplyv na funkciu obličiek. Podávanie </w:t>
      </w:r>
      <w:proofErr w:type="spellStart"/>
      <w:r>
        <w:t>aminoglykozidov</w:t>
      </w:r>
      <w:proofErr w:type="spellEnd"/>
      <w:r>
        <w:t xml:space="preserve"> zvieratám postihnutým poškodením funkcie obličiek alebo v kombinácii s látkami, ktoré tiež ovplyvňujú funkciu obličiek, môže predstavovať riziko intoxikácie.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rFonts w:eastAsia="Calibri"/>
          <w:szCs w:val="22"/>
        </w:rPr>
      </w:pPr>
      <w:proofErr w:type="spellStart"/>
      <w:r>
        <w:t>Aminoglykozidy</w:t>
      </w:r>
      <w:proofErr w:type="spellEnd"/>
      <w:r>
        <w:t xml:space="preserve"> môžu spôsobiť </w:t>
      </w:r>
      <w:proofErr w:type="spellStart"/>
      <w:r>
        <w:t>neuromuskulárnu</w:t>
      </w:r>
      <w:proofErr w:type="spellEnd"/>
      <w:r>
        <w:t xml:space="preserve"> blokádu. Preto sa odporúča, aby sa tento účinok zohľadnil pri podávaní anestézie liečeným zvieratám.</w:t>
      </w:r>
    </w:p>
    <w:p w:rsidR="00C177A1" w:rsidRPr="008A16CB" w:rsidRDefault="00C177A1" w:rsidP="00C177A1">
      <w:pPr>
        <w:autoSpaceDE w:val="0"/>
        <w:autoSpaceDN w:val="0"/>
        <w:adjustRightInd w:val="0"/>
        <w:spacing w:line="240" w:lineRule="auto"/>
        <w:rPr>
          <w:u w:val="single"/>
        </w:rPr>
      </w:pPr>
    </w:p>
    <w:p w:rsidR="00C177A1" w:rsidRPr="008A16CB" w:rsidRDefault="00C177A1" w:rsidP="00C177A1">
      <w:pPr>
        <w:autoSpaceDE w:val="0"/>
        <w:autoSpaceDN w:val="0"/>
        <w:adjustRightInd w:val="0"/>
        <w:spacing w:line="240" w:lineRule="auto"/>
        <w:rPr>
          <w:bCs/>
          <w:u w:val="single"/>
        </w:rPr>
      </w:pPr>
      <w:r w:rsidRPr="008A16CB">
        <w:rPr>
          <w:bCs/>
          <w:u w:val="single"/>
        </w:rPr>
        <w:t xml:space="preserve">Predávkovanie (príznaky, núdzové postupy, </w:t>
      </w:r>
      <w:proofErr w:type="spellStart"/>
      <w:r w:rsidRPr="008A16CB">
        <w:rPr>
          <w:bCs/>
          <w:u w:val="single"/>
        </w:rPr>
        <w:t>antidotá</w:t>
      </w:r>
      <w:proofErr w:type="spellEnd"/>
      <w:r w:rsidRPr="008A16CB">
        <w:rPr>
          <w:bCs/>
          <w:u w:val="single"/>
        </w:rPr>
        <w:t xml:space="preserve">) </w:t>
      </w:r>
    </w:p>
    <w:p w:rsidR="00C177A1" w:rsidRPr="006F6E06" w:rsidRDefault="00C177A1" w:rsidP="00C177A1">
      <w:pPr>
        <w:pStyle w:val="Zarkazkladnhotextu"/>
        <w:keepNext/>
        <w:keepLines/>
        <w:ind w:left="0" w:firstLine="0"/>
        <w:rPr>
          <w:b w:val="0"/>
          <w:szCs w:val="22"/>
        </w:rPr>
      </w:pPr>
      <w:r>
        <w:rPr>
          <w:b w:val="0"/>
          <w:szCs w:val="22"/>
        </w:rPr>
        <w:lastRenderedPageBreak/>
        <w:t>Ošípané: Ošípané dostávali až deväťnásobok odporúčanej dávky na použitie v pitnej vode počas 28 dní bez akejkoľvek nepriaznivej reakcie.</w:t>
      </w:r>
    </w:p>
    <w:p w:rsidR="00C177A1" w:rsidRPr="006F6E06" w:rsidRDefault="00C177A1" w:rsidP="00C177A1">
      <w:pPr>
        <w:pStyle w:val="Zarkazkladnhotextu"/>
        <w:keepNext/>
        <w:keepLines/>
        <w:ind w:left="0" w:firstLine="0"/>
        <w:rPr>
          <w:b w:val="0"/>
          <w:szCs w:val="22"/>
        </w:rPr>
      </w:pPr>
      <w:r>
        <w:rPr>
          <w:b w:val="0"/>
          <w:szCs w:val="22"/>
        </w:rPr>
        <w:t xml:space="preserve">Teľatá: Teľatám bol podávaný </w:t>
      </w:r>
      <w:proofErr w:type="spellStart"/>
      <w:r>
        <w:rPr>
          <w:b w:val="0"/>
          <w:szCs w:val="22"/>
        </w:rPr>
        <w:t>apramycín</w:t>
      </w:r>
      <w:proofErr w:type="spellEnd"/>
      <w:r>
        <w:rPr>
          <w:b w:val="0"/>
          <w:szCs w:val="22"/>
        </w:rPr>
        <w:t xml:space="preserve"> v mliečnej náhrade denne počas piatich dní v dávkach do 120 mg/kg živej hmotnosti. Neprejavil sa žiadny toxický účinok.</w:t>
      </w:r>
    </w:p>
    <w:p w:rsidR="00C177A1" w:rsidRPr="006F6E06" w:rsidRDefault="00C177A1" w:rsidP="00C177A1">
      <w:pPr>
        <w:pStyle w:val="Zarkazkladnhotextu"/>
        <w:keepNext/>
        <w:keepLines/>
        <w:ind w:left="0" w:firstLine="0"/>
        <w:rPr>
          <w:b w:val="0"/>
          <w:szCs w:val="22"/>
        </w:rPr>
      </w:pPr>
      <w:r>
        <w:rPr>
          <w:b w:val="0"/>
          <w:szCs w:val="22"/>
        </w:rPr>
        <w:t>Kurčatá: Pri kurčatách nebola žiadna úmrtnosť po podaní jednorazovej perorálnej dávky 1000 mg/kg živej hmotnosti. Kurčatá dostávali až päťnásobok odporúčanej úrovne dávky počas 15 dní bez akejkoľvek nepriaznivej  reakcie.</w:t>
      </w:r>
    </w:p>
    <w:p w:rsidR="00C177A1" w:rsidRPr="006F6E06" w:rsidRDefault="00C177A1" w:rsidP="00C177A1">
      <w:pPr>
        <w:pStyle w:val="Zarkazkladnhotextu"/>
        <w:keepNext/>
        <w:keepLines/>
        <w:ind w:left="0" w:firstLine="0"/>
        <w:rPr>
          <w:b w:val="0"/>
          <w:szCs w:val="22"/>
        </w:rPr>
      </w:pPr>
      <w:r>
        <w:rPr>
          <w:b w:val="0"/>
          <w:szCs w:val="22"/>
        </w:rPr>
        <w:t xml:space="preserve">Možná intoxikácia sa môže prejaviť nasledujúcimi príznakmi: mäkké výkaly, hnačka, vracanie (úbytok hmotnosti, </w:t>
      </w:r>
      <w:proofErr w:type="spellStart"/>
      <w:r>
        <w:rPr>
          <w:b w:val="0"/>
          <w:szCs w:val="22"/>
        </w:rPr>
        <w:t>anorexia</w:t>
      </w:r>
      <w:proofErr w:type="spellEnd"/>
      <w:r>
        <w:rPr>
          <w:b w:val="0"/>
          <w:szCs w:val="22"/>
        </w:rPr>
        <w:t xml:space="preserve"> a podobné prejavy), poškodenie funkcie obličiek a účinky na centrálny nervový systém (znížená aktivita, strata reflexov, kŕče atď.).</w:t>
      </w:r>
    </w:p>
    <w:p w:rsidR="00C177A1" w:rsidRDefault="00C177A1" w:rsidP="00C177A1">
      <w:pPr>
        <w:tabs>
          <w:tab w:val="clear" w:pos="567"/>
        </w:tabs>
        <w:spacing w:line="240" w:lineRule="auto"/>
        <w:rPr>
          <w:szCs w:val="22"/>
        </w:rPr>
      </w:pPr>
      <w:r>
        <w:t>Neprekračujte odporúčanú dávku.</w:t>
      </w: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szCs w:val="22"/>
        </w:rPr>
      </w:pPr>
    </w:p>
    <w:p w:rsidR="00C177A1" w:rsidRPr="008A16CB" w:rsidRDefault="00C177A1" w:rsidP="00C177A1">
      <w:pPr>
        <w:autoSpaceDE w:val="0"/>
        <w:autoSpaceDN w:val="0"/>
        <w:adjustRightInd w:val="0"/>
        <w:spacing w:line="240" w:lineRule="auto"/>
        <w:ind w:left="600" w:hanging="600"/>
        <w:rPr>
          <w:bCs/>
          <w:u w:val="single"/>
        </w:rPr>
      </w:pPr>
      <w:r w:rsidRPr="008A16CB">
        <w:rPr>
          <w:bCs/>
          <w:u w:val="single"/>
        </w:rPr>
        <w:t xml:space="preserve">Inkompatibility 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  <w:rPr>
          <w:szCs w:val="22"/>
        </w:rPr>
      </w:pPr>
      <w:r>
        <w:t xml:space="preserve">Z dôvodu chýbania štúdií kompatibility sa tento veterinárny liek nesmie miešať s inými veterinárnymi liekmi.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b/>
          <w:bCs/>
        </w:rPr>
      </w:pPr>
      <w:r>
        <w:rPr>
          <w:b/>
          <w:bCs/>
        </w:rPr>
        <w:t xml:space="preserve">13. OSOBITNÉ BEZPEČNOSTNÉ OPATRENIA NA ZNEŠKODNENIE NEPOUŽITÉHO LIEKU(-OV) ALEBO ODPADOVÉHO MATERIÁLU, V PRÍPADE POTREBY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tabs>
          <w:tab w:val="clear" w:pos="567"/>
        </w:tabs>
        <w:spacing w:line="240" w:lineRule="auto"/>
        <w:rPr>
          <w:i/>
          <w:szCs w:val="22"/>
        </w:rPr>
      </w:pPr>
      <w:r>
        <w:t>Každý nepoužitý veterinárny liek alebo odpadové materiály z tohto veterinárneho lieku musia byť zlikvidované v súlade s miestnymi požiadavkami.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sz w:val="24"/>
          <w:szCs w:val="24"/>
        </w:rPr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/>
          <w:bCs/>
        </w:rPr>
      </w:pPr>
      <w:r>
        <w:rPr>
          <w:b/>
          <w:bCs/>
        </w:rPr>
        <w:t xml:space="preserve">14. DÁTUM POSLEDNÉHO SCHVÁLENIA TEXTU V PÍSOMNEJ INFORMÁCII PRE POUŽÍVATEĽOV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</w:pP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ind w:left="560" w:hanging="560"/>
        <w:rPr>
          <w:b/>
          <w:bCs/>
        </w:rPr>
      </w:pPr>
      <w:r>
        <w:rPr>
          <w:b/>
          <w:bCs/>
        </w:rPr>
        <w:t xml:space="preserve">15. ĎALŠIE INFORMÁCIE </w:t>
      </w:r>
    </w:p>
    <w:p w:rsidR="00C177A1" w:rsidRPr="00EB25BE" w:rsidRDefault="00C177A1" w:rsidP="00C177A1">
      <w:pPr>
        <w:autoSpaceDE w:val="0"/>
        <w:autoSpaceDN w:val="0"/>
        <w:adjustRightInd w:val="0"/>
        <w:spacing w:line="240" w:lineRule="auto"/>
        <w:rPr>
          <w:i/>
          <w:iCs/>
        </w:rPr>
      </w:pPr>
    </w:p>
    <w:p w:rsidR="00C177A1" w:rsidRDefault="00C177A1" w:rsidP="00C177A1">
      <w:pPr>
        <w:keepNext/>
        <w:keepLines/>
        <w:tabs>
          <w:tab w:val="clear" w:pos="567"/>
        </w:tabs>
        <w:spacing w:line="240" w:lineRule="auto"/>
      </w:pPr>
      <w:r>
        <w:t xml:space="preserve">Fľaše z polyetylénu s vysokou hustotou s polypropylénovými </w:t>
      </w:r>
      <w:proofErr w:type="spellStart"/>
      <w:r>
        <w:t>skrutkovacími</w:t>
      </w:r>
      <w:proofErr w:type="spellEnd"/>
      <w:r>
        <w:t xml:space="preserve"> uzávermi.</w:t>
      </w:r>
      <w:r>
        <w:br/>
        <w:t xml:space="preserve">Kartónová krabica obsahujúca 25 alebo 50 </w:t>
      </w:r>
      <w:proofErr w:type="spellStart"/>
      <w:r>
        <w:t>sáčkov</w:t>
      </w:r>
      <w:proofErr w:type="spellEnd"/>
      <w:r>
        <w:t xml:space="preserve"> z polyetylénu/hliníka/polypropylénu. </w:t>
      </w:r>
    </w:p>
    <w:p w:rsidR="00C177A1" w:rsidRPr="006C44C5" w:rsidRDefault="00C177A1" w:rsidP="00C177A1">
      <w:pPr>
        <w:tabs>
          <w:tab w:val="clear" w:pos="567"/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suppressAutoHyphens/>
        <w:autoSpaceDE w:val="0"/>
        <w:spacing w:line="240" w:lineRule="auto"/>
        <w:rPr>
          <w:b/>
          <w:szCs w:val="22"/>
        </w:rPr>
      </w:pPr>
      <w:r>
        <w:t>Laminované vrecia z polyetylénu/hliníka/</w:t>
      </w:r>
      <w:proofErr w:type="spellStart"/>
      <w:r>
        <w:t>polyetyléntereftalátu</w:t>
      </w:r>
      <w:proofErr w:type="spellEnd"/>
      <w:r>
        <w:t xml:space="preserve"> s plochým dnom. 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 xml:space="preserve">Fľaše obsahujúce 90,58 g </w:t>
      </w:r>
      <w:proofErr w:type="spellStart"/>
      <w:r>
        <w:t>apramycínsulfátu</w:t>
      </w:r>
      <w:proofErr w:type="spellEnd"/>
      <w:r>
        <w:t xml:space="preserve"> alebo 50 000 000 IU.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proofErr w:type="spellStart"/>
      <w:r>
        <w:t>Sáčky</w:t>
      </w:r>
      <w:proofErr w:type="spellEnd"/>
      <w:r>
        <w:t xml:space="preserve"> obsahujúce 1,812 g </w:t>
      </w:r>
      <w:proofErr w:type="spellStart"/>
      <w:r>
        <w:t>apramycínsulfátu</w:t>
      </w:r>
      <w:proofErr w:type="spellEnd"/>
      <w:r>
        <w:t xml:space="preserve"> alebo 1 000 000 IU.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 xml:space="preserve">Vrecia obsahujúce 1811,6 g </w:t>
      </w:r>
      <w:proofErr w:type="spellStart"/>
      <w:r>
        <w:t>apramycínsulfátu</w:t>
      </w:r>
      <w:proofErr w:type="spellEnd"/>
      <w:r>
        <w:t xml:space="preserve"> alebo 1 000 000 000 IU.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>Nie všetky veľkosti balenia sa musia uvádzať na trh.</w:t>
      </w: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</w:p>
    <w:p w:rsidR="00C177A1" w:rsidRDefault="00C177A1" w:rsidP="00C177A1">
      <w:pPr>
        <w:autoSpaceDE w:val="0"/>
        <w:autoSpaceDN w:val="0"/>
        <w:adjustRightInd w:val="0"/>
        <w:spacing w:line="240" w:lineRule="auto"/>
      </w:pPr>
      <w:r>
        <w:t>Len pre zvieratá.</w:t>
      </w:r>
    </w:p>
    <w:p w:rsidR="00C177A1" w:rsidRPr="006E1862" w:rsidRDefault="00C177A1" w:rsidP="006E1862">
      <w:pPr>
        <w:sectPr w:rsidR="00C177A1" w:rsidRPr="006E1862">
          <w:pgSz w:w="12240" w:h="15840"/>
          <w:pgMar w:top="1440" w:right="1440" w:bottom="1440" w:left="1440" w:header="720" w:footer="720" w:gutter="0"/>
          <w:cols w:space="720"/>
          <w:noEndnote/>
        </w:sectPr>
      </w:pPr>
      <w:r>
        <w:t>Výdaj lieku je viazaný na veterinárny predpis</w:t>
      </w:r>
    </w:p>
    <w:p w:rsidR="006E1862" w:rsidRPr="00C177A1" w:rsidRDefault="006E1862" w:rsidP="00C177A1">
      <w:pPr>
        <w:tabs>
          <w:tab w:val="clear" w:pos="567"/>
          <w:tab w:val="left" w:pos="2650"/>
        </w:tabs>
        <w:sectPr w:rsidR="006E1862" w:rsidRPr="00C177A1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:rsidR="001E7479" w:rsidRDefault="001E7479" w:rsidP="00C177A1">
      <w:pPr>
        <w:autoSpaceDE w:val="0"/>
        <w:autoSpaceDN w:val="0"/>
        <w:adjustRightInd w:val="0"/>
        <w:spacing w:line="240" w:lineRule="auto"/>
        <w:ind w:right="100"/>
      </w:pPr>
    </w:p>
    <w:sectPr w:rsidR="001E7479" w:rsidSect="00386E90">
      <w:pgSz w:w="11906" w:h="16838" w:code="9"/>
      <w:pgMar w:top="1417" w:right="1417" w:bottom="1417" w:left="1417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E2E" w:rsidRDefault="000A6E2E" w:rsidP="006E1862">
      <w:pPr>
        <w:spacing w:line="240" w:lineRule="auto"/>
      </w:pPr>
      <w:r>
        <w:separator/>
      </w:r>
    </w:p>
  </w:endnote>
  <w:endnote w:type="continuationSeparator" w:id="0">
    <w:p w:rsidR="000A6E2E" w:rsidRDefault="000A6E2E" w:rsidP="006E18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TFangsong">
    <w:altName w:val="Arial Unicode MS"/>
    <w:charset w:val="50"/>
    <w:family w:val="auto"/>
    <w:pitch w:val="variable"/>
    <w:sig w:usb0="00000000" w:usb1="080F0000" w:usb2="00000010" w:usb3="00000000" w:csb0="0004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4526226"/>
      <w:docPartObj>
        <w:docPartGallery w:val="Page Numbers (Bottom of Page)"/>
        <w:docPartUnique/>
      </w:docPartObj>
    </w:sdtPr>
    <w:sdtEndPr/>
    <w:sdtContent>
      <w:p w:rsidR="00C177A1" w:rsidRDefault="00C177A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3B2">
          <w:rPr>
            <w:noProof/>
          </w:rPr>
          <w:t>6</w:t>
        </w:r>
        <w:r>
          <w:fldChar w:fldCharType="end"/>
        </w:r>
      </w:p>
    </w:sdtContent>
  </w:sdt>
  <w:p w:rsidR="00C177A1" w:rsidRDefault="00C177A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E2E" w:rsidRDefault="000A6E2E" w:rsidP="006E1862">
      <w:pPr>
        <w:spacing w:line="240" w:lineRule="auto"/>
      </w:pPr>
      <w:r>
        <w:separator/>
      </w:r>
    </w:p>
  </w:footnote>
  <w:footnote w:type="continuationSeparator" w:id="0">
    <w:p w:rsidR="000A6E2E" w:rsidRDefault="000A6E2E" w:rsidP="006E186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revisionView w:inkAnnotation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862"/>
    <w:rsid w:val="000A6E2E"/>
    <w:rsid w:val="001E7479"/>
    <w:rsid w:val="00386E90"/>
    <w:rsid w:val="004E43B2"/>
    <w:rsid w:val="005220B4"/>
    <w:rsid w:val="005E7505"/>
    <w:rsid w:val="006E1862"/>
    <w:rsid w:val="00C177A1"/>
    <w:rsid w:val="00CA1359"/>
    <w:rsid w:val="00DC7636"/>
    <w:rsid w:val="00E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186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6E1862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6E1862"/>
    <w:rPr>
      <w:rFonts w:ascii="Times New Roman" w:eastAsia="Times New Roman" w:hAnsi="Times New Roman" w:cs="Times New Roman"/>
      <w:b/>
      <w:szCs w:val="20"/>
    </w:rPr>
  </w:style>
  <w:style w:type="table" w:styleId="Mriekatabuky">
    <w:name w:val="Table Grid"/>
    <w:basedOn w:val="Normlnatabuka"/>
    <w:rsid w:val="006E1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186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6E18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186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6E18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1862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505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E1862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rsid w:val="006E1862"/>
    <w:pPr>
      <w:tabs>
        <w:tab w:val="clear" w:pos="567"/>
      </w:tabs>
      <w:spacing w:line="240" w:lineRule="auto"/>
      <w:ind w:left="567" w:hanging="567"/>
    </w:pPr>
    <w:rPr>
      <w:b/>
    </w:rPr>
  </w:style>
  <w:style w:type="character" w:customStyle="1" w:styleId="ZarkazkladnhotextuChar">
    <w:name w:val="Zarážka základného textu Char"/>
    <w:basedOn w:val="Predvolenpsmoodseku"/>
    <w:link w:val="Zarkazkladnhotextu"/>
    <w:rsid w:val="006E1862"/>
    <w:rPr>
      <w:rFonts w:ascii="Times New Roman" w:eastAsia="Times New Roman" w:hAnsi="Times New Roman" w:cs="Times New Roman"/>
      <w:b/>
      <w:szCs w:val="20"/>
    </w:rPr>
  </w:style>
  <w:style w:type="table" w:styleId="Mriekatabuky">
    <w:name w:val="Table Grid"/>
    <w:basedOn w:val="Normlnatabuka"/>
    <w:rsid w:val="006E1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6E1862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  <w:lang w:eastAsia="it-IT"/>
    </w:rPr>
  </w:style>
  <w:style w:type="paragraph" w:styleId="Hlavika">
    <w:name w:val="header"/>
    <w:basedOn w:val="Normlny"/>
    <w:link w:val="HlavikaChar"/>
    <w:uiPriority w:val="99"/>
    <w:unhideWhenUsed/>
    <w:rsid w:val="006E18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1862"/>
    <w:rPr>
      <w:rFonts w:ascii="Times New Roman" w:eastAsia="Times New Roman" w:hAnsi="Times New Roman" w:cs="Times New Roman"/>
      <w:szCs w:val="20"/>
    </w:rPr>
  </w:style>
  <w:style w:type="paragraph" w:styleId="Pta">
    <w:name w:val="footer"/>
    <w:basedOn w:val="Normlny"/>
    <w:link w:val="PtaChar"/>
    <w:uiPriority w:val="99"/>
    <w:unhideWhenUsed/>
    <w:rsid w:val="006E1862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1862"/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E750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E750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18</Pages>
  <Words>4021</Words>
  <Characters>22924</Characters>
  <Application>Microsoft Office Word</Application>
  <DocSecurity>0</DocSecurity>
  <Lines>191</Lines>
  <Paragraphs>53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SVPS</Company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ZF</dc:creator>
  <cp:keywords/>
  <dc:description/>
  <cp:lastModifiedBy>User</cp:lastModifiedBy>
  <cp:revision>4</cp:revision>
  <cp:lastPrinted>2018-09-20T07:40:00Z</cp:lastPrinted>
  <dcterms:created xsi:type="dcterms:W3CDTF">2018-09-19T12:42:00Z</dcterms:created>
  <dcterms:modified xsi:type="dcterms:W3CDTF">2022-01-27T13:24:00Z</dcterms:modified>
</cp:coreProperties>
</file>