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4D" w:rsidRDefault="00F47C4D" w:rsidP="00F47C4D">
      <w:pPr>
        <w:tabs>
          <w:tab w:val="left" w:pos="28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SÚHRN CHARAKTERISTICKÝCH VLASTNOSTÍ LIEKU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NÁZOV VETERINÁRNEHO LIEKU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12,5 mg</w:t>
      </w:r>
      <w:r w:rsidR="00D46DFF">
        <w:rPr>
          <w:color w:val="000000"/>
          <w:sz w:val="22"/>
          <w:szCs w:val="22"/>
        </w:rPr>
        <w:t>/125 mg žuvacie tablety pre</w:t>
      </w:r>
      <w:r>
        <w:rPr>
          <w:color w:val="000000"/>
          <w:sz w:val="22"/>
          <w:szCs w:val="22"/>
        </w:rPr>
        <w:t xml:space="preserve"> psy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5 kg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KVALITATÍVNE A KVANTITATÍVNE ZLOŽENIE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Každá žuvacia tableta obsahuje: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Účinné látky: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12,5 mg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125,0 mg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Pomocné látky:</w:t>
      </w:r>
    </w:p>
    <w:p w:rsidR="00F47C4D" w:rsidRDefault="00F47C4D" w:rsidP="00F47C4D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Úplný zoznam pomocných látok je uvedený v časti 6.1.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ab/>
        <w:t>LIEKOVÁ FORMA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Žuvacia tableta.</w:t>
      </w:r>
    </w:p>
    <w:p w:rsidR="00F47C4D" w:rsidRDefault="00F47C4D" w:rsidP="00F47C4D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Žlto-biele okrúhle, mierne bikonvexné tablety s hnedými škvrnami.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KLINICKÉ ÚDAJE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</w:t>
      </w:r>
      <w:r>
        <w:rPr>
          <w:b/>
          <w:color w:val="000000"/>
          <w:sz w:val="22"/>
          <w:szCs w:val="22"/>
        </w:rPr>
        <w:tab/>
        <w:t>Cieľové druhy</w:t>
      </w: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Psy (</w:t>
      </w:r>
      <w:r>
        <w:rPr>
          <w:color w:val="000000"/>
          <w:sz w:val="22"/>
          <w:szCs w:val="22"/>
        </w:rPr>
        <w:t>s hmotnosťou najmenej 5 kg)</w:t>
      </w:r>
      <w:r>
        <w:rPr>
          <w:color w:val="000000"/>
          <w:sz w:val="22"/>
          <w:szCs w:val="22"/>
          <w:lang w:val="sk-SK"/>
        </w:rPr>
        <w:t>.</w:t>
      </w: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4.2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Indikácie na použitie so špecifikovaním cieľových druhov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infekcií dospelých </w:t>
      </w:r>
      <w:proofErr w:type="spellStart"/>
      <w:r>
        <w:rPr>
          <w:color w:val="000000"/>
          <w:sz w:val="22"/>
          <w:szCs w:val="22"/>
        </w:rPr>
        <w:t>cestód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nematód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Cestódy</w:t>
      </w:r>
      <w:proofErr w:type="spellEnd"/>
      <w:r>
        <w:rPr>
          <w:color w:val="000000"/>
          <w:sz w:val="22"/>
          <w:szCs w:val="22"/>
        </w:rPr>
        <w:t>: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Dipylidium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Taenia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Echinococcus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Mesocestoides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Nematódy</w:t>
      </w:r>
      <w:proofErr w:type="spellEnd"/>
      <w:r>
        <w:rPr>
          <w:color w:val="000000"/>
          <w:sz w:val="22"/>
          <w:szCs w:val="22"/>
        </w:rPr>
        <w:t>: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Ancylostoma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Toxocara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canis</w:t>
      </w:r>
      <w:proofErr w:type="spellEnd"/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Toxascaris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leonina</w:t>
      </w:r>
      <w:proofErr w:type="spellEnd"/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Trichuris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Crenosoma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infekcie)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567" w:hanging="567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 nedospelými (L5) a dospelými štádiami parazitov; viď plán špecifickej liečby a prevencie ochorení bod 4.9 ,,Dávkovanie a spôsob podania lieku”)</w:t>
      </w:r>
    </w:p>
    <w:p w:rsidR="00F47C4D" w:rsidRDefault="00F47C4D" w:rsidP="00F47C4D">
      <w:pPr>
        <w:numPr>
          <w:ilvl w:val="0"/>
          <w:numId w:val="1"/>
        </w:numPr>
        <w:tabs>
          <w:tab w:val="left" w:pos="567"/>
        </w:tabs>
        <w:ind w:left="567" w:hanging="567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fr-FR"/>
        </w:rPr>
        <w:t>Thelazia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proofErr w:type="spellStart"/>
      <w:r>
        <w:rPr>
          <w:i/>
          <w:sz w:val="22"/>
          <w:szCs w:val="22"/>
          <w:lang w:eastAsia="fr-FR"/>
        </w:rPr>
        <w:t>callipaeda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(</w:t>
      </w:r>
      <w:r>
        <w:rPr>
          <w:sz w:val="22"/>
          <w:szCs w:val="22"/>
          <w:lang w:eastAsia="en-US"/>
        </w:rPr>
        <w:t>viď plán špecifickej liečby a prevencie ochorení bod 4.9 ,,Dávkovanie a spôsob podania lieku”).</w:t>
      </w: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fr-FR"/>
        </w:rPr>
      </w:pP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 xml:space="preserve">Liek sa môže použiť aj na prevenciu </w:t>
      </w:r>
      <w:proofErr w:type="spellStart"/>
      <w:r>
        <w:rPr>
          <w:sz w:val="22"/>
          <w:szCs w:val="22"/>
          <w:lang w:eastAsia="fr-FR"/>
        </w:rPr>
        <w:t>dirofilariózy</w:t>
      </w:r>
      <w:proofErr w:type="spellEnd"/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i/>
          <w:sz w:val="22"/>
          <w:szCs w:val="22"/>
          <w:lang w:eastAsia="en-US"/>
        </w:rPr>
        <w:t>Dirofilaria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immitis</w:t>
      </w:r>
      <w:proofErr w:type="spellEnd"/>
      <w:r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4.3</w:t>
      </w:r>
      <w:r>
        <w:rPr>
          <w:b/>
          <w:color w:val="000000"/>
          <w:sz w:val="22"/>
          <w:szCs w:val="22"/>
        </w:rPr>
        <w:tab/>
        <w:t>Kontraindikácie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u psov s hmotnosťou nižšou ako 5 kg.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Nepoužívať v prípadoch precitlivenosti na účinné látky alebo na niektorú z pomocných látok.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Pozri tiež časť 4.5 ,,Osobitné bezpečnostné opatrenia na používanie“.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upozornenia pre každý cieľový druh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súčasná liečba všetkých zvierat v domácnosti.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dosiahol účinný program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do úvahy by sa mali vziať miestne epidemiologické informácie a riziko expozície psa a odporúča sa vyhľadať odborné (napr. veterinárne) poradenstvo.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, má sa zvážiť súbežná liečba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používanie</w:t>
      </w:r>
    </w:p>
    <w:p w:rsidR="00F47C4D" w:rsidRDefault="00F47C4D" w:rsidP="00F47C4D">
      <w:pPr>
        <w:rPr>
          <w:b/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na používanie u zvierat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Štúdie s </w:t>
      </w:r>
      <w:proofErr w:type="spellStart"/>
      <w:r>
        <w:rPr>
          <w:sz w:val="22"/>
          <w:szCs w:val="22"/>
        </w:rPr>
        <w:t>milbemycínoximom</w:t>
      </w:r>
      <w:proofErr w:type="spellEnd"/>
      <w:r>
        <w:rPr>
          <w:sz w:val="22"/>
          <w:szCs w:val="22"/>
        </w:rPr>
        <w:t xml:space="preserve"> dokázali, že hranica bezpečnosti jeho podávania je u niektorých psov plemena kólia alebo príbuzných plemien nižšia ako pri iných plemenách. U týchto psov je nutné presne dodržiavať odporúčané dávkovanie. Tolerancia lieku u šteniat týchto plemien nebola skúmaná.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Klinické príznaky v prípade kólií sú podobné príznakom u ostatných psov pri predávkovaní.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môže niekedy viesť k vzniku </w:t>
      </w:r>
      <w:proofErr w:type="spellStart"/>
      <w:r>
        <w:rPr>
          <w:color w:val="000000"/>
          <w:sz w:val="22"/>
          <w:szCs w:val="22"/>
          <w:lang w:eastAsia="sl-SI"/>
        </w:rPr>
        <w:t>hypersenzitívnych</w:t>
      </w:r>
      <w:proofErr w:type="spellEnd"/>
      <w:r>
        <w:rPr>
          <w:color w:val="000000"/>
          <w:sz w:val="22"/>
          <w:szCs w:val="22"/>
          <w:lang w:eastAsia="sl-SI"/>
        </w:rPr>
        <w:t xml:space="preserve"> reakcií, ako sú bledé sliznice, vracanie, chvenie, sťažené dýchanie alebo nadmerné slinenie. Tieto reakcie sú spojené s uvoľnením proteínov z uhynutých alebo hynúcich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a nepredstavujú priamy toxický účinok lieku. Použitie u psov napadnutých </w:t>
      </w:r>
      <w:proofErr w:type="spellStart"/>
      <w:r>
        <w:rPr>
          <w:color w:val="000000"/>
          <w:sz w:val="22"/>
          <w:szCs w:val="22"/>
          <w:lang w:eastAsia="sl-SI"/>
        </w:rPr>
        <w:t>mikrofiláriami</w:t>
      </w:r>
      <w:proofErr w:type="spellEnd"/>
      <w:r>
        <w:rPr>
          <w:color w:val="000000"/>
          <w:sz w:val="22"/>
          <w:szCs w:val="22"/>
          <w:lang w:eastAsia="sl-SI"/>
        </w:rPr>
        <w:t xml:space="preserve"> sa preto neodporúča.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 oblastiach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alebo pokiaľ je známe, že pes cestuje do a z regiónov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, sa odporúča pred podaním lieku konzultácia s veterinárnym lekárom, aby sa vylúčila prítomnosť súčasnej infekcie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. V prípade pozitívnej diagnózy je pred podaním lieku indikovaná terapia proti dospelým jedincom.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Neboli vykonané žiadne štúdie s veľmi oslabenými psami alebo s jedincami s vážnymi poruchami obličiek alebo funkciou pečene. Pre tieto zvieratá sa liek neodporúča alebo iba po zvážení výšky rizika alebo prínosu príslušným veterinárnym lekárom.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U psov do veku 4 týždňov je infekcia pásomnicami neobvyklá. Liečba psov mladších ako 4 týždne pomocou kombinovaného lieku preto nemusí byť potrebná.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Keďže tablety sú ochutené, mali by sa uchovávať na bezpečnom mieste mimo dosahu zvierat.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tabliet, vyhľadať ihneď lekársku pomoc a ukázať písomnú informáciu pre používateľov alebo obal lekárovi.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Iné bezpečnostné opatrenia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 oznamovacej povinnosti Svetovej organizácii pre zdravie zvierat (OIE), preto je potrebné pri liečbe, následnom sledovaní a ochrane osôb postupovať podľa špecifických postupov vydaných príslušnou kompetentnou autoritou (napr. odborníci alebo ústavy parazitológie).</w:t>
      </w:r>
    </w:p>
    <w:p w:rsidR="00F47C4D" w:rsidRDefault="00F47C4D" w:rsidP="00F47C4D">
      <w:pPr>
        <w:rPr>
          <w:color w:val="222222"/>
          <w:sz w:val="22"/>
          <w:szCs w:val="22"/>
          <w:u w:val="single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Nežiaduce účinky (frekvencia výskytu a závažnosť)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u psov po podaní kombinácie </w:t>
      </w:r>
      <w:proofErr w:type="spellStart"/>
      <w:r>
        <w:rPr>
          <w:sz w:val="22"/>
          <w:szCs w:val="22"/>
        </w:rPr>
        <w:t>mi</w:t>
      </w:r>
      <w:r w:rsidR="00307A09">
        <w:rPr>
          <w:sz w:val="22"/>
          <w:szCs w:val="22"/>
        </w:rPr>
        <w:t>lbemycínoximu</w:t>
      </w:r>
      <w:proofErr w:type="spellEnd"/>
      <w:r w:rsidR="00307A09">
        <w:rPr>
          <w:sz w:val="22"/>
          <w:szCs w:val="22"/>
        </w:rPr>
        <w:t xml:space="preserve"> a 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pozorované </w:t>
      </w:r>
      <w:r w:rsidR="0042035D">
        <w:rPr>
          <w:sz w:val="22"/>
          <w:szCs w:val="22"/>
        </w:rPr>
        <w:t xml:space="preserve">reakcie z precitlivenosti, </w:t>
      </w:r>
      <w:r>
        <w:rPr>
          <w:sz w:val="22"/>
          <w:szCs w:val="22"/>
        </w:rPr>
        <w:t xml:space="preserve">systémové príznaky (ako letargia), neurologické príznaky (ako </w:t>
      </w:r>
      <w:r>
        <w:rPr>
          <w:sz w:val="22"/>
          <w:szCs w:val="22"/>
        </w:rPr>
        <w:lastRenderedPageBreak/>
        <w:t>svalová triaška a </w:t>
      </w:r>
      <w:proofErr w:type="spellStart"/>
      <w:r>
        <w:rPr>
          <w:sz w:val="22"/>
          <w:szCs w:val="22"/>
        </w:rPr>
        <w:t>ataxia</w:t>
      </w:r>
      <w:proofErr w:type="spellEnd"/>
      <w:r>
        <w:rPr>
          <w:sz w:val="22"/>
          <w:szCs w:val="22"/>
        </w:rPr>
        <w:t xml:space="preserve">) a/alebo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príznaky (ako vracanie, hnačka, nechutenstvo a slintanie).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zvierat počas jednej liečby)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časté (u viac ako 1 ale menej ako 10 zo 100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zriedkavé (u menej ako 1 z 10 000 zvierat, vrátane ojedinelých hlásení).</w:t>
      </w: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4.7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Použitie počas gravidity a laktácie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Liek sa môže používať u chovných psov, vrátane 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súk.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4.8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Liekové interakcie a iné formy vzájomného pôsobenia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proofErr w:type="spellEnd"/>
      <w:r>
        <w:rPr>
          <w:color w:val="000000"/>
          <w:sz w:val="22"/>
          <w:szCs w:val="22"/>
        </w:rPr>
        <w:t xml:space="preserve">, počas liečby kombináciou </w:t>
      </w:r>
      <w:proofErr w:type="spellStart"/>
      <w:r w:rsidR="00307A09">
        <w:rPr>
          <w:sz w:val="22"/>
          <w:szCs w:val="22"/>
        </w:rPr>
        <w:t>milbemycínoximu</w:t>
      </w:r>
      <w:proofErr w:type="spellEnd"/>
      <w:r w:rsidR="00307A09">
        <w:rPr>
          <w:sz w:val="22"/>
          <w:szCs w:val="22"/>
        </w:rPr>
        <w:t xml:space="preserve"> a 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dávke, neboli pozorované žiadne interakcie.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je potrebná v prípade súbežného podávania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4.9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Dávkovanie a spôsob podania lieku 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použitie.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Psy sa majú odvážiť, aby sa zaistilo správne dávkovanie.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="00307A09">
        <w:rPr>
          <w:sz w:val="22"/>
          <w:szCs w:val="22"/>
        </w:rPr>
        <w:t>milbemycínoximu</w:t>
      </w:r>
      <w:proofErr w:type="spellEnd"/>
      <w:r w:rsidR="00307A09">
        <w:rPr>
          <w:sz w:val="22"/>
          <w:szCs w:val="22"/>
        </w:rPr>
        <w:t xml:space="preserve"> a 5 mg 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na kg živej hmotnosti naraz, podané perorálne.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Liek sa má podať s krmivom alebo po kŕmení.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 závislosti od živej hmotnosti psa je praktické dávkovanie nasledovné: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070"/>
      </w:tblGrid>
      <w:tr w:rsidR="00F47C4D" w:rsidTr="00F47C4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Žuvacie tablety </w:t>
            </w:r>
          </w:p>
        </w:tc>
      </w:tr>
      <w:tr w:rsidR="00F47C4D" w:rsidTr="00F47C4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5 – 25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 tableta</w:t>
            </w:r>
          </w:p>
        </w:tc>
      </w:tr>
      <w:tr w:rsidR="00F47C4D" w:rsidTr="00F47C4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25 – 50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</w:tr>
      <w:tr w:rsidR="00F47C4D" w:rsidTr="00F47C4D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50 – 75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3 tablety</w:t>
            </w:r>
          </w:p>
        </w:tc>
      </w:tr>
    </w:tbl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prevencii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 ak je súčasne požadované ošetrenie proti pásomniciam, môže liek nahradiť </w:t>
      </w:r>
      <w:proofErr w:type="spellStart"/>
      <w:r>
        <w:rPr>
          <w:color w:val="000000"/>
          <w:sz w:val="22"/>
          <w:szCs w:val="22"/>
          <w:lang w:eastAsia="sl-SI"/>
        </w:rPr>
        <w:t>monovalentný</w:t>
      </w:r>
      <w:proofErr w:type="spellEnd"/>
      <w:r>
        <w:rPr>
          <w:color w:val="000000"/>
          <w:sz w:val="22"/>
          <w:szCs w:val="22"/>
          <w:lang w:eastAsia="sl-SI"/>
        </w:rPr>
        <w:t xml:space="preserve"> liek na prevenciu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 xml:space="preserve">Pri liečbe infekcie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podaný štyrikrát s týždennými intervalmi. V prípadoch, keď je indikovaná súbežná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 xml:space="preserve">, sa odporúča podať liek jedenkrát a ďalej pokračovať v liečbe </w:t>
      </w:r>
      <w:proofErr w:type="spellStart"/>
      <w:r>
        <w:rPr>
          <w:sz w:val="22"/>
          <w:szCs w:val="22"/>
          <w:lang w:eastAsia="en-US"/>
        </w:rPr>
        <w:t>monovalentným</w:t>
      </w:r>
      <w:proofErr w:type="spellEnd"/>
      <w:r>
        <w:rPr>
          <w:sz w:val="22"/>
          <w:szCs w:val="22"/>
          <w:lang w:eastAsia="en-US"/>
        </w:rPr>
        <w:t xml:space="preserve"> liekom obsahujúcim jedine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počas zostávajúcich troch aplikácií, ktoré podávame jedenkrát týždenne.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Podávanie lieku každý štvrtý týždeň v endemických oblastiach bude pôsobiť preventívne proti </w:t>
      </w:r>
      <w:proofErr w:type="spellStart"/>
      <w:r>
        <w:rPr>
          <w:color w:val="000000"/>
          <w:sz w:val="22"/>
          <w:szCs w:val="22"/>
          <w:lang w:eastAsia="sl-SI"/>
        </w:rPr>
        <w:t>angiostrongylóze</w:t>
      </w:r>
      <w:proofErr w:type="spellEnd"/>
      <w:r>
        <w:rPr>
          <w:color w:val="000000"/>
          <w:sz w:val="22"/>
          <w:szCs w:val="22"/>
          <w:lang w:eastAsia="sl-SI"/>
        </w:rPr>
        <w:t xml:space="preserve"> prostredníctvom zníženia miery infekcie a záťaže nedospelými štádiami parazitov (L5) a dospelými štádiami parazitov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, tam kde je indikovaná súbežná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>
        <w:rPr>
          <w:i/>
          <w:sz w:val="22"/>
          <w:szCs w:val="22"/>
        </w:rPr>
        <w:t>Thelazia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callipaeda</w:t>
      </w:r>
      <w:proofErr w:type="spellEnd"/>
      <w:r>
        <w:rPr>
          <w:sz w:val="22"/>
          <w:szCs w:val="22"/>
        </w:rPr>
        <w:t xml:space="preserve">, má byť podaný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dvakrát v odstupe siedmych dní. Tam kde je indikovaná súbežná liečba proti pásomniciam, môže liek nahradiť </w:t>
      </w:r>
      <w:proofErr w:type="spellStart"/>
      <w:r>
        <w:rPr>
          <w:sz w:val="22"/>
          <w:szCs w:val="22"/>
          <w:lang w:eastAsia="en-US"/>
        </w:rPr>
        <w:t>monovalentný</w:t>
      </w:r>
      <w:proofErr w:type="spellEnd"/>
      <w:r>
        <w:rPr>
          <w:sz w:val="22"/>
          <w:szCs w:val="22"/>
          <w:lang w:eastAsia="en-US"/>
        </w:rPr>
        <w:t xml:space="preserve"> liek obsahujúci iba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4.10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 xml:space="preserve">Predávkovanie (príznaky, núdzové postupy, </w:t>
      </w:r>
      <w:proofErr w:type="spellStart"/>
      <w:r>
        <w:rPr>
          <w:b/>
          <w:sz w:val="22"/>
          <w:szCs w:val="22"/>
        </w:rPr>
        <w:t>antidotá</w:t>
      </w:r>
      <w:proofErr w:type="spellEnd"/>
      <w:r>
        <w:rPr>
          <w:b/>
          <w:sz w:val="22"/>
          <w:szCs w:val="22"/>
        </w:rPr>
        <w:t>) ak sú potrebné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u w:val="single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Neboli pozorované žiadne ďalšie prejavy okrem tých pozorovaných pri odporúčanej dávke (pozri 4.6).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4.11</w:t>
      </w:r>
      <w:r>
        <w:rPr>
          <w:b/>
          <w:color w:val="000000"/>
          <w:sz w:val="22"/>
          <w:szCs w:val="22"/>
        </w:rPr>
        <w:tab/>
        <w:t>Ochranné lehoty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Netýka sa.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FarmaKOLOGické VLASTNOSTI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</w:t>
      </w:r>
      <w:proofErr w:type="spellStart"/>
      <w:r>
        <w:rPr>
          <w:color w:val="000000"/>
          <w:sz w:val="22"/>
          <w:szCs w:val="22"/>
        </w:rPr>
        <w:t>Endektocídy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makrocyklické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laktóny</w:t>
      </w:r>
      <w:proofErr w:type="spellEnd"/>
      <w:r>
        <w:rPr>
          <w:color w:val="000000"/>
          <w:sz w:val="22"/>
          <w:szCs w:val="22"/>
        </w:rPr>
        <w:t xml:space="preserve">, kombinácie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ATCvet</w:t>
      </w:r>
      <w:proofErr w:type="spellEnd"/>
      <w:r>
        <w:rPr>
          <w:color w:val="000000"/>
          <w:sz w:val="22"/>
          <w:szCs w:val="22"/>
        </w:rPr>
        <w:t xml:space="preserve"> kód: QP54AB51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5.1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Farmakodynamické</w:t>
      </w:r>
      <w:proofErr w:type="spellEnd"/>
      <w:r>
        <w:rPr>
          <w:b/>
          <w:color w:val="000000"/>
          <w:sz w:val="22"/>
          <w:szCs w:val="22"/>
        </w:rPr>
        <w:t xml:space="preserve"> vlastnosti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Milbemycínoxim</w:t>
      </w:r>
      <w:proofErr w:type="spellEnd"/>
      <w:r>
        <w:rPr>
          <w:color w:val="000000"/>
          <w:sz w:val="22"/>
          <w:szCs w:val="22"/>
        </w:rPr>
        <w:t xml:space="preserve"> patrí do skupiny </w:t>
      </w:r>
      <w:proofErr w:type="spellStart"/>
      <w:r>
        <w:rPr>
          <w:color w:val="000000"/>
          <w:sz w:val="22"/>
          <w:szCs w:val="22"/>
        </w:rPr>
        <w:t>makrocyklických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laktónov</w:t>
      </w:r>
      <w:proofErr w:type="spellEnd"/>
      <w:r>
        <w:rPr>
          <w:color w:val="000000"/>
          <w:sz w:val="22"/>
          <w:szCs w:val="22"/>
        </w:rPr>
        <w:t xml:space="preserve">, izolovaných z fermentácie </w:t>
      </w:r>
      <w:proofErr w:type="spellStart"/>
      <w:r>
        <w:rPr>
          <w:i/>
          <w:sz w:val="22"/>
          <w:szCs w:val="22"/>
        </w:rPr>
        <w:t>Streptomyces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hygroscopicus</w:t>
      </w:r>
      <w:proofErr w:type="spellEnd"/>
      <w:r>
        <w:rPr>
          <w:sz w:val="22"/>
          <w:szCs w:val="22"/>
        </w:rPr>
        <w:t xml:space="preserve"> var. </w:t>
      </w:r>
      <w:proofErr w:type="spellStart"/>
      <w:r>
        <w:rPr>
          <w:i/>
          <w:sz w:val="22"/>
          <w:szCs w:val="22"/>
        </w:rPr>
        <w:t>aureolacrimosus</w:t>
      </w:r>
      <w:proofErr w:type="spellEnd"/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>
        <w:rPr>
          <w:color w:val="000000"/>
          <w:sz w:val="22"/>
          <w:szCs w:val="22"/>
        </w:rPr>
        <w:t>nematódam</w:t>
      </w:r>
      <w:proofErr w:type="spellEnd"/>
      <w:r>
        <w:rPr>
          <w:color w:val="000000"/>
          <w:sz w:val="22"/>
          <w:szCs w:val="22"/>
        </w:rPr>
        <w:t xml:space="preserve"> rovnako ako aj proti larvám </w:t>
      </w:r>
      <w:proofErr w:type="spellStart"/>
      <w:r>
        <w:rPr>
          <w:i/>
          <w:sz w:val="22"/>
          <w:szCs w:val="22"/>
        </w:rPr>
        <w:t>Dirofilaria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 xml:space="preserve">Účinok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je spojený s jeho pôsobením na </w:t>
      </w:r>
      <w:proofErr w:type="spellStart"/>
      <w:r>
        <w:rPr>
          <w:color w:val="000000"/>
          <w:sz w:val="22"/>
          <w:szCs w:val="22"/>
        </w:rPr>
        <w:t>neurotransmisiu</w:t>
      </w:r>
      <w:proofErr w:type="spellEnd"/>
      <w:r>
        <w:rPr>
          <w:color w:val="000000"/>
          <w:sz w:val="22"/>
          <w:szCs w:val="22"/>
        </w:rPr>
        <w:t xml:space="preserve"> u bezstavovcov.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, podobne ako </w:t>
      </w:r>
      <w:proofErr w:type="spellStart"/>
      <w:r>
        <w:rPr>
          <w:sz w:val="22"/>
          <w:szCs w:val="22"/>
          <w:lang w:eastAsia="en-US"/>
        </w:rPr>
        <w:t>avermektíny</w:t>
      </w:r>
      <w:proofErr w:type="spellEnd"/>
      <w:r>
        <w:rPr>
          <w:sz w:val="22"/>
          <w:szCs w:val="22"/>
          <w:lang w:eastAsia="en-US"/>
        </w:rPr>
        <w:t xml:space="preserve"> a iné </w:t>
      </w:r>
      <w:proofErr w:type="spellStart"/>
      <w:r>
        <w:rPr>
          <w:sz w:val="22"/>
          <w:szCs w:val="22"/>
          <w:lang w:eastAsia="en-US"/>
        </w:rPr>
        <w:t>milbemycíny</w:t>
      </w:r>
      <w:proofErr w:type="spellEnd"/>
      <w:r>
        <w:rPr>
          <w:sz w:val="22"/>
          <w:szCs w:val="22"/>
          <w:lang w:eastAsia="en-US"/>
        </w:rPr>
        <w:t xml:space="preserve"> zvyšuje </w:t>
      </w:r>
      <w:proofErr w:type="spellStart"/>
      <w:r>
        <w:rPr>
          <w:sz w:val="22"/>
          <w:szCs w:val="22"/>
          <w:lang w:eastAsia="en-US"/>
        </w:rPr>
        <w:t>permeabilitu</w:t>
      </w:r>
      <w:proofErr w:type="spellEnd"/>
      <w:r>
        <w:rPr>
          <w:sz w:val="22"/>
          <w:szCs w:val="22"/>
          <w:lang w:eastAsia="en-US"/>
        </w:rPr>
        <w:t xml:space="preserve"> membrán </w:t>
      </w:r>
      <w:proofErr w:type="spellStart"/>
      <w:r>
        <w:rPr>
          <w:sz w:val="22"/>
          <w:szCs w:val="22"/>
          <w:lang w:eastAsia="en-US"/>
        </w:rPr>
        <w:t>nematód</w:t>
      </w:r>
      <w:proofErr w:type="spellEnd"/>
      <w:r>
        <w:rPr>
          <w:sz w:val="22"/>
          <w:szCs w:val="22"/>
          <w:lang w:eastAsia="en-US"/>
        </w:rPr>
        <w:t xml:space="preserve"> a hmyzu pre </w:t>
      </w:r>
      <w:proofErr w:type="spellStart"/>
      <w:r>
        <w:rPr>
          <w:sz w:val="22"/>
          <w:szCs w:val="22"/>
          <w:lang w:eastAsia="en-US"/>
        </w:rPr>
        <w:t>chloridové</w:t>
      </w:r>
      <w:proofErr w:type="spellEnd"/>
      <w:r>
        <w:rPr>
          <w:sz w:val="22"/>
          <w:szCs w:val="22"/>
          <w:lang w:eastAsia="en-US"/>
        </w:rPr>
        <w:t xml:space="preserve"> ióny cez </w:t>
      </w:r>
      <w:proofErr w:type="spellStart"/>
      <w:r>
        <w:rPr>
          <w:sz w:val="22"/>
          <w:szCs w:val="22"/>
          <w:lang w:eastAsia="en-US"/>
        </w:rPr>
        <w:t>glutamát</w:t>
      </w:r>
      <w:proofErr w:type="spellEnd"/>
      <w:r>
        <w:rPr>
          <w:sz w:val="22"/>
          <w:szCs w:val="22"/>
          <w:lang w:eastAsia="en-US"/>
        </w:rPr>
        <w:t xml:space="preserve">- riadené kanály </w:t>
      </w:r>
      <w:proofErr w:type="spellStart"/>
      <w:r>
        <w:rPr>
          <w:sz w:val="22"/>
          <w:szCs w:val="22"/>
          <w:lang w:eastAsia="en-US"/>
        </w:rPr>
        <w:t>chloridových</w:t>
      </w:r>
      <w:proofErr w:type="spellEnd"/>
      <w:r>
        <w:rPr>
          <w:sz w:val="22"/>
          <w:szCs w:val="22"/>
          <w:lang w:eastAsia="en-US"/>
        </w:rPr>
        <w:t xml:space="preserve"> iónov (podobne ako sú u stavovcov receptory na GABA</w:t>
      </w:r>
      <w:r>
        <w:rPr>
          <w:sz w:val="22"/>
          <w:szCs w:val="22"/>
          <w:vertAlign w:val="subscript"/>
          <w:lang w:eastAsia="en-US"/>
        </w:rPr>
        <w:t>A</w:t>
      </w:r>
      <w:r>
        <w:rPr>
          <w:sz w:val="22"/>
          <w:szCs w:val="22"/>
          <w:lang w:eastAsia="en-US"/>
        </w:rPr>
        <w:t xml:space="preserve"> a </w:t>
      </w:r>
      <w:proofErr w:type="spellStart"/>
      <w:r>
        <w:rPr>
          <w:sz w:val="22"/>
          <w:szCs w:val="22"/>
          <w:lang w:eastAsia="en-US"/>
        </w:rPr>
        <w:t>glycín</w:t>
      </w:r>
      <w:proofErr w:type="spellEnd"/>
      <w:r>
        <w:rPr>
          <w:sz w:val="22"/>
          <w:szCs w:val="22"/>
          <w:lang w:eastAsia="en-US"/>
        </w:rPr>
        <w:t xml:space="preserve">). To vedie k </w:t>
      </w:r>
      <w:proofErr w:type="spellStart"/>
      <w:r>
        <w:rPr>
          <w:sz w:val="22"/>
          <w:szCs w:val="22"/>
          <w:lang w:eastAsia="en-US"/>
        </w:rPr>
        <w:t>hyperpolarizácii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neuromuskulárnej</w:t>
      </w:r>
      <w:proofErr w:type="spellEnd"/>
      <w:r>
        <w:rPr>
          <w:sz w:val="22"/>
          <w:szCs w:val="22"/>
          <w:lang w:eastAsia="en-US"/>
        </w:rPr>
        <w:t xml:space="preserve"> membrány, slabej paralýze a smrti parazita.</w:t>
      </w:r>
    </w:p>
    <w:p w:rsidR="00F47C4D" w:rsidRDefault="00307A09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Prazikv</w:t>
      </w:r>
      <w:r w:rsidR="00F47C4D">
        <w:rPr>
          <w:color w:val="000000"/>
          <w:sz w:val="22"/>
          <w:szCs w:val="22"/>
        </w:rPr>
        <w:t>antel</w:t>
      </w:r>
      <w:proofErr w:type="spellEnd"/>
      <w:r w:rsidR="00F47C4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</w:t>
      </w:r>
      <w:proofErr w:type="spellStart"/>
      <w:r>
        <w:rPr>
          <w:color w:val="000000"/>
          <w:sz w:val="22"/>
          <w:szCs w:val="22"/>
        </w:rPr>
        <w:t>acylovaný</w:t>
      </w:r>
      <w:proofErr w:type="spellEnd"/>
      <w:r>
        <w:rPr>
          <w:color w:val="000000"/>
          <w:sz w:val="22"/>
          <w:szCs w:val="22"/>
        </w:rPr>
        <w:t xml:space="preserve"> derivát </w:t>
      </w:r>
      <w:proofErr w:type="spellStart"/>
      <w:r>
        <w:rPr>
          <w:color w:val="000000"/>
          <w:sz w:val="22"/>
          <w:szCs w:val="22"/>
        </w:rPr>
        <w:t>pyrazino-izochinolínu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Prazikv</w:t>
      </w:r>
      <w:r w:rsidR="00F47C4D">
        <w:rPr>
          <w:color w:val="000000"/>
          <w:sz w:val="22"/>
          <w:szCs w:val="22"/>
        </w:rPr>
        <w:t>antel</w:t>
      </w:r>
      <w:proofErr w:type="spellEnd"/>
      <w:r w:rsidR="00F47C4D">
        <w:rPr>
          <w:color w:val="000000"/>
          <w:sz w:val="22"/>
          <w:szCs w:val="22"/>
        </w:rPr>
        <w:t xml:space="preserve"> je účinný proti </w:t>
      </w:r>
      <w:proofErr w:type="spellStart"/>
      <w:r w:rsidR="00F47C4D">
        <w:rPr>
          <w:color w:val="000000"/>
          <w:sz w:val="22"/>
          <w:szCs w:val="22"/>
        </w:rPr>
        <w:t>cestódam</w:t>
      </w:r>
      <w:proofErr w:type="spellEnd"/>
      <w:r w:rsidR="00F47C4D">
        <w:rPr>
          <w:color w:val="000000"/>
          <w:sz w:val="22"/>
          <w:szCs w:val="22"/>
        </w:rPr>
        <w:t xml:space="preserve"> a </w:t>
      </w:r>
      <w:proofErr w:type="spellStart"/>
      <w:r w:rsidR="00F47C4D">
        <w:rPr>
          <w:color w:val="000000"/>
          <w:sz w:val="22"/>
          <w:szCs w:val="22"/>
        </w:rPr>
        <w:t>trematódam</w:t>
      </w:r>
      <w:proofErr w:type="spellEnd"/>
      <w:r w:rsidR="00F47C4D">
        <w:rPr>
          <w:color w:val="000000"/>
          <w:sz w:val="22"/>
          <w:szCs w:val="22"/>
        </w:rPr>
        <w:t>. Modifikuje priepustnosť membrán parazitov pre vápnik (vtok Ca</w:t>
      </w:r>
      <w:r w:rsidR="00F47C4D">
        <w:rPr>
          <w:color w:val="000000"/>
          <w:sz w:val="22"/>
          <w:szCs w:val="22"/>
          <w:vertAlign w:val="superscript"/>
        </w:rPr>
        <w:t>2+</w:t>
      </w:r>
      <w:r w:rsidR="00F47C4D">
        <w:rPr>
          <w:color w:val="000000"/>
          <w:sz w:val="22"/>
          <w:szCs w:val="22"/>
        </w:rPr>
        <w:t xml:space="preserve">), navodzuje nerovnováhu membránových štruktúr, čo vedie k depolarizácii membrán a k takmer okamžitej kontrakcii svalov (kŕče), k rýchlej </w:t>
      </w:r>
      <w:proofErr w:type="spellStart"/>
      <w:r w:rsidR="00F47C4D">
        <w:rPr>
          <w:color w:val="000000"/>
          <w:sz w:val="22"/>
          <w:szCs w:val="22"/>
        </w:rPr>
        <w:t>vakuolizácii</w:t>
      </w:r>
      <w:proofErr w:type="spellEnd"/>
      <w:r w:rsidR="00F47C4D">
        <w:rPr>
          <w:color w:val="000000"/>
          <w:sz w:val="22"/>
          <w:szCs w:val="22"/>
        </w:rPr>
        <w:t xml:space="preserve"> </w:t>
      </w:r>
      <w:proofErr w:type="spellStart"/>
      <w:r w:rsidR="00F47C4D">
        <w:rPr>
          <w:color w:val="000000"/>
          <w:sz w:val="22"/>
          <w:szCs w:val="22"/>
        </w:rPr>
        <w:t>syncytiálneho</w:t>
      </w:r>
      <w:proofErr w:type="spellEnd"/>
      <w:r w:rsidR="00F47C4D">
        <w:rPr>
          <w:color w:val="000000"/>
          <w:sz w:val="22"/>
          <w:szCs w:val="22"/>
        </w:rPr>
        <w:t xml:space="preserve"> povrchu a ďalej k dezintegrácii povrchu parazita (pľuzgieriky), čo končí ľahkým vypudením parazita z tráviaceho traktu alebo jeho úhynom.</w:t>
      </w: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5.2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Farmakokinetické</w:t>
      </w:r>
      <w:proofErr w:type="spellEnd"/>
      <w:r>
        <w:rPr>
          <w:b/>
          <w:color w:val="000000"/>
          <w:sz w:val="22"/>
          <w:szCs w:val="22"/>
        </w:rPr>
        <w:t xml:space="preserve"> údaje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307A09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perorálnej aplikácii </w:t>
      </w:r>
      <w:proofErr w:type="spellStart"/>
      <w:r>
        <w:rPr>
          <w:color w:val="000000"/>
          <w:sz w:val="22"/>
          <w:szCs w:val="22"/>
          <w:lang w:eastAsia="sl-SI"/>
        </w:rPr>
        <w:t>prazikv</w:t>
      </w:r>
      <w:r w:rsidR="00F47C4D">
        <w:rPr>
          <w:color w:val="000000"/>
          <w:sz w:val="22"/>
          <w:szCs w:val="22"/>
          <w:lang w:eastAsia="sl-SI"/>
        </w:rPr>
        <w:t>antelu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psovi, po malom množstve jedla, sa rýchlo dosiahne najvyššia hladina látky v sére (</w:t>
      </w:r>
      <w:proofErr w:type="spellStart"/>
      <w:r w:rsidR="00F47C4D">
        <w:rPr>
          <w:color w:val="000000"/>
          <w:sz w:val="22"/>
          <w:szCs w:val="22"/>
          <w:lang w:eastAsia="sl-SI"/>
        </w:rPr>
        <w:t>T</w:t>
      </w:r>
      <w:r w:rsidR="00F47C4D">
        <w:rPr>
          <w:color w:val="000000"/>
          <w:sz w:val="22"/>
          <w:szCs w:val="22"/>
          <w:vertAlign w:val="subscript"/>
          <w:lang w:eastAsia="sl-SI"/>
        </w:rPr>
        <w:t>max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je približne 0,25 - 2,5 hodiny) a rýchly pokles hladín (t</w:t>
      </w:r>
      <w:r w:rsidR="00F47C4D">
        <w:rPr>
          <w:color w:val="000000"/>
          <w:sz w:val="22"/>
          <w:szCs w:val="22"/>
          <w:vertAlign w:val="subscript"/>
          <w:lang w:eastAsia="sl-SI"/>
        </w:rPr>
        <w:t>1/2</w:t>
      </w:r>
      <w:r w:rsidR="00F47C4D">
        <w:rPr>
          <w:color w:val="000000"/>
          <w:sz w:val="22"/>
          <w:szCs w:val="22"/>
          <w:lang w:eastAsia="sl-SI"/>
        </w:rPr>
        <w:t xml:space="preserve"> je približne 1 hodina); ide o dôležitý účinok prvého prechodu pečeňou, s veľmi rýchlou a takmer vždy úplnou </w:t>
      </w:r>
      <w:proofErr w:type="spellStart"/>
      <w:r w:rsidR="00F47C4D">
        <w:rPr>
          <w:color w:val="000000"/>
          <w:sz w:val="22"/>
          <w:szCs w:val="22"/>
          <w:lang w:eastAsia="sl-SI"/>
        </w:rPr>
        <w:t>biotransformáciou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v pečeni, hlavne na </w:t>
      </w:r>
      <w:proofErr w:type="spellStart"/>
      <w:r w:rsidR="00F47C4D">
        <w:rPr>
          <w:color w:val="000000"/>
          <w:sz w:val="22"/>
          <w:szCs w:val="22"/>
          <w:lang w:eastAsia="sl-SI"/>
        </w:rPr>
        <w:t>monohydroxylované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(ale tiež bi- a </w:t>
      </w:r>
      <w:proofErr w:type="spellStart"/>
      <w:r w:rsidR="00F47C4D">
        <w:rPr>
          <w:color w:val="000000"/>
          <w:sz w:val="22"/>
          <w:szCs w:val="22"/>
          <w:lang w:eastAsia="sl-SI"/>
        </w:rPr>
        <w:t>tri-hydroxylované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) deriváty, ktoré sú pred exkréciou väčšinou </w:t>
      </w:r>
      <w:proofErr w:type="spellStart"/>
      <w:r w:rsidR="00F47C4D">
        <w:rPr>
          <w:color w:val="000000"/>
          <w:sz w:val="22"/>
          <w:szCs w:val="22"/>
          <w:lang w:eastAsia="sl-SI"/>
        </w:rPr>
        <w:t>konjugované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F47C4D">
        <w:rPr>
          <w:color w:val="000000"/>
          <w:sz w:val="22"/>
          <w:szCs w:val="22"/>
          <w:lang w:eastAsia="sl-SI"/>
        </w:rPr>
        <w:t>glukuronidom</w:t>
      </w:r>
      <w:proofErr w:type="spellEnd"/>
      <w:r w:rsidR="00F47C4D">
        <w:rPr>
          <w:color w:val="000000"/>
          <w:sz w:val="22"/>
          <w:szCs w:val="22"/>
          <w:lang w:eastAsia="sl-SI"/>
        </w:rPr>
        <w:t xml:space="preserve"> a/alebo sulfátom. Naviazanie v plazme je približne 80 %. Exkrécia je rýchla a úplná (približne 90 % za 2 dni); vylučuje sa hlavne obličkami.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perorálnej aplikácii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psovi, po malom množstve jedla, sa najvyššia hladina v plazme dosiahne za približne 0,75 - 3,5 hodiny a pokles s polčasom nemetabolizovaného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je 1 - 4 dni. Biologická dostupnosť je približne 80 %.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FARMACEUTICKÉ ÚDAJE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6.1</w:t>
      </w:r>
      <w:r>
        <w:rPr>
          <w:b/>
          <w:color w:val="000000"/>
          <w:sz w:val="22"/>
          <w:szCs w:val="22"/>
        </w:rPr>
        <w:tab/>
        <w:t>Zoznam pomocných látok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Mikrokryštalická celulóza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Monohydrát</w:t>
      </w:r>
      <w:proofErr w:type="spellEnd"/>
      <w:r>
        <w:rPr>
          <w:color w:val="000000"/>
          <w:sz w:val="22"/>
          <w:szCs w:val="22"/>
        </w:rPr>
        <w:t xml:space="preserve"> laktózy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Povidón</w:t>
      </w:r>
      <w:proofErr w:type="spellEnd"/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Sodná soľ </w:t>
      </w:r>
      <w:proofErr w:type="spellStart"/>
      <w:r>
        <w:rPr>
          <w:color w:val="000000"/>
          <w:sz w:val="22"/>
          <w:szCs w:val="22"/>
        </w:rPr>
        <w:t>kroskarmelózy</w:t>
      </w:r>
      <w:proofErr w:type="spellEnd"/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Koloidný oxid kremičitý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Mäsová príchuť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Práškové kvasnice</w:t>
      </w:r>
    </w:p>
    <w:p w:rsidR="00F47C4D" w:rsidRDefault="00307A09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Stearát</w:t>
      </w:r>
      <w:proofErr w:type="spellEnd"/>
      <w:r w:rsidR="00F47C4D">
        <w:rPr>
          <w:color w:val="000000"/>
          <w:sz w:val="22"/>
          <w:szCs w:val="22"/>
        </w:rPr>
        <w:t xml:space="preserve"> </w:t>
      </w:r>
      <w:proofErr w:type="spellStart"/>
      <w:r w:rsidR="00F47C4D">
        <w:rPr>
          <w:color w:val="000000"/>
          <w:sz w:val="22"/>
          <w:szCs w:val="22"/>
        </w:rPr>
        <w:t>horečnatý</w:t>
      </w:r>
      <w:proofErr w:type="spellEnd"/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6.2</w:t>
      </w:r>
      <w:r>
        <w:rPr>
          <w:b/>
          <w:color w:val="000000"/>
          <w:sz w:val="22"/>
          <w:szCs w:val="22"/>
        </w:rPr>
        <w:tab/>
        <w:t>Závažné i</w:t>
      </w:r>
      <w:r>
        <w:rPr>
          <w:b/>
          <w:bCs/>
          <w:sz w:val="22"/>
          <w:szCs w:val="22"/>
        </w:rPr>
        <w:t>nkompatibility</w:t>
      </w:r>
    </w:p>
    <w:p w:rsidR="00F47C4D" w:rsidRDefault="00F47C4D" w:rsidP="00F47C4D">
      <w:pPr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Nie sú známe.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6.3</w:t>
      </w:r>
      <w:r>
        <w:rPr>
          <w:b/>
          <w:color w:val="000000"/>
          <w:sz w:val="22"/>
          <w:szCs w:val="22"/>
        </w:rPr>
        <w:tab/>
        <w:t>Čas použiteľnosti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rPr>
          <w:bCs/>
          <w:iCs/>
          <w:sz w:val="22"/>
          <w:szCs w:val="22"/>
          <w:lang w:eastAsia="sl-SI"/>
        </w:rPr>
      </w:pPr>
      <w:r>
        <w:rPr>
          <w:sz w:val="22"/>
          <w:szCs w:val="22"/>
        </w:rPr>
        <w:t>Čas použiteľnosti veterinárneho lieku zabaleného v neporušenom obale</w:t>
      </w:r>
      <w:r>
        <w:rPr>
          <w:bCs/>
          <w:iCs/>
          <w:sz w:val="22"/>
          <w:szCs w:val="22"/>
        </w:rPr>
        <w:t>: 3 roky.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pre uchovávanie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 Tento veterinárny liek nevyžaduje žiadne zvláštne teplotné podmienky na uchovávanie.</w:t>
      </w: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  <w:lang w:eastAsia="sl-SI"/>
        </w:rPr>
        <w:t>Blistrové</w:t>
      </w:r>
      <w:proofErr w:type="spellEnd"/>
      <w:r>
        <w:rPr>
          <w:color w:val="000000"/>
          <w:sz w:val="22"/>
          <w:szCs w:val="22"/>
          <w:lang w:eastAsia="sl-SI"/>
        </w:rPr>
        <w:t xml:space="preserve"> balenie pozostávajúce zo za studena tvarovanej OPA/Al/PVC fólie a hliníkovej fólie.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obsahujúcimi 4 tablety (celkom 48 tabliet).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všetky veľkosti balenia sa musia uvádzať na trh.</w:t>
      </w:r>
    </w:p>
    <w:p w:rsidR="00F47C4D" w:rsidRDefault="00F47C4D" w:rsidP="00F47C4D">
      <w:pPr>
        <w:pStyle w:val="Zkladntext2"/>
        <w:tabs>
          <w:tab w:val="left" w:pos="0"/>
          <w:tab w:val="left" w:pos="284"/>
        </w:tabs>
        <w:spacing w:after="0" w:line="240" w:lineRule="auto"/>
        <w:rPr>
          <w:b/>
          <w:sz w:val="22"/>
          <w:szCs w:val="22"/>
          <w:lang w:val="sk-SK"/>
        </w:rPr>
      </w:pPr>
    </w:p>
    <w:p w:rsidR="00F47C4D" w:rsidRDefault="00F47C4D" w:rsidP="00F47C4D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  <w:sz w:val="22"/>
          <w:szCs w:val="22"/>
        </w:rPr>
        <w:t>.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Každý nepoužitý veterinárny liek alebo odpadové materiály z tohto veterinárneho lieku musia byť zlikvidované v súlade s miestnymi požiadavkami.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  <w:lang w:val="sl-SI" w:eastAsia="sl-SI"/>
        </w:rPr>
      </w:pPr>
      <w:r>
        <w:rPr>
          <w:sz w:val="22"/>
          <w:szCs w:val="22"/>
          <w:lang w:val="sl-SI" w:eastAsia="sl-SI"/>
        </w:rPr>
        <w:t>Liek nesmie kontaminovať vodné toky, pretože to môže byť nebezpečné pre ryby a iné vodné organizmy.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7.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DRŽITEĽ POVOLENIA NA UVEDENIE NA TRH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KRKA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</w:t>
      </w:r>
    </w:p>
    <w:p w:rsidR="00F47C4D" w:rsidRDefault="00F47C4D" w:rsidP="00F47C4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8501 Novo mesto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  <w:t>REGISTRAČNÉ ČÍSLO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96/028/MR/19-S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9.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DÁTUM PRVÉHO POVOLENIA ALEBO DÁTUM PREDĹŽENIA PLATNOSTI POVOLENIA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AE3746" w:rsidRDefault="00AE3746" w:rsidP="00AE3746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 25/07/2019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DÁTUM REVÍZIE TEXTU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Pr="00170C2D" w:rsidRDefault="00170C2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12/2023</w:t>
      </w:r>
    </w:p>
    <w:p w:rsidR="00F47C4D" w:rsidRDefault="00F47C4D" w:rsidP="00F47C4D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ZÁKAZ PREDAJA, DODÁVOK A/ALEBO POUŽÍVANIA</w:t>
      </w:r>
    </w:p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Neuplatňuje sa.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:rsidR="00F47C4D" w:rsidRDefault="00F47C4D">
            <w:pPr>
              <w:rPr>
                <w:b/>
                <w:bCs/>
                <w:sz w:val="22"/>
                <w:szCs w:val="22"/>
              </w:rPr>
            </w:pPr>
          </w:p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LIEKU</w:t>
            </w:r>
          </w:p>
        </w:tc>
      </w:tr>
    </w:tbl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12,5 mg</w:t>
      </w:r>
      <w:r w:rsidR="00D46DFF">
        <w:rPr>
          <w:color w:val="000000"/>
          <w:sz w:val="22"/>
          <w:szCs w:val="22"/>
        </w:rPr>
        <w:t>/125 mg žuvacie tablety pre</w:t>
      </w:r>
      <w:r>
        <w:rPr>
          <w:color w:val="000000"/>
          <w:sz w:val="22"/>
          <w:szCs w:val="22"/>
        </w:rPr>
        <w:t xml:space="preserve"> psy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5 kg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ZLOŽENIE: ÚČINNÉ LÁTKY A POMOCNÉ LÁTKY</w:t>
            </w:r>
          </w:p>
        </w:tc>
      </w:tr>
    </w:tbl>
    <w:p w:rsidR="00F47C4D" w:rsidRDefault="00F47C4D" w:rsidP="00F47C4D">
      <w:pPr>
        <w:rPr>
          <w:b/>
          <w:sz w:val="22"/>
          <w:szCs w:val="22"/>
        </w:rPr>
      </w:pPr>
    </w:p>
    <w:p w:rsidR="00F47C4D" w:rsidRDefault="00F47C4D" w:rsidP="00F47C4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Každá tableta:</w:t>
      </w:r>
    </w:p>
    <w:p w:rsidR="00F47C4D" w:rsidRDefault="00F47C4D" w:rsidP="00F47C4D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  <w:t>12,5</w:t>
      </w:r>
      <w:r>
        <w:rPr>
          <w:iCs/>
          <w:sz w:val="22"/>
          <w:szCs w:val="22"/>
        </w:rPr>
        <w:t> mg</w:t>
      </w:r>
    </w:p>
    <w:p w:rsidR="00F47C4D" w:rsidRDefault="00F47C4D" w:rsidP="00F47C4D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125,0 mg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Žuvacia tableta.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 tablety</w:t>
      </w:r>
    </w:p>
    <w:p w:rsidR="00F47C4D" w:rsidRDefault="00F47C4D" w:rsidP="00F47C4D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4 tablety</w:t>
      </w:r>
    </w:p>
    <w:p w:rsidR="00F47C4D" w:rsidRDefault="00F47C4D" w:rsidP="00F47C4D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48 tabliet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>Psy (s hmotnosťou najmenej 5 kg).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shd w:val="clear" w:color="auto" w:fill="D9D9D9"/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>
        <w:rPr>
          <w:color w:val="000000"/>
          <w:sz w:val="22"/>
          <w:szCs w:val="22"/>
          <w:highlight w:val="lightGray"/>
        </w:rPr>
        <w:t>antihelmintikum</w:t>
      </w:r>
      <w:proofErr w:type="spellEnd"/>
      <w:r>
        <w:rPr>
          <w:color w:val="000000"/>
          <w:sz w:val="22"/>
          <w:szCs w:val="22"/>
        </w:rPr>
        <w:t>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SPÔSOB A CESTA PODANIA LIEKU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používateľov.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Perorálne použitie.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 xml:space="preserve">OSOBITNÉ BEZPEČNOSTNÉ OPATRENIA NA ZNEŠKODNENIE NEPOUŽITÉHO </w:t>
            </w:r>
            <w:r>
              <w:rPr>
                <w:b/>
                <w:bCs/>
                <w:sz w:val="22"/>
                <w:szCs w:val="22"/>
              </w:rPr>
              <w:lastRenderedPageBreak/>
              <w:t>LIEKU(-OV) ALEBO ODPADOVÉHO MATERIÁLU, V PRÍPADE POTREBY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Likvidácia: prečítajte si písomnú informáciu pre používateľov</w:t>
      </w:r>
      <w:r>
        <w:rPr>
          <w:iCs/>
          <w:sz w:val="22"/>
          <w:szCs w:val="22"/>
        </w:rPr>
        <w:t>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Len pre zvieratá. Výdaj lieku je viazaný na veterinárny predpis.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ab/>
              <w:t>DRŽITEĽ ROZHODNUTIA O REGISTRÁCII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mesto, Slovinsko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  <w:r>
              <w:rPr>
                <w:b/>
                <w:sz w:val="22"/>
                <w:szCs w:val="22"/>
              </w:rPr>
              <w:tab/>
              <w:t>REGISTRAČNÉ ČÍSLO</w:t>
            </w:r>
          </w:p>
        </w:tc>
      </w:tr>
    </w:tbl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96/028/MR/19-S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F47C4D" w:rsidTr="00F47C4D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  <w:r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bCs/>
          <w:sz w:val="22"/>
          <w:szCs w:val="22"/>
          <w:lang w:val="sl-SI" w:eastAsia="sl-SI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47C4D" w:rsidTr="00F47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BLISTROCH ALEBO </w:t>
            </w:r>
          </w:p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STRIPOCH</w:t>
            </w:r>
          </w:p>
          <w:p w:rsidR="00F47C4D" w:rsidRDefault="00F47C4D">
            <w:pPr>
              <w:rPr>
                <w:b/>
                <w:bCs/>
                <w:sz w:val="22"/>
                <w:szCs w:val="22"/>
              </w:rPr>
            </w:pPr>
          </w:p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:rsidR="00F47C4D" w:rsidRDefault="00F47C4D" w:rsidP="00F47C4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F47C4D" w:rsidTr="00F47C4D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F47C4D" w:rsidRDefault="00F47C4D" w:rsidP="00F47C4D">
      <w:pPr>
        <w:rPr>
          <w:b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12,5 mg/125 mg žuvacie tablety pre psy</w:t>
      </w:r>
    </w:p>
    <w:p w:rsidR="00F47C4D" w:rsidRDefault="00F47C4D" w:rsidP="00F47C4D">
      <w:pPr>
        <w:rPr>
          <w:sz w:val="22"/>
          <w:szCs w:val="22"/>
          <w:lang w:val="de-DE"/>
        </w:rPr>
      </w:pPr>
      <w:r>
        <w:rPr>
          <w:iCs/>
          <w:sz w:val="22"/>
          <w:szCs w:val="22"/>
          <w:lang w:val="sl-SI"/>
        </w:rPr>
        <w:t>Milbemycinoximum/Praziquantelum</w:t>
      </w:r>
    </w:p>
    <w:p w:rsidR="00F47C4D" w:rsidRDefault="00F47C4D" w:rsidP="00F47C4D">
      <w:pPr>
        <w:rPr>
          <w:iCs/>
          <w:sz w:val="22"/>
          <w:szCs w:val="22"/>
          <w:lang w:val="sl-SI"/>
        </w:rPr>
      </w:pPr>
      <w:r>
        <w:rPr>
          <w:iCs/>
          <w:sz w:val="22"/>
          <w:szCs w:val="22"/>
          <w:highlight w:val="lightGray"/>
          <w:lang w:val="sl-SI"/>
        </w:rPr>
        <w:t>Milbemycinoximum/praziquantelum (pre multijazyčné balenia)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F47C4D" w:rsidTr="00F47C4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:rsidR="00F47C4D" w:rsidRDefault="00F47C4D" w:rsidP="00F47C4D">
      <w:pPr>
        <w:jc w:val="both"/>
        <w:rPr>
          <w:sz w:val="22"/>
          <w:szCs w:val="22"/>
        </w:rPr>
      </w:pPr>
    </w:p>
    <w:p w:rsidR="00F47C4D" w:rsidRDefault="00F47C4D" w:rsidP="00F47C4D">
      <w:pPr>
        <w:jc w:val="both"/>
        <w:rPr>
          <w:sz w:val="22"/>
          <w:szCs w:val="22"/>
        </w:rPr>
      </w:pPr>
      <w:r>
        <w:rPr>
          <w:sz w:val="22"/>
          <w:szCs w:val="22"/>
        </w:rPr>
        <w:t>KRKA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47C4D" w:rsidTr="00F47C4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</w:t>
      </w:r>
    </w:p>
    <w:p w:rsidR="00F47C4D" w:rsidRDefault="00F47C4D" w:rsidP="00F47C4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F47C4D" w:rsidTr="00F47C4D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F47C4D" w:rsidRDefault="00F47C4D" w:rsidP="00F47C4D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F47C4D" w:rsidTr="00F47C4D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jc w:val="center"/>
        <w:rPr>
          <w:b/>
          <w:bCs/>
          <w:sz w:val="22"/>
          <w:szCs w:val="22"/>
          <w:lang w:val="sl-SI" w:eastAsia="sl-SI"/>
        </w:rPr>
      </w:pPr>
      <w:r>
        <w:rPr>
          <w:b/>
          <w:bCs/>
          <w:sz w:val="22"/>
          <w:szCs w:val="22"/>
          <w:lang w:val="sl-SI" w:eastAsia="sl-SI"/>
        </w:rPr>
        <w:t>PÍSOMNÁ INFORMÁCIA PRE POUŽÍVATEĽOV</w:t>
      </w:r>
    </w:p>
    <w:p w:rsidR="00F47C4D" w:rsidRDefault="00F47C4D" w:rsidP="00F47C4D">
      <w:pPr>
        <w:tabs>
          <w:tab w:val="left" w:pos="284"/>
        </w:tabs>
        <w:jc w:val="center"/>
        <w:rPr>
          <w:b/>
          <w:color w:val="000000"/>
          <w:sz w:val="22"/>
          <w:szCs w:val="22"/>
          <w:lang w:eastAsia="sl-SI"/>
        </w:rPr>
      </w:pPr>
      <w:proofErr w:type="spellStart"/>
      <w:r>
        <w:rPr>
          <w:b/>
          <w:color w:val="000000"/>
          <w:sz w:val="22"/>
          <w:szCs w:val="22"/>
        </w:rPr>
        <w:t>Amcofen</w:t>
      </w:r>
      <w:proofErr w:type="spellEnd"/>
      <w:r>
        <w:rPr>
          <w:b/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b/>
          <w:sz w:val="22"/>
          <w:szCs w:val="22"/>
        </w:rPr>
        <w:t>hmotnosťou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najmenej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0,5 kg</w:t>
      </w:r>
    </w:p>
    <w:p w:rsidR="00F47C4D" w:rsidRDefault="00F47C4D" w:rsidP="00F47C4D">
      <w:pPr>
        <w:tabs>
          <w:tab w:val="left" w:pos="284"/>
        </w:tabs>
        <w:jc w:val="center"/>
        <w:rPr>
          <w:b/>
          <w:color w:val="000000"/>
          <w:sz w:val="22"/>
          <w:szCs w:val="22"/>
          <w:lang w:eastAsia="sl-SI"/>
        </w:rPr>
      </w:pPr>
      <w:proofErr w:type="spellStart"/>
      <w:r>
        <w:rPr>
          <w:b/>
          <w:color w:val="000000"/>
          <w:sz w:val="22"/>
          <w:szCs w:val="22"/>
        </w:rPr>
        <w:t>Amcofen</w:t>
      </w:r>
      <w:proofErr w:type="spellEnd"/>
      <w:r>
        <w:rPr>
          <w:b/>
          <w:color w:val="000000"/>
          <w:sz w:val="22"/>
          <w:szCs w:val="22"/>
        </w:rPr>
        <w:t xml:space="preserve"> 12,5 mg/125 mg žuvacie tablety pre psy s </w:t>
      </w:r>
      <w:r>
        <w:rPr>
          <w:rStyle w:val="hps"/>
          <w:b/>
          <w:sz w:val="22"/>
          <w:szCs w:val="22"/>
        </w:rPr>
        <w:t>hmotnosťou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najmenej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5 kg</w:t>
      </w:r>
    </w:p>
    <w:p w:rsidR="00F47C4D" w:rsidRDefault="00F47C4D" w:rsidP="00F47C4D">
      <w:pPr>
        <w:rPr>
          <w:b/>
          <w:bCs/>
          <w:sz w:val="22"/>
          <w:szCs w:val="22"/>
          <w:lang w:val="sl-SI" w:eastAsia="sl-SI"/>
        </w:rPr>
      </w:pPr>
    </w:p>
    <w:p w:rsidR="00F47C4D" w:rsidRDefault="00F47C4D" w:rsidP="00F47C4D">
      <w:pPr>
        <w:pStyle w:val="Zkladntext2"/>
        <w:spacing w:after="0" w:line="240" w:lineRule="auto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Držiteľ rozhodnutia o registrácii: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 zodpovedný za uvoľnenie šarže: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TAD </w:t>
      </w:r>
      <w:proofErr w:type="spellStart"/>
      <w:r>
        <w:rPr>
          <w:sz w:val="22"/>
          <w:szCs w:val="22"/>
          <w:highlight w:val="lightGray"/>
        </w:rPr>
        <w:t>Pharma</w:t>
      </w:r>
      <w:proofErr w:type="spellEnd"/>
      <w:r>
        <w:rPr>
          <w:sz w:val="22"/>
          <w:szCs w:val="22"/>
          <w:highlight w:val="lightGray"/>
        </w:rPr>
        <w:t xml:space="preserve"> </w:t>
      </w:r>
      <w:proofErr w:type="spellStart"/>
      <w:r>
        <w:rPr>
          <w:sz w:val="22"/>
          <w:szCs w:val="22"/>
          <w:highlight w:val="lightGray"/>
        </w:rPr>
        <w:t>GmbH</w:t>
      </w:r>
      <w:proofErr w:type="spellEnd"/>
      <w:r>
        <w:rPr>
          <w:sz w:val="22"/>
          <w:szCs w:val="22"/>
          <w:highlight w:val="lightGray"/>
        </w:rPr>
        <w:t xml:space="preserve">, </w:t>
      </w:r>
      <w:proofErr w:type="spellStart"/>
      <w:r>
        <w:rPr>
          <w:sz w:val="22"/>
          <w:szCs w:val="22"/>
          <w:highlight w:val="lightGray"/>
        </w:rPr>
        <w:t>Heinz-Lohmann-Straße</w:t>
      </w:r>
      <w:proofErr w:type="spellEnd"/>
      <w:r>
        <w:rPr>
          <w:sz w:val="22"/>
          <w:szCs w:val="22"/>
          <w:highlight w:val="lightGray"/>
        </w:rPr>
        <w:t xml:space="preserve"> 5, 27472 </w:t>
      </w:r>
      <w:proofErr w:type="spellStart"/>
      <w:r>
        <w:rPr>
          <w:sz w:val="22"/>
          <w:szCs w:val="22"/>
          <w:highlight w:val="lightGray"/>
        </w:rPr>
        <w:t>Cuxhaven</w:t>
      </w:r>
      <w:proofErr w:type="spellEnd"/>
      <w:r>
        <w:rPr>
          <w:sz w:val="22"/>
          <w:szCs w:val="22"/>
          <w:highlight w:val="lightGray"/>
        </w:rPr>
        <w:t>, Nemecko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NÁZOV VETERINÁRNEHO LIEKU</w:t>
      </w:r>
    </w:p>
    <w:p w:rsidR="00F47C4D" w:rsidRDefault="00F47C4D" w:rsidP="00F47C4D">
      <w:pPr>
        <w:pStyle w:val="Zkladntext3"/>
        <w:spacing w:after="0"/>
        <w:rPr>
          <w:b/>
          <w:bCs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0,5 kg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12,5 mg/125 mg žuvacie tablety pre psy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5 kg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OBSAH ÚČINNEJ LÁTKY (-OK) A INEJ LÁTKY (-OK)</w:t>
      </w:r>
    </w:p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pStyle w:val="Zkladntext3"/>
        <w:spacing w:after="0"/>
        <w:rPr>
          <w:sz w:val="22"/>
          <w:szCs w:val="22"/>
        </w:rPr>
      </w:pPr>
      <w:r>
        <w:rPr>
          <w:sz w:val="22"/>
          <w:szCs w:val="22"/>
        </w:rPr>
        <w:t>Každá žuvacia tableta obsahuje:</w:t>
      </w:r>
    </w:p>
    <w:p w:rsidR="00F47C4D" w:rsidRDefault="00F47C4D" w:rsidP="00F47C4D">
      <w:pPr>
        <w:pStyle w:val="Zkladntext3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F47C4D" w:rsidTr="00F47C4D">
        <w:tc>
          <w:tcPr>
            <w:tcW w:w="2962" w:type="dxa"/>
          </w:tcPr>
          <w:p w:rsidR="00F47C4D" w:rsidRDefault="00F47C4D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Žuvacie tablety pre malé psy a šteňatá</w:t>
            </w:r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Žuvacie tablety pre psy</w:t>
            </w:r>
          </w:p>
        </w:tc>
      </w:tr>
      <w:tr w:rsidR="00F47C4D" w:rsidTr="00F47C4D">
        <w:tc>
          <w:tcPr>
            <w:tcW w:w="2962" w:type="dxa"/>
          </w:tcPr>
          <w:p w:rsidR="00F47C4D" w:rsidRDefault="00F47C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Účinné látky:</w:t>
            </w:r>
          </w:p>
          <w:p w:rsidR="00F47C4D" w:rsidRDefault="00F47C4D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F47C4D" w:rsidRDefault="00F47C4D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F47C4D" w:rsidRDefault="00F47C4D">
            <w:pPr>
              <w:rPr>
                <w:b/>
                <w:sz w:val="22"/>
                <w:szCs w:val="22"/>
              </w:rPr>
            </w:pPr>
          </w:p>
        </w:tc>
      </w:tr>
      <w:tr w:rsidR="00F47C4D" w:rsidTr="00F47C4D">
        <w:tc>
          <w:tcPr>
            <w:tcW w:w="2962" w:type="dxa"/>
            <w:hideMark/>
          </w:tcPr>
          <w:p w:rsidR="00F47C4D" w:rsidRDefault="00F47C4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Milbemycinoximum</w:t>
            </w:r>
            <w:proofErr w:type="spellEnd"/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 mg</w:t>
            </w:r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12,5mg</w:t>
            </w:r>
          </w:p>
        </w:tc>
      </w:tr>
      <w:tr w:rsidR="00F47C4D" w:rsidTr="00F47C4D">
        <w:tc>
          <w:tcPr>
            <w:tcW w:w="2962" w:type="dxa"/>
          </w:tcPr>
          <w:p w:rsidR="00F47C4D" w:rsidRDefault="00307A09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Prazikv</w:t>
            </w:r>
            <w:r w:rsidR="00F47C4D">
              <w:rPr>
                <w:color w:val="000000"/>
                <w:sz w:val="22"/>
                <w:szCs w:val="22"/>
              </w:rPr>
              <w:t>antelum</w:t>
            </w:r>
            <w:proofErr w:type="spellEnd"/>
          </w:p>
          <w:p w:rsidR="00F47C4D" w:rsidRDefault="00F47C4D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mg</w:t>
            </w:r>
          </w:p>
        </w:tc>
        <w:tc>
          <w:tcPr>
            <w:tcW w:w="3071" w:type="dxa"/>
            <w:hideMark/>
          </w:tcPr>
          <w:p w:rsidR="00F47C4D" w:rsidRDefault="00F47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mg</w:t>
            </w:r>
          </w:p>
        </w:tc>
      </w:tr>
    </w:tbl>
    <w:p w:rsidR="00F47C4D" w:rsidRDefault="00F47C4D" w:rsidP="00F47C4D">
      <w:pPr>
        <w:rPr>
          <w:sz w:val="22"/>
          <w:szCs w:val="22"/>
          <w:lang w:eastAsia="sk-SK"/>
        </w:rPr>
      </w:pPr>
    </w:p>
    <w:p w:rsidR="00F47C4D" w:rsidRDefault="00F47C4D" w:rsidP="00F47C4D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pre malé psy a šteňatá: Žlto-biele oválne, bikonvexné tablety s hnedými škvrnami, s deliacou  ryhou na jednej strane. Tablety sa môžu rozdeliť na rovnaké polovice.</w:t>
      </w:r>
    </w:p>
    <w:p w:rsidR="00F47C4D" w:rsidRDefault="00F47C4D" w:rsidP="00F47C4D">
      <w:pPr>
        <w:rPr>
          <w:sz w:val="22"/>
          <w:szCs w:val="22"/>
          <w:lang w:eastAsia="sk-SK"/>
        </w:rPr>
      </w:pPr>
    </w:p>
    <w:p w:rsidR="00F47C4D" w:rsidRDefault="00F47C4D" w:rsidP="00F47C4D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pre psy: Žlto-biele, okrúhle, mierne bikonvexné tablety s hnedými škvrnami.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INDIKÁCIA(-E)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Liečba zmiešaných infekcií dospelých pásomníc a </w:t>
      </w:r>
      <w:proofErr w:type="spellStart"/>
      <w:r>
        <w:rPr>
          <w:color w:val="000000"/>
          <w:sz w:val="22"/>
          <w:szCs w:val="22"/>
        </w:rPr>
        <w:t>hlístovcov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Pásomnice:</w:t>
      </w:r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Dipylidium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Taenia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Echinococcus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Mesocestoides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Hlístovce</w:t>
      </w:r>
      <w:proofErr w:type="spellEnd"/>
      <w:r>
        <w:rPr>
          <w:color w:val="000000"/>
          <w:sz w:val="22"/>
          <w:szCs w:val="22"/>
        </w:rPr>
        <w:t>:</w:t>
      </w:r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Ancylostoma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Toxocara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canis</w:t>
      </w:r>
      <w:proofErr w:type="spellEnd"/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Toxascaris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leonina</w:t>
      </w:r>
      <w:proofErr w:type="spellEnd"/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Trichuris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Crenosoma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infekcie)</w:t>
      </w:r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lastRenderedPageBreak/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 nedospelými (L5) a dospelými štádiami parazitov; viď plán špecifickej liečby a prevencie ochorení v bode 8. ,,Dávkovanie pre každý druh, cesta a spôsob podania lieku”)</w:t>
      </w:r>
    </w:p>
    <w:p w:rsidR="00F47C4D" w:rsidRDefault="00F47C4D" w:rsidP="00F47C4D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fr-FR"/>
        </w:rPr>
        <w:t>Thelazia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proofErr w:type="spellStart"/>
      <w:r>
        <w:rPr>
          <w:i/>
          <w:sz w:val="22"/>
          <w:szCs w:val="22"/>
          <w:lang w:eastAsia="fr-FR"/>
        </w:rPr>
        <w:t>callipaeda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(</w:t>
      </w:r>
      <w:r>
        <w:rPr>
          <w:sz w:val="22"/>
          <w:szCs w:val="22"/>
          <w:lang w:eastAsia="en-US"/>
        </w:rPr>
        <w:t>viď plán špecifickej liečby a prevencie ochorení v bode 8. ,,Dávkovanie pre každý druh, cesta a spôsob podania lieku”).</w:t>
      </w: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fr-FR"/>
        </w:rPr>
      </w:pPr>
    </w:p>
    <w:p w:rsidR="00F47C4D" w:rsidRDefault="00F47C4D" w:rsidP="00F47C4D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 xml:space="preserve">Liek sa môže použiť aj na prevenciu </w:t>
      </w:r>
      <w:proofErr w:type="spellStart"/>
      <w:r>
        <w:rPr>
          <w:sz w:val="22"/>
          <w:szCs w:val="22"/>
          <w:lang w:eastAsia="fr-FR"/>
        </w:rPr>
        <w:t>dirofilariózy</w:t>
      </w:r>
      <w:proofErr w:type="spellEnd"/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i/>
          <w:sz w:val="22"/>
          <w:szCs w:val="22"/>
          <w:lang w:eastAsia="en-US"/>
        </w:rPr>
        <w:t>Dirofilaria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immitis</w:t>
      </w:r>
      <w:proofErr w:type="spellEnd"/>
      <w:r>
        <w:rPr>
          <w:sz w:val="22"/>
          <w:szCs w:val="22"/>
          <w:lang w:eastAsia="en-US"/>
        </w:rPr>
        <w:t>) ak je indikovaná sprievodná liečba proti pásomniciam.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KONTRAINDIKÁCIE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tablety pre malé psy a šteňatá vo veku do 2 týždňov a/alebo s hmotnosťou nižšou ako 0,5 kg.</w:t>
      </w:r>
    </w:p>
    <w:p w:rsidR="00F47C4D" w:rsidRDefault="00307A09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tablety pre psy</w:t>
      </w:r>
      <w:r w:rsidR="00F47C4D">
        <w:rPr>
          <w:sz w:val="22"/>
          <w:szCs w:val="22"/>
        </w:rPr>
        <w:t xml:space="preserve"> so živou hmotnosťou nižšou ako 5 kg.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Pozri tiež časť 12 ,,Osobitné upozornenia“.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NEŽIADUCE ÚČINKY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u psov po podaní kombinácie </w:t>
      </w:r>
      <w:proofErr w:type="spellStart"/>
      <w:r w:rsidR="00307A09">
        <w:rPr>
          <w:sz w:val="22"/>
          <w:szCs w:val="22"/>
        </w:rPr>
        <w:t>milbemycínoximu</w:t>
      </w:r>
      <w:proofErr w:type="spellEnd"/>
      <w:r w:rsidR="00307A09">
        <w:rPr>
          <w:sz w:val="22"/>
          <w:szCs w:val="22"/>
        </w:rPr>
        <w:t xml:space="preserve"> a 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pozorované</w:t>
      </w:r>
      <w:r w:rsidR="0042035D">
        <w:rPr>
          <w:sz w:val="22"/>
          <w:szCs w:val="22"/>
        </w:rPr>
        <w:t xml:space="preserve"> reakcie z precitlivenosti, </w:t>
      </w:r>
      <w:r>
        <w:rPr>
          <w:sz w:val="22"/>
          <w:szCs w:val="22"/>
        </w:rPr>
        <w:t xml:space="preserve"> systémové príznaky (ako letargia), neurologické príznaky (ako svalová triaška a </w:t>
      </w:r>
      <w:proofErr w:type="spellStart"/>
      <w:r>
        <w:rPr>
          <w:sz w:val="22"/>
          <w:szCs w:val="22"/>
        </w:rPr>
        <w:t>ataxia</w:t>
      </w:r>
      <w:proofErr w:type="spellEnd"/>
      <w:r>
        <w:rPr>
          <w:sz w:val="22"/>
          <w:szCs w:val="22"/>
        </w:rPr>
        <w:t xml:space="preserve">/nekoordinované pohyby) a/alebo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príznaky (ako vracanie, hnačka, strata chuti do jedla a slintanie).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zvierat počas jednej liečby)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časté (u viac ako 1 ale menej ako 10 zo 100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zvierat)</w:t>
      </w:r>
    </w:p>
    <w:p w:rsidR="00F47C4D" w:rsidRDefault="00F47C4D" w:rsidP="00F47C4D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zriedkavé (u menej ako 1 z 10 000 zvierat, vrátane ojedinelých hlásení).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sz w:val="22"/>
          <w:szCs w:val="22"/>
          <w:highlight w:val="lightGray"/>
        </w:rPr>
        <w:t xml:space="preserve">Prípadné nežiaduce účinky môžete nahlásiť národnej kompetentnej autorite </w:t>
      </w:r>
      <w:hyperlink r:id="rId9" w:history="1">
        <w:r>
          <w:rPr>
            <w:rStyle w:val="Hypertextovprepojenie"/>
            <w:sz w:val="22"/>
            <w:szCs w:val="22"/>
            <w:highlight w:val="lightGray"/>
          </w:rPr>
          <w:t>www.uskvbl.sk</w:t>
        </w:r>
      </w:hyperlink>
      <w:r>
        <w:rPr>
          <w:sz w:val="22"/>
          <w:szCs w:val="22"/>
          <w:highlight w:val="lightGray"/>
        </w:rPr>
        <w:t xml:space="preserve"> .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CIEĽOVÝ DRUH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Malé psy a šteňatá (s hmotnosťou najmenej 0,5 kg).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Psy (s hmotnosťou najmenej 5 kg).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>DÁVKOVANIE PRE KAŽDÝ DRUH, CESTA (-Y) A SP</w:t>
      </w:r>
      <w:r>
        <w:rPr>
          <w:b/>
          <w:bCs/>
          <w:caps/>
          <w:sz w:val="22"/>
          <w:szCs w:val="22"/>
        </w:rPr>
        <w:t>ô</w:t>
      </w:r>
      <w:r>
        <w:rPr>
          <w:b/>
          <w:bCs/>
          <w:sz w:val="22"/>
          <w:szCs w:val="22"/>
        </w:rPr>
        <w:t>SOB PODANIA LIEKU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použitie.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Zvieratá sa majú odvážiť aby sa zaistilo správne dávkovanie.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="00307A09">
        <w:rPr>
          <w:sz w:val="22"/>
          <w:szCs w:val="22"/>
        </w:rPr>
        <w:t>milbemycínoximu</w:t>
      </w:r>
      <w:proofErr w:type="spellEnd"/>
      <w:r w:rsidR="00307A09">
        <w:rPr>
          <w:sz w:val="22"/>
          <w:szCs w:val="22"/>
        </w:rPr>
        <w:t xml:space="preserve"> a 5 mg 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na kg živej hmotnosti naraz, podané perorálne.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 závislosti od živej hmotnosti psa je praktické dávkovanie nasledovné: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410"/>
        <w:gridCol w:w="2170"/>
      </w:tblGrid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Žuvacie tablety pre malé psy a šteňatá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Žuvacie tablety pre psy</w:t>
            </w: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0,5 – 1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1 – 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5 – 10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lastRenderedPageBreak/>
              <w:t>5 – 25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25 – 50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</w:tr>
      <w:tr w:rsidR="00F47C4D" w:rsidTr="00F47C4D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50 – 75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4D" w:rsidRDefault="00F47C4D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3 tablety</w:t>
            </w:r>
          </w:p>
        </w:tc>
      </w:tr>
    </w:tbl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prevencii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 ak je súčasne požadované ošetrenie proti pásomniciam, môže liek nahradiť </w:t>
      </w:r>
      <w:proofErr w:type="spellStart"/>
      <w:r>
        <w:rPr>
          <w:color w:val="000000"/>
          <w:sz w:val="22"/>
          <w:szCs w:val="22"/>
          <w:lang w:eastAsia="sl-SI"/>
        </w:rPr>
        <w:t>monovalentný</w:t>
      </w:r>
      <w:proofErr w:type="spellEnd"/>
      <w:r>
        <w:rPr>
          <w:color w:val="000000"/>
          <w:sz w:val="22"/>
          <w:szCs w:val="22"/>
          <w:lang w:eastAsia="sl-SI"/>
        </w:rPr>
        <w:t xml:space="preserve"> liek na prevenciu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 xml:space="preserve">Pri liečbe infekcie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podaný štyrikrát s týždennými intervalmi. V prípadoch, keď je indikovaná súčasná liečba proti pásomniciam, sa odporúča podať liek jedenkrát a ďalej pokračovať v liečbe </w:t>
      </w:r>
      <w:proofErr w:type="spellStart"/>
      <w:r>
        <w:rPr>
          <w:sz w:val="22"/>
          <w:szCs w:val="22"/>
          <w:lang w:eastAsia="en-US"/>
        </w:rPr>
        <w:t>monovalentným</w:t>
      </w:r>
      <w:proofErr w:type="spellEnd"/>
      <w:r>
        <w:rPr>
          <w:sz w:val="22"/>
          <w:szCs w:val="22"/>
          <w:lang w:eastAsia="en-US"/>
        </w:rPr>
        <w:t xml:space="preserve"> liekom obsahujúcim jedine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počas zostávajúcich troch aplikácií, ktoré podávame jedenkrát týždenne.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Podávanie lieku každý štvrtý týždeň v endemických oblastiach bude pôsobiť preventívne proti </w:t>
      </w:r>
      <w:proofErr w:type="spellStart"/>
      <w:r>
        <w:rPr>
          <w:color w:val="000000"/>
          <w:sz w:val="22"/>
          <w:szCs w:val="22"/>
          <w:lang w:eastAsia="sl-SI"/>
        </w:rPr>
        <w:t>angiostrongylóze</w:t>
      </w:r>
      <w:proofErr w:type="spellEnd"/>
      <w:r>
        <w:rPr>
          <w:color w:val="000000"/>
          <w:sz w:val="22"/>
          <w:szCs w:val="22"/>
          <w:lang w:eastAsia="sl-SI"/>
        </w:rPr>
        <w:t xml:space="preserve"> prostredníctvom zníženia miery infekcie a záťaže nedospelými štádiami parazitov (L5) a dospelými štádiami parazitov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>, tam kde je indikovaná súbežná liečba proti pásomniciam.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>
        <w:rPr>
          <w:i/>
          <w:sz w:val="22"/>
          <w:szCs w:val="22"/>
        </w:rPr>
        <w:t>Thelazia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callipaeda</w:t>
      </w:r>
      <w:proofErr w:type="spellEnd"/>
      <w:r>
        <w:rPr>
          <w:sz w:val="22"/>
          <w:szCs w:val="22"/>
        </w:rPr>
        <w:t xml:space="preserve">,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 xml:space="preserve">podaný </w:t>
      </w:r>
      <w:r>
        <w:rPr>
          <w:sz w:val="22"/>
          <w:szCs w:val="22"/>
          <w:lang w:eastAsia="en-US"/>
        </w:rPr>
        <w:t xml:space="preserve">dvakrát v odstupe siedmych dní. Tam kde je indikovaná súbežná liečba proti pásomniciam, môže liek nahradiť </w:t>
      </w:r>
      <w:proofErr w:type="spellStart"/>
      <w:r>
        <w:rPr>
          <w:sz w:val="22"/>
          <w:szCs w:val="22"/>
          <w:lang w:eastAsia="en-US"/>
        </w:rPr>
        <w:t>monovalentný</w:t>
      </w:r>
      <w:proofErr w:type="spellEnd"/>
      <w:r>
        <w:rPr>
          <w:sz w:val="22"/>
          <w:szCs w:val="22"/>
          <w:lang w:eastAsia="en-US"/>
        </w:rPr>
        <w:t xml:space="preserve"> liek obsahujúci iba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>.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POKYN O SPRÁVNOM PODANÍ</w:t>
      </w:r>
    </w:p>
    <w:p w:rsidR="00F47C4D" w:rsidRDefault="00F47C4D" w:rsidP="00F47C4D">
      <w:pPr>
        <w:pStyle w:val="Normlnywebov"/>
        <w:spacing w:before="0" w:after="0"/>
        <w:rPr>
          <w:sz w:val="22"/>
          <w:szCs w:val="22"/>
          <w:lang w:val="sk-SK"/>
        </w:rPr>
      </w:pPr>
    </w:p>
    <w:p w:rsidR="00F47C4D" w:rsidRDefault="00F47C4D" w:rsidP="00F47C4D">
      <w:pPr>
        <w:pStyle w:val="Normlnywebov"/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má podať s krmivom alebo po kŕmení.</w:t>
      </w:r>
    </w:p>
    <w:p w:rsidR="00F47C4D" w:rsidRDefault="00F47C4D" w:rsidP="00F47C4D">
      <w:pPr>
        <w:pStyle w:val="Normlnywebov"/>
        <w:spacing w:before="0" w:after="0"/>
        <w:rPr>
          <w:sz w:val="22"/>
          <w:szCs w:val="22"/>
          <w:lang w:val="sk-SK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  <w:t>OCHRANNÁ LEHOTA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rFonts w:eastAsia="SimSun"/>
          <w:sz w:val="22"/>
          <w:szCs w:val="22"/>
          <w:lang w:eastAsia="zh-CN" w:bidi="hi-IN"/>
        </w:rPr>
        <w:t>Netýka sa</w:t>
      </w:r>
      <w:r>
        <w:rPr>
          <w:sz w:val="22"/>
          <w:szCs w:val="22"/>
        </w:rPr>
        <w:t>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OSOBITNÉ BEZPEČNOSTNÉ OPATRENIA NA UCHOVÁVANIE</w:t>
      </w:r>
    </w:p>
    <w:p w:rsidR="00F47C4D" w:rsidRDefault="00F47C4D" w:rsidP="00F47C4D">
      <w:pPr>
        <w:rPr>
          <w:bCs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:rsidR="00F47C4D" w:rsidRDefault="00F47C4D" w:rsidP="00F47C4D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balenia: 6 mesiacov.</w:t>
      </w:r>
    </w:p>
    <w:p w:rsidR="00F47C4D" w:rsidRDefault="00F47C4D" w:rsidP="00F47C4D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sa majú uchovávať pri teplote do 25 °C v originálnom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majú sa použiť na ďalšie podanie.</w:t>
      </w: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F47C4D" w:rsidRDefault="00F47C4D" w:rsidP="00F47C4D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Nepoužívať tento veterinárny liek po dátume exspirácie uvedenom na </w:t>
      </w:r>
      <w:proofErr w:type="spellStart"/>
      <w:r>
        <w:rPr>
          <w:color w:val="000000"/>
          <w:sz w:val="22"/>
          <w:szCs w:val="22"/>
          <w:lang w:val="sk-SK"/>
        </w:rPr>
        <w:t>blistri</w:t>
      </w:r>
      <w:proofErr w:type="spellEnd"/>
      <w:r>
        <w:rPr>
          <w:color w:val="000000"/>
          <w:sz w:val="22"/>
          <w:szCs w:val="22"/>
          <w:lang w:val="sk-SK"/>
        </w:rPr>
        <w:t xml:space="preserve"> a škatuľke po EXP. Dátum exspirácie sa vzťahuje na posledný deň v uvedenom mesiaci.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>OSOBITNÉ UPOZORNENIA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pre každý cieľový druh: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súčasná liečba všetkých zvierat v domácnosti.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dosiahol účinný program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do úvahy by sa mali vziať miestne epidemiologické informácie a riziko expozície psa a odporúča sa vyhľadať odborné (napr. veterinárne) poradenstvo.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Keď je prítomná infekcia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, má sa zvážiť súbežná liečba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Osobitné bezpečnostné opatrenia na používanie u zvierat: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Štúdie s </w:t>
      </w:r>
      <w:proofErr w:type="spellStart"/>
      <w:r>
        <w:rPr>
          <w:sz w:val="22"/>
          <w:szCs w:val="22"/>
        </w:rPr>
        <w:t>milbemycínoximom</w:t>
      </w:r>
      <w:proofErr w:type="spellEnd"/>
      <w:r>
        <w:rPr>
          <w:sz w:val="22"/>
          <w:szCs w:val="22"/>
        </w:rPr>
        <w:t xml:space="preserve"> dokázali, že hranica bezpečnosti jeho podávania je u niektorých psov plemena kólia alebo príbuzných plemien nižšia ako pri iných plemenách. U týchto psov je nutné presne dodržiavať odporúčané dávkovanie. Tolerancia lieku u šteniat týchto plemien nebola skúmaná.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Klinické príznaky v prípade kólií sú podobné príznakom u ostatných psov pri predávkovaní.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>(lariev)</w:t>
      </w:r>
      <w:r>
        <w:rPr>
          <w:color w:val="000000"/>
          <w:sz w:val="22"/>
          <w:szCs w:val="22"/>
          <w:lang w:eastAsia="sl-SI"/>
        </w:rPr>
        <w:t xml:space="preserve"> môže niekedy viesť k vzniku </w:t>
      </w:r>
      <w:proofErr w:type="spellStart"/>
      <w:r>
        <w:rPr>
          <w:color w:val="000000"/>
          <w:sz w:val="22"/>
          <w:szCs w:val="22"/>
          <w:lang w:eastAsia="sl-SI"/>
        </w:rPr>
        <w:t>hypersenzitívnych</w:t>
      </w:r>
      <w:proofErr w:type="spellEnd"/>
      <w:r>
        <w:rPr>
          <w:color w:val="000000"/>
          <w:sz w:val="22"/>
          <w:szCs w:val="22"/>
          <w:lang w:eastAsia="sl-SI"/>
        </w:rPr>
        <w:t xml:space="preserve"> reakcií, ako sú bledé sliznice, vracanie, chvenie, sťažené dýchanie alebo nadmerné slinenie. Tieto reakcie sú spojené s uvoľnením proteínov z uhynutých alebo hynúcich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(lariev) a nepredstavujú priamy toxický účinok lieku. Použitie u psov napadnutých </w:t>
      </w:r>
      <w:proofErr w:type="spellStart"/>
      <w:r>
        <w:rPr>
          <w:color w:val="000000"/>
          <w:sz w:val="22"/>
          <w:szCs w:val="22"/>
          <w:lang w:eastAsia="sl-SI"/>
        </w:rPr>
        <w:t>mikrofiláriami</w:t>
      </w:r>
      <w:proofErr w:type="spellEnd"/>
      <w:r>
        <w:rPr>
          <w:color w:val="000000"/>
          <w:sz w:val="22"/>
          <w:szCs w:val="22"/>
          <w:lang w:eastAsia="sl-SI"/>
        </w:rPr>
        <w:t xml:space="preserve"> (larvy v krvi) sa preto neodporúča.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 oblastiach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alebo pokiaľ je známe, že pes cestuje do a z regiónov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, sa odporúča pred podaním lieku konzultácia s veterinárnym lekárom, aby sa vylúčila prítomnosť súčasnej infekcie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. V prípade diagnostikovania zamorenia</w:t>
      </w:r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, sa má pes liečiť proti dospelým parazitom, terapia proti dospelým jedincom je indikovaná pred podaním lieku.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Neboli vykonané žiadne štúdie s veľmi oslabenými psami alebo s jedincami s vážnymi poruchami obličiek alebo funkciou pečene. Pre tieto zvieratá sa liek neodporúča alebo iba po zvážení miery prínosu a rizika zodpovedným veterinárnym lekárom.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U psov do veku 4 týždňov je infekcia pásomnicami neobvyklá. Liečba psov mladších ako 4 týždne pomocou kombinovaného lieku preto nemusí byť potrebná.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Keďže tablety sú ochutené, mali by sa uchovávať na bezpečnom mieste mimo dosahu zvierat.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F47C4D" w:rsidRDefault="00F47C4D" w:rsidP="00F47C4D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Oddelenú časť tablety vrátiť do otvoreného </w:t>
      </w:r>
      <w:proofErr w:type="spellStart"/>
      <w:r>
        <w:rPr>
          <w:color w:val="000000"/>
          <w:sz w:val="22"/>
          <w:szCs w:val="22"/>
        </w:rPr>
        <w:t>blistra</w:t>
      </w:r>
      <w:proofErr w:type="spellEnd"/>
      <w:r>
        <w:rPr>
          <w:color w:val="000000"/>
          <w:sz w:val="22"/>
          <w:szCs w:val="22"/>
        </w:rPr>
        <w:t xml:space="preserve"> a vložiť do škatuľky.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prípade náhodného požitia jednej alebo viacerých tabliet, vyhľadať ihneď lekársku pomoc a ukázať písomnú informáciu pre používateľov alebo obal lekárovi.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 oznamovacej povinnosti Svetovej organizácii pre zdravie zvierat (OIE), preto je potrebné pri liečbe, následnom sledovaní a ochrane osôb postupovať podľa špecifických postupov vydaných príslušnou kompetentnou autoritou (napr. odborníkmi alebo ústavmi parazitológie).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 a laktácia: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Liek sa môže používať u chovných psov, vrátane 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súk.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Liekové interakcie a iné formy vzájomného pôsobenia:</w:t>
      </w: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proofErr w:type="spellEnd"/>
      <w:r>
        <w:rPr>
          <w:color w:val="000000"/>
          <w:sz w:val="22"/>
          <w:szCs w:val="22"/>
        </w:rPr>
        <w:t xml:space="preserve">, počas liečby kombináciou </w:t>
      </w:r>
      <w:proofErr w:type="spellStart"/>
      <w:r w:rsidR="00307A09">
        <w:rPr>
          <w:sz w:val="22"/>
          <w:szCs w:val="22"/>
        </w:rPr>
        <w:t>milbemycínoximu</w:t>
      </w:r>
      <w:proofErr w:type="spellEnd"/>
      <w:r w:rsidR="00307A09">
        <w:rPr>
          <w:sz w:val="22"/>
          <w:szCs w:val="22"/>
        </w:rPr>
        <w:t xml:space="preserve"> a </w:t>
      </w:r>
      <w:proofErr w:type="spellStart"/>
      <w:r w:rsidR="00307A09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dávke, neboli pozorované žiadne interakcie. </w:t>
      </w:r>
      <w:r>
        <w:rPr>
          <w:color w:val="000000"/>
          <w:sz w:val="22"/>
          <w:szCs w:val="22"/>
          <w:lang w:eastAsia="sl-SI"/>
        </w:rPr>
        <w:t xml:space="preserve">Opatrnosť je potrebná v prípade súbežného podávania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Predávkovanie (príznaky, núdzové postupy, </w:t>
      </w:r>
      <w:proofErr w:type="spellStart"/>
      <w:r>
        <w:rPr>
          <w:sz w:val="22"/>
          <w:szCs w:val="22"/>
          <w:u w:val="single"/>
        </w:rPr>
        <w:t>antidotá</w:t>
      </w:r>
      <w:proofErr w:type="spellEnd"/>
      <w:r>
        <w:rPr>
          <w:sz w:val="22"/>
          <w:szCs w:val="22"/>
          <w:u w:val="single"/>
        </w:rPr>
        <w:t>):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Neboli pozorované žiadne ďalšie prejavy, okrem tých pozorovaných pri podaní odporúčanej dávky (pozri „Nežiaduce účinky“).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Lieky sa nesmú likvidovať prostredníctvom odpadovej vody alebo odpadu v domácnostiach. O spôsobe likvidácie liekov, ktoré úž nepotrebujete sa poraďte so svojím veterinárnym lekárom alebo lekárnikom. Tieto opatrenia by mali byť v súlade s ochranou životného prostredia.</w:t>
      </w:r>
    </w:p>
    <w:p w:rsidR="00F47C4D" w:rsidRDefault="00F47C4D" w:rsidP="00F47C4D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Liek nesmie kontaminovať vodné toky, pretože to môže byť nebezpečný pre ryby a iné vodné organizmy.</w:t>
      </w:r>
    </w:p>
    <w:p w:rsidR="00F47C4D" w:rsidRDefault="00F47C4D" w:rsidP="00F47C4D">
      <w:pPr>
        <w:rPr>
          <w:b/>
          <w:bCs/>
          <w:sz w:val="22"/>
          <w:szCs w:val="22"/>
        </w:rPr>
      </w:pPr>
    </w:p>
    <w:p w:rsidR="00F47C4D" w:rsidRDefault="00F47C4D" w:rsidP="00F47C4D">
      <w:pPr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b/>
          <w:sz w:val="22"/>
          <w:szCs w:val="22"/>
        </w:rPr>
        <w:tab/>
        <w:t>DÁTUM POSLEDNÉHO SCHVÁLENIA TEXTU V PÍSOMNEJ INFORMÁCII PRE POUŽÍVATEĽOV</w:t>
      </w:r>
    </w:p>
    <w:p w:rsidR="00F47C4D" w:rsidRDefault="00F47C4D" w:rsidP="00F47C4D">
      <w:pPr>
        <w:rPr>
          <w:b/>
          <w:sz w:val="22"/>
          <w:szCs w:val="22"/>
        </w:rPr>
      </w:pPr>
    </w:p>
    <w:p w:rsidR="00F47C4D" w:rsidRPr="00170C2D" w:rsidRDefault="00170C2D" w:rsidP="00F47C4D">
      <w:pPr>
        <w:rPr>
          <w:sz w:val="22"/>
          <w:szCs w:val="22"/>
        </w:rPr>
      </w:pPr>
      <w:r>
        <w:rPr>
          <w:sz w:val="22"/>
          <w:szCs w:val="22"/>
        </w:rPr>
        <w:t xml:space="preserve">             12/2023</w:t>
      </w:r>
      <w:bookmarkStart w:id="0" w:name="_GoBack"/>
      <w:bookmarkEnd w:id="0"/>
    </w:p>
    <w:p w:rsidR="00F47C4D" w:rsidRDefault="00F47C4D" w:rsidP="00F47C4D">
      <w:pPr>
        <w:rPr>
          <w:b/>
          <w:sz w:val="22"/>
          <w:szCs w:val="22"/>
        </w:rPr>
      </w:pPr>
    </w:p>
    <w:p w:rsidR="00F47C4D" w:rsidRDefault="00F47C4D" w:rsidP="00F47C4D">
      <w:pPr>
        <w:rPr>
          <w:b/>
          <w:sz w:val="22"/>
          <w:szCs w:val="22"/>
        </w:rPr>
      </w:pPr>
      <w:r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ab/>
        <w:t>ĎALŠIE INFORMÁCIE</w:t>
      </w:r>
    </w:p>
    <w:p w:rsidR="00F47C4D" w:rsidRDefault="00F47C4D" w:rsidP="00F47C4D">
      <w:pPr>
        <w:rPr>
          <w:b/>
          <w:sz w:val="22"/>
          <w:szCs w:val="22"/>
        </w:rPr>
      </w:pP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F47C4D" w:rsidRDefault="00F47C4D" w:rsidP="00F47C4D">
      <w:pPr>
        <w:rPr>
          <w:sz w:val="22"/>
          <w:szCs w:val="22"/>
        </w:rPr>
      </w:pPr>
      <w:r>
        <w:rPr>
          <w:rStyle w:val="hps"/>
          <w:sz w:val="22"/>
          <w:szCs w:val="22"/>
        </w:rPr>
        <w:t>Výdaj lieku je viazaný na veterinárny predpis.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F47C4D" w:rsidRDefault="00F47C4D" w:rsidP="00F47C4D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obsahujúcimi 4 tablety (celkom 48 tabliet).</w:t>
      </w:r>
    </w:p>
    <w:p w:rsidR="00F47C4D" w:rsidRDefault="00F47C4D" w:rsidP="00F47C4D">
      <w:pPr>
        <w:rPr>
          <w:sz w:val="22"/>
          <w:szCs w:val="22"/>
        </w:rPr>
      </w:pPr>
      <w:r>
        <w:rPr>
          <w:sz w:val="22"/>
          <w:szCs w:val="22"/>
        </w:rPr>
        <w:t>Nie všetky veľkosti balenia sa musia uvádzať na trh.</w:t>
      </w:r>
    </w:p>
    <w:p w:rsidR="00F47C4D" w:rsidRDefault="00F47C4D" w:rsidP="00F47C4D">
      <w:pPr>
        <w:rPr>
          <w:sz w:val="22"/>
          <w:szCs w:val="22"/>
        </w:rPr>
      </w:pPr>
    </w:p>
    <w:p w:rsidR="00F47C4D" w:rsidRDefault="00F47C4D" w:rsidP="00F47C4D">
      <w:r>
        <w:rPr>
          <w:sz w:val="22"/>
          <w:szCs w:val="22"/>
        </w:rPr>
        <w:t>Ak potrebuje akúkoľvek informáciu o tomto veterinárnom lieku, kontaktujte miestneho zástupcu držiteľa rozhodnutia o registrácii.</w:t>
      </w:r>
    </w:p>
    <w:p w:rsidR="001E7479" w:rsidRDefault="001E7479"/>
    <w:sectPr w:rsidR="001E7479" w:rsidSect="00386E90">
      <w:footerReference w:type="default" r:id="rId10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CC" w:rsidRDefault="009322CC" w:rsidP="00C10DB5">
      <w:r>
        <w:separator/>
      </w:r>
    </w:p>
  </w:endnote>
  <w:endnote w:type="continuationSeparator" w:id="0">
    <w:p w:rsidR="009322CC" w:rsidRDefault="009322CC" w:rsidP="00C1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67406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10DB5" w:rsidRPr="00C10DB5" w:rsidRDefault="00C10DB5">
        <w:pPr>
          <w:pStyle w:val="Pta"/>
          <w:jc w:val="right"/>
          <w:rPr>
            <w:sz w:val="22"/>
            <w:szCs w:val="22"/>
          </w:rPr>
        </w:pPr>
        <w:r w:rsidRPr="00C10DB5">
          <w:rPr>
            <w:sz w:val="22"/>
            <w:szCs w:val="22"/>
          </w:rPr>
          <w:fldChar w:fldCharType="begin"/>
        </w:r>
        <w:r w:rsidRPr="00C10DB5">
          <w:rPr>
            <w:sz w:val="22"/>
            <w:szCs w:val="22"/>
          </w:rPr>
          <w:instrText>PAGE   \* MERGEFORMAT</w:instrText>
        </w:r>
        <w:r w:rsidRPr="00C10DB5">
          <w:rPr>
            <w:sz w:val="22"/>
            <w:szCs w:val="22"/>
          </w:rPr>
          <w:fldChar w:fldCharType="separate"/>
        </w:r>
        <w:r w:rsidR="00910E87">
          <w:rPr>
            <w:noProof/>
            <w:sz w:val="22"/>
            <w:szCs w:val="22"/>
          </w:rPr>
          <w:t>13</w:t>
        </w:r>
        <w:r w:rsidRPr="00C10DB5">
          <w:rPr>
            <w:sz w:val="22"/>
            <w:szCs w:val="22"/>
          </w:rPr>
          <w:fldChar w:fldCharType="end"/>
        </w:r>
      </w:p>
    </w:sdtContent>
  </w:sdt>
  <w:p w:rsidR="00C10DB5" w:rsidRDefault="00C10D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CC" w:rsidRDefault="009322CC" w:rsidP="00C10DB5">
      <w:r>
        <w:separator/>
      </w:r>
    </w:p>
  </w:footnote>
  <w:footnote w:type="continuationSeparator" w:id="0">
    <w:p w:rsidR="009322CC" w:rsidRDefault="009322CC" w:rsidP="00C1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C32C5"/>
    <w:multiLevelType w:val="hybridMultilevel"/>
    <w:tmpl w:val="99D0355C"/>
    <w:lvl w:ilvl="0" w:tplc="C060AB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4D"/>
    <w:rsid w:val="00170C2D"/>
    <w:rsid w:val="001E7479"/>
    <w:rsid w:val="00307A09"/>
    <w:rsid w:val="00386E90"/>
    <w:rsid w:val="0042035D"/>
    <w:rsid w:val="00557DB5"/>
    <w:rsid w:val="00910E87"/>
    <w:rsid w:val="009322CC"/>
    <w:rsid w:val="00AE3746"/>
    <w:rsid w:val="00C10DB5"/>
    <w:rsid w:val="00D45858"/>
    <w:rsid w:val="00D46DFF"/>
    <w:rsid w:val="00F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47C4D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F47C4D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F47C4D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F47C4D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47C4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47C4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F47C4D"/>
  </w:style>
  <w:style w:type="character" w:customStyle="1" w:styleId="hps">
    <w:name w:val="hps"/>
    <w:rsid w:val="00F47C4D"/>
  </w:style>
  <w:style w:type="paragraph" w:styleId="Hlavika">
    <w:name w:val="header"/>
    <w:basedOn w:val="Normlny"/>
    <w:link w:val="HlavikaChar"/>
    <w:uiPriority w:val="99"/>
    <w:unhideWhenUsed/>
    <w:rsid w:val="00C10D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0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0D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0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F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47C4D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F47C4D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F47C4D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F47C4D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47C4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47C4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F47C4D"/>
  </w:style>
  <w:style w:type="character" w:customStyle="1" w:styleId="hps">
    <w:name w:val="hps"/>
    <w:rsid w:val="00F47C4D"/>
  </w:style>
  <w:style w:type="paragraph" w:styleId="Hlavika">
    <w:name w:val="header"/>
    <w:basedOn w:val="Normlny"/>
    <w:link w:val="HlavikaChar"/>
    <w:uiPriority w:val="99"/>
    <w:unhideWhenUsed/>
    <w:rsid w:val="00C10D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10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10D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0D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F309-3EC3-4C4E-A5BA-81AB81A4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3645</Words>
  <Characters>20781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8</cp:revision>
  <cp:lastPrinted>2024-02-23T08:49:00Z</cp:lastPrinted>
  <dcterms:created xsi:type="dcterms:W3CDTF">2019-07-02T11:59:00Z</dcterms:created>
  <dcterms:modified xsi:type="dcterms:W3CDTF">2024-02-23T08:49:00Z</dcterms:modified>
</cp:coreProperties>
</file>