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E1" w:rsidRPr="00BC4FE1" w:rsidRDefault="00BC4FE1" w:rsidP="00BC4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SÚHRN CHARAKTERISTICKÝCH VLASTNOSTÍ LIEKU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1.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NÁZOV VETERINÁRNEHO LIEKU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pre ošípané a kurčatá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2.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KVALITATÍVNE A KVANTITATÍVNE ZLOŽENIE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Každý gram obsahuje: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Účinná látka: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lang w:val="sk"/>
        </w:rPr>
        <w:tab/>
        <w:t>50 mg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Úplný zoznam pomocných látok je uvedený v časti 6.1.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3.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LIEKOVÁ FORMA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Biely alebo béžovo biely prášok bez mechanických nečistôt, zrazenín alebo zhlukov.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KLINICKÉ ÚDAJE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4.1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Cieľové druhy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Ošípané (ošípané na výkrm), kurčatá (brojlery).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4.2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Indikácie na použitie so špecifikovaním cieľových druhov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Na liečbu zamorenia spôsobeného zrelými aj nezrelými štádiami nasledujúcich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nematód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hlístovcov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):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Domáca ošípaná: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Metastrongylus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apri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Ascaris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suum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Hyostrongylus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rubidus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(červený žalúdkový červ),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Oesophagostomum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dentatum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Trichuris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suis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Strongyloides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ransomi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(len dospelé formy).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Kura domáca: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Ascaridia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galli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Heterakis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gallinarum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Capillaria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spp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4.3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Kontraindikácie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Nepoužívať u holubov a papagájov.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Nepoužívať v prípadoch precitlivenosti na účinnú látku alebo na niektorú z pomocných látok.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4.4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upozornenia pre každý cieľový druh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V prípade infekcie s klinickými príznakmi sa musia ošetriť všetky zvieratá, ktoré sú vo vzájomnom kontakte a musia sa prijať príslušné zoohygienické opatrenia. 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Je potrebné vyhnúť sa týmto postupom, pretože zvyšujú riziko vzniku rezistencie a môžu v konečnom dôsledku viesť k neúčinnej liečbe: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-</w:t>
      </w:r>
      <w:r w:rsidRPr="00BC4FE1">
        <w:rPr>
          <w:rFonts w:ascii="Times New Roman" w:eastAsia="Times New Roman" w:hAnsi="Times New Roman" w:cs="Times New Roman"/>
          <w:lang w:val="sk"/>
        </w:rPr>
        <w:tab/>
        <w:t xml:space="preserve">Príliš časté a opakované používanie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antihelmintík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tej istej triedy v priebehu dlhého obdobia.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-</w:t>
      </w:r>
      <w:r w:rsidRPr="00BC4FE1">
        <w:rPr>
          <w:rFonts w:ascii="Times New Roman" w:eastAsia="Times New Roman" w:hAnsi="Times New Roman" w:cs="Times New Roman"/>
          <w:lang w:val="sk"/>
        </w:rPr>
        <w:tab/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Poddávkovanie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, ktoré môže vyplývať z hmotnosti, nesprávneho podávania lieku alebo z nedostatkov v kalibrácii dávkovacieho zariadenia (ak sa používa).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Podozrivé klinické prípady rezistencie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je potrebné ďalej skúmať pomocou vhodných testov (napr. test redukcie počtu vajíčok v truse). Ak výsledky testu (testov) naznačujú výraznú rezistenciu voči určitému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mali by sa použiť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patriace do inej farmakologickej triedy, ktorá má iný mechanizmus účinku. 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Môže dôjsť k rozvoju odolnosti voči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benzimidazolom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(čo zahŕňa aj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) z dôvodu príliš častého a opakovaného používania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antihelmintík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tej istej triedy v priebehu dlhého obdobia. Používanie tohto lieku by preto malo vychádzať z miestnych (regionálnych, farmových) epidemiologických informácií o náchylnosti na háďatká a odporúčaní o tom, ako obmedziť ďalší výber v súvislosti s rezistenciou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Del="00E86CEE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4.5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bezpečnostné opatrenia na používanie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Osobitné bezpečnostné opatrenia na používanie u zvierat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Neuplatňuje sa.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Osobitné bezpečnostné opatrenia, ktoré má urobiť osoba podávajúca liek zvieratám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Malo by sa zabrániť náhodnému požitiu ľuďmi. Pri kontakte s pokožkou môže spôsobiť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senzibilizáciu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. Môže spôsobiť podráždenie pokožky a očí. Zabráňte priamemu kontaktu s pokožkou. Ľudia so známou precitlivenosťou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by sa mali vyhnúť kontaktu s týmto veterinárnym liekom.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Pri manipulácii s týmto veterinárnym liekom používajte osobné ochranné pomôcky skladajúce sa z ochranného odevu a nepriepustných rukavíc.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Po kontakte s pokožkou umyte postihnuté časti. Ak dôjde k náhodnému kontaktu s očami, okamžite ich dôkladne vypláchnite vodou. Ak operácia zahŕňa potenciálne vystavenie prachu, použite jednorazový filter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pol</w:t>
      </w:r>
      <w:r>
        <w:rPr>
          <w:rFonts w:ascii="Times New Roman" w:eastAsia="Times New Roman" w:hAnsi="Times New Roman" w:cs="Times New Roman"/>
          <w:lang w:val="sk"/>
        </w:rPr>
        <w:t>o</w:t>
      </w:r>
      <w:r w:rsidRPr="00BC4FE1">
        <w:rPr>
          <w:rFonts w:ascii="Times New Roman" w:eastAsia="Times New Roman" w:hAnsi="Times New Roman" w:cs="Times New Roman"/>
          <w:lang w:val="sk"/>
        </w:rPr>
        <w:t>masku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(respirátor), ktorý zodpovedá európskej norme EN 149, alebo respirátor na opakované použitie podľa európskej normy EN 140 vybavený filtrom podľa normy EN 143.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Ak sa po podaní lieku objavia alergické príznaky, napríklad kožná vyrážka, okamžite vyhľadajte lekársku pomoc a zdravotníkom ukážte písomnú informáciu pre používateľov. Opuch tváre, pier, viečok a sťažené dýchanie sú už vážne príznaky, ktoré vyžadujú okamžitú lekársku pomoc. Pri používaní lieku nejedzte, nepite a nefajčite. Po aplikácii si umyte ruky mydlom a vodou.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4.6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Nežiaduce účinky (frekvencia výskytu a závažnosť)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Žiadne známe pri terapeutickej dávke.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4.7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Použitie počas gravidity, laktácie, znášky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Môže sa používať počas gravidity.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Môže sa používať počas znášky.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nemá vplyv na liahnivosť vajec.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4.8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Liekové interakcie a iné formy vzájomného pôsobenia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Nie sú známe.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4.9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Dávkovanie a spôsob podania lieku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Perorálne podanie.  Iba na použitie v krmive. 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Na zabezpečenie podania správnej dávky je potrebné stanoviť čo najpresnejšiu živú hmotnosť a skontrolovať presnosť dávkovacieho zariadenia.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Domáca ošípaná: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Chovné zvieratá:</w:t>
      </w:r>
      <w:r w:rsidRPr="00BC4FE1">
        <w:rPr>
          <w:rFonts w:ascii="Times New Roman" w:eastAsia="Times New Roman" w:hAnsi="Times New Roman" w:cs="Times New Roman"/>
          <w:lang w:val="sk"/>
        </w:rPr>
        <w:t xml:space="preserve"> Štandardná odporúčaná celková dávka je 1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predstavuje 1 gram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na každých 50 kg živej hmotnosti a deň počas 10 po sebe nasledujúcich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Odstavčatá a ošípané na výkrm:</w:t>
      </w:r>
      <w:r w:rsidRPr="00BC4FE1">
        <w:rPr>
          <w:rFonts w:ascii="Times New Roman" w:eastAsia="Times New Roman" w:hAnsi="Times New Roman" w:cs="Times New Roman"/>
          <w:lang w:val="sk"/>
        </w:rPr>
        <w:t xml:space="preserve"> Štandardná odporúčaná celková dávka je 1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predstavuje 1 gram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na každých 50 kg živej hmotnosti a deň počas 5 po sebe nasledujúcich dní. V prípade silného zamorenia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tenkohlavcom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i/>
          <w:iCs/>
          <w:lang w:val="sk"/>
        </w:rPr>
        <w:t>(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Trichuris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>)</w:t>
      </w:r>
      <w:r w:rsidRPr="00BC4FE1">
        <w:rPr>
          <w:rFonts w:ascii="Times New Roman" w:eastAsia="Times New Roman" w:hAnsi="Times New Roman" w:cs="Times New Roman"/>
          <w:lang w:val="sk"/>
        </w:rPr>
        <w:t xml:space="preserve"> trvá liečba 10 po sebe nasledujúcich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Pri príprave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krmiva sa musí brať do úvahy denná spotreba krmiva, ktorá závisí od klinického stavu a od živej hmotnosti liečených zvierat. Presné množstvo lieku, ktoré sa má pridať do </w:t>
      </w:r>
      <w:r w:rsidRPr="00BC4FE1">
        <w:rPr>
          <w:rFonts w:ascii="Times New Roman" w:eastAsia="Times New Roman" w:hAnsi="Times New Roman" w:cs="Times New Roman"/>
          <w:lang w:val="sk"/>
        </w:rPr>
        <w:lastRenderedPageBreak/>
        <w:t>krmiva, by sa preto malo vypočítať podľa nasledujúceho vzorca, aby sa zabezpečilo predtým uvedené dávkovanie:</w:t>
      </w:r>
    </w:p>
    <w:tbl>
      <w:tblPr>
        <w:tblW w:w="886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60"/>
        <w:gridCol w:w="2127"/>
        <w:gridCol w:w="3649"/>
      </w:tblGrid>
      <w:tr w:rsidR="00BC4FE1" w:rsidRPr="00BC4FE1" w:rsidTr="00D64F8F">
        <w:trPr>
          <w:cantSplit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  <w:tab w:val="left" w:pos="603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20 mg veterinárneho lieku na kg živej hmotnosti a deň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Priemerná ošípaná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živá hmotnosť (kg)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= mg veterinárneho lieku na kg krmiva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C4FE1" w:rsidRPr="00BC4FE1" w:rsidTr="00D64F8F">
        <w:trPr>
          <w:cantSplit/>
        </w:trPr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:rsidR="00BC4FE1" w:rsidRPr="00BC4FE1" w:rsidRDefault="00BC4FE1" w:rsidP="00BC4F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Kura domáca: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Štandardná odporúčaná celková dávka je 1,43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zodpovedá 28,6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krmivo na každý kg živ</w:t>
      </w:r>
      <w:r>
        <w:rPr>
          <w:rFonts w:ascii="Times New Roman" w:eastAsia="Times New Roman" w:hAnsi="Times New Roman" w:cs="Times New Roman"/>
          <w:lang w:val="sk"/>
        </w:rPr>
        <w:t>e</w:t>
      </w:r>
      <w:r w:rsidRPr="00BC4FE1">
        <w:rPr>
          <w:rFonts w:ascii="Times New Roman" w:eastAsia="Times New Roman" w:hAnsi="Times New Roman" w:cs="Times New Roman"/>
          <w:lang w:val="sk"/>
        </w:rPr>
        <w:t>j hmotnosti a deň počas 7 po sebe nasledujúcich dní.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Pri príprave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krmiva sa musí brať do úvahy denná spotreba krmiva, ktorá závisí od klinického stavu a od živej hmotnosti liečených zvierat. Presné množstvo lieku, ktoré sa má pridať do krmiva, by sa preto malo vypočítať podľa nasledujúceho vzorca, aby sa zabezpečilo predtým uvedené dávkovanie: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886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60"/>
        <w:gridCol w:w="2127"/>
        <w:gridCol w:w="3649"/>
      </w:tblGrid>
      <w:tr w:rsidR="00BC4FE1" w:rsidRPr="00BC4FE1" w:rsidTr="00D64F8F">
        <w:trPr>
          <w:cantSplit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28,6 mg veterinárneho lieku na kg živej hmotnosti a deň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Priemerná kura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živá hmotnosť (kg)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= mg veterinárneho lieku na kg krmiva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C4FE1" w:rsidRPr="00BC4FE1" w:rsidTr="00D64F8F">
        <w:trPr>
          <w:cantSplit/>
        </w:trPr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Tento veterinárny liek sa nesmie miešať s pitnou vodou ani tekutým krmivom.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Nestriekajte ho na granule ani zrno.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Ak sa majú zvieratá liečiť kolektívne, a nie individuálne, ošípané a kurčatá by sa mali zoskupiť podľa živej hmotnosti a podľa nej dostávať vhodné dávky, aby sa zabránilo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poddávkovaniu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alebo predávkovaniu.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Pred liečbou ani po nej nie je potrebná osobitná kontrola stravovania.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Liek sa nesmie používať v inej dávke, ako je predpísaná, a po dlhšiu dobu.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Veterinárny liek sa môže aplikovať do granulovaného krmiva pripraveného s vodnou parou pri teplote maximálne 85 °C.</w:t>
      </w:r>
    </w:p>
    <w:p w:rsidR="00BC4FE1" w:rsidRPr="00BC4FE1" w:rsidRDefault="00BC4FE1" w:rsidP="00BC4F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val="en-GB"/>
        </w:rPr>
      </w:pP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k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4.10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 xml:space="preserve">Predávkovanie (príznaky, núdzové postupy, </w:t>
      </w:r>
      <w:proofErr w:type="spellStart"/>
      <w:r w:rsidRPr="00BC4FE1">
        <w:rPr>
          <w:rFonts w:ascii="Times New Roman" w:eastAsia="Times New Roman" w:hAnsi="Times New Roman" w:cs="Times New Roman"/>
          <w:b/>
          <w:bCs/>
          <w:lang w:val="sk"/>
        </w:rPr>
        <w:t>antidotá</w:t>
      </w:r>
      <w:proofErr w:type="spellEnd"/>
      <w:r w:rsidRPr="00BC4FE1">
        <w:rPr>
          <w:rFonts w:ascii="Times New Roman" w:eastAsia="Times New Roman" w:hAnsi="Times New Roman" w:cs="Times New Roman"/>
          <w:b/>
          <w:bCs/>
          <w:lang w:val="sk"/>
        </w:rPr>
        <w:t>), ak sú potrebné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U ošípaných 5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/kg živej hmotnosti alebo vyššia koncentrácia môže spôsobiť miernu hnačku (riedke výkaly).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U kurčiat má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nízku akútnu orálnu toxicitu a je cieľovým druhom dobre tolerovaný.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4.11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Ochranné lehoty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Domáca ošípaná: </w:t>
      </w:r>
      <w:r w:rsidRPr="00BC4FE1">
        <w:rPr>
          <w:rFonts w:ascii="Times New Roman" w:eastAsia="Times New Roman" w:hAnsi="Times New Roman" w:cs="Times New Roman"/>
          <w:lang w:val="sk"/>
        </w:rPr>
        <w:t>Mäso a vnútornosti: 5 dní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Kura domáca: </w:t>
      </w:r>
      <w:r w:rsidRPr="00BC4FE1">
        <w:rPr>
          <w:rFonts w:ascii="Times New Roman" w:eastAsia="Times New Roman" w:hAnsi="Times New Roman" w:cs="Times New Roman"/>
          <w:lang w:val="sk"/>
        </w:rPr>
        <w:t>Mäso a vnútornosti: 3 dni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Vajcia: 0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5.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FARMAKOLOGICKÉ VLASTNOSTI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Farmakoterapeutická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skupina: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Benzimidazoly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 pridružené látky;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ATCvet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kód: QP52AC12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5.1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</w:r>
      <w:proofErr w:type="spellStart"/>
      <w:r w:rsidRPr="00BC4FE1">
        <w:rPr>
          <w:rFonts w:ascii="Times New Roman" w:eastAsia="Times New Roman" w:hAnsi="Times New Roman" w:cs="Times New Roman"/>
          <w:b/>
          <w:bCs/>
          <w:lang w:val="sk"/>
        </w:rPr>
        <w:t>Farmakodynamické</w:t>
      </w:r>
      <w:proofErr w:type="spellEnd"/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vlastnosti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lastRenderedPageBreak/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je syntetické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antihelmintikum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z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halogénovanej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skupiny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benzimidazolových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karbamátov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ktoré účinkuje tak, že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inhibuje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mikrotubulárne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usporiadanie v absorpčných bunkách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nematód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hlístovcov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).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Benzimidazoly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postupne vyčerpávajú energetické rezervy 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inhibujú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vylučovanie odpadových produktov a ochranných faktorov z buniek parazitov. Inhibícia bunkového transportu a energetického metabolizmu sú dôsledky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depolymerizácie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mikrotubúl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pôsobí tak, že sa viaže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tubulín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dimérny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podjednotkový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proteín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mikrotubúl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. 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Inhibuje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mikrotubulárne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usporiadanie v absorpčných bunkách, t. j. v črevných bunkách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nematód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.  To sa prejavuje miznutím cytoplazmatických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mikrotubúl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akumuláciou sekrečných granúl v cytoplazme v dôsledku blokovania ich transportu, čo vedie k narušeniu povrchu bunkovej membrány a zníženému tráveniu a absorpcii živín.  Nezvratná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lytická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degenerácia bunky v dôsledku akumulácie sekrečných látok (hydrolytických 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proteolytických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enzýmov) vedie k smrti parazita.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Tieto zmeny sú relatívne rýchle a dochádza k nim predovšetkým v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organelách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ktoré sa priamo podieľajú na sekrečných a absorpčných funkciách buniek. 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Na rozdiel od toho v bunkách hostiteľských zvierat k týmto zmenám nedochádza.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k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5.2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</w:r>
      <w:proofErr w:type="spellStart"/>
      <w:r w:rsidRPr="00BC4FE1">
        <w:rPr>
          <w:rFonts w:ascii="Times New Roman" w:eastAsia="Times New Roman" w:hAnsi="Times New Roman" w:cs="Times New Roman"/>
          <w:b/>
          <w:bCs/>
          <w:lang w:val="sk"/>
        </w:rPr>
        <w:t>Farmakokinetické</w:t>
      </w:r>
      <w:proofErr w:type="spellEnd"/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vlastnosti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sa vstrebáva z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gastrointestinálneho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traktu len veľmi slabo. To je vidieť aj z vysokej fekálnej exkrécie nezmeneného pôvodného lieku. Veľmi malá časť, ktorá sa absorbuje, sa následne rozsiahle metabolizuje v pečeni, čo zahŕňa hydrolýzu a redukciu. Produkty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biotransformácie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konjugujú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glukuronidmi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alebo sulfátovými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konjugátmi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 vylučujú sa v malom množstve v žlči a moči. Vylučovanie močom je relatívne nízke a pozostáva takmer výlučne z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metabolitov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, iba s malým množstvom nezmenenej zlúčeniny.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U ošípaných sa najvyššie hladiny neabsorbovaného množstva v tkanivách namerajú v pečeni a obličkách. Polčas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v tkanivách je 1 až 2 dni. U kurčiat je polčas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v plazme a tkanivách 1 až 4 dni.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FARMACEUTICKÉ ÚDAJE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6.1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Zoznam pomocných látok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Monohydrát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laktózy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Oxid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titaničitý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(E171)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Laurylsulfát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sodný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6.2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Závažné inkompatibility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 prípade absencie štúdií kompatibility sa tento veterinárny liek nesmie miešať s inými veterinárnymi liekmi.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6.3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Čas použiteľnosti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Čas použiteľnosti veterinárneho lieku zabaleného v neporušenom </w:t>
      </w:r>
      <w:r>
        <w:rPr>
          <w:rFonts w:ascii="Times New Roman" w:eastAsia="Times New Roman" w:hAnsi="Times New Roman" w:cs="Times New Roman"/>
          <w:lang w:val="sk"/>
        </w:rPr>
        <w:t>obale</w:t>
      </w:r>
      <w:r w:rsidRPr="00BC4FE1">
        <w:rPr>
          <w:rFonts w:ascii="Times New Roman" w:eastAsia="Times New Roman" w:hAnsi="Times New Roman" w:cs="Times New Roman"/>
          <w:lang w:val="sk"/>
        </w:rPr>
        <w:t>: 4 roky.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Čas použiteľnosti po prvom otvorení vnútorného obalu: 42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Čas použiteľnosti po zamiešaní do granulovaného krmiva: 3 mesiace.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k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6.4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bezpečnostné opatrenia na uchovávanie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Tento veterinárny liek nevyžaduje zvláštne podmienky uchovávania.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Neuchovávať v chladničke alebo mrazničke.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Otvorené vrecko skladujte pevne uzatvorené.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6.5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Charakter a zloženie vnútorného obalu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lastRenderedPageBreak/>
        <w:t>Trojvrstvové papierové vrecko s vnútornou vrstvou HDPE.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Veľkosť balenia: 12 kg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6.6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bezpečnostné opatrenia na zneškodňovanie nepoužitých veterinárnych liekov, prípadne odpadových materiálov vytvorených pri používaní týchto liekov.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Každý nepoužitý veterinárny liek alebo odpadové materiály z tohto veterinárneho lieku musia byť zlikvidované v súlade s miestnymi požiadavkami.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7.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DRŽITEĽ ROZHODNUTIA O REGISTRÁCII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2626CC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626CC">
        <w:rPr>
          <w:rFonts w:ascii="Times New Roman" w:eastAsia="Times New Roman" w:hAnsi="Times New Roman" w:cs="Times New Roman"/>
          <w:lang w:val="sk"/>
        </w:rPr>
        <w:t xml:space="preserve">ALPHAVET </w:t>
      </w:r>
      <w:proofErr w:type="spellStart"/>
      <w:r w:rsidRPr="002626CC">
        <w:rPr>
          <w:rFonts w:ascii="Times New Roman" w:eastAsia="Times New Roman" w:hAnsi="Times New Roman" w:cs="Times New Roman"/>
          <w:lang w:val="sk"/>
        </w:rPr>
        <w:t>Zrt</w:t>
      </w:r>
      <w:proofErr w:type="spellEnd"/>
      <w:r w:rsidR="00BC4FE1"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1194 Budapešť,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Hofherr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A. u. 42.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Maďarsko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Telefónne číslo: +36/22-516-546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Číslo faxu (voliteľné): +36/22-516-546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E-mail: </w:t>
      </w:r>
      <w:hyperlink r:id="rId8" w:history="1">
        <w:r w:rsidRPr="00BC4FE1">
          <w:rPr>
            <w:rFonts w:ascii="Times New Roman" w:eastAsia="Times New Roman" w:hAnsi="Times New Roman" w:cs="Times New Roman"/>
            <w:color w:val="0000FF"/>
            <w:u w:val="single"/>
            <w:lang w:val="sk"/>
          </w:rPr>
          <w:t>alpha-vet@alpha-vet.hu</w:t>
        </w:r>
      </w:hyperlink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8.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REGISTRAČNÉ ČÍSLO</w:t>
      </w: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E6464" w:rsidRPr="00BC4FE1" w:rsidRDefault="006E6464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98/023/DC/20-S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9.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DÁTUM PRVEJ REGISTRÁCIE/PREDĹŽENIA REGISTRÁCIE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435E0A" w:rsidRPr="00435E0A" w:rsidRDefault="00435E0A" w:rsidP="00435E0A">
      <w:pPr>
        <w:rPr>
          <w:rFonts w:ascii="Times New Roman" w:hAnsi="Times New Roman" w:cs="Times New Roman"/>
          <w:bCs/>
        </w:rPr>
      </w:pPr>
      <w:r w:rsidRPr="00435E0A">
        <w:rPr>
          <w:rFonts w:ascii="Times New Roman" w:hAnsi="Times New Roman" w:cs="Times New Roman"/>
          <w:bCs/>
        </w:rPr>
        <w:t xml:space="preserve">Dátum prvej registrácie: </w:t>
      </w:r>
      <w:r>
        <w:rPr>
          <w:rFonts w:ascii="Times New Roman" w:hAnsi="Times New Roman" w:cs="Times New Roman"/>
          <w:bCs/>
        </w:rPr>
        <w:t>03/02/2020</w:t>
      </w:r>
    </w:p>
    <w:p w:rsidR="00435E0A" w:rsidRPr="00435E0A" w:rsidRDefault="00435E0A" w:rsidP="00435E0A">
      <w:pPr>
        <w:rPr>
          <w:rFonts w:ascii="Times New Roman" w:hAnsi="Times New Roman" w:cs="Times New Roman"/>
          <w:bCs/>
        </w:rPr>
      </w:pPr>
      <w:r w:rsidRPr="00435E0A">
        <w:rPr>
          <w:rFonts w:ascii="Times New Roman" w:hAnsi="Times New Roman" w:cs="Times New Roman"/>
          <w:bCs/>
        </w:rPr>
        <w:t>Dátum posledného predĺženia: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10.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DÁTUM REVÍZIE TEXTU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3F59A0" w:rsidRDefault="003F59A0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3F59A0">
        <w:rPr>
          <w:rFonts w:ascii="Times New Roman" w:eastAsia="Times New Roman" w:hAnsi="Times New Roman" w:cs="Times New Roman"/>
          <w:color w:val="000000" w:themeColor="text1"/>
          <w:lang w:val="en-GB"/>
        </w:rPr>
        <w:t>10/2024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ZÁKAZ PREDAJA, DODÁVOK A/ALEBO POUŽÍVANIA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Malo by sa zvážiť oficiálne usmernenie k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zamiešavaniu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medikovaných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do finálnych krmív.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br w:type="page"/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lastRenderedPageBreak/>
        <w:t>KOMBINOVANÉ OZNAČENIE A PÍSOMNÁ INFORMÁCIA PRE POUŽÍVATEĽOV:</w:t>
      </w:r>
    </w:p>
    <w:p w:rsidR="00BC4FE1" w:rsidRPr="00BC4FE1" w:rsidRDefault="00BC4FE1" w:rsidP="00BC4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b/>
          <w:bCs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b/>
          <w:bCs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na medikáciu krmiva pre ošípané a kurčatá</w:t>
      </w:r>
    </w:p>
    <w:p w:rsidR="00BC4FE1" w:rsidRPr="00BC4FE1" w:rsidRDefault="00BC4FE1" w:rsidP="00BC4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NÁZOV A ADRESA DRŽITEĽA ROZHODNUTIA O REGISTRÁCII A DRŽITEĽA POVOLENIA NA VÝROBU ZODPOVEDNÉHO ZA UVOĽNENIE ŠARŽE, AK NIE SÚ IDENTICKÍ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Držiteľ rozhodnutia o registrácii a výrobca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u w:val="single"/>
          <w:lang w:val="sk"/>
        </w:rPr>
        <w:t>zodpovedný za uvoľnenie šarže</w:t>
      </w:r>
      <w:r w:rsidRPr="00BC4FE1">
        <w:rPr>
          <w:rFonts w:ascii="Times New Roman" w:eastAsia="Times New Roman" w:hAnsi="Times New Roman" w:cs="Times New Roman"/>
          <w:lang w:val="sk"/>
        </w:rPr>
        <w:t xml:space="preserve">: </w:t>
      </w:r>
    </w:p>
    <w:p w:rsidR="00BC4FE1" w:rsidRPr="00BC4FE1" w:rsidRDefault="002626CC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626CC">
        <w:rPr>
          <w:rFonts w:ascii="Times New Roman" w:eastAsia="Times New Roman" w:hAnsi="Times New Roman" w:cs="Times New Roman"/>
          <w:lang w:val="sk"/>
        </w:rPr>
        <w:t xml:space="preserve">ALPHAVET </w:t>
      </w:r>
      <w:proofErr w:type="spellStart"/>
      <w:r w:rsidRPr="002626CC">
        <w:rPr>
          <w:rFonts w:ascii="Times New Roman" w:eastAsia="Times New Roman" w:hAnsi="Times New Roman" w:cs="Times New Roman"/>
          <w:lang w:val="sk"/>
        </w:rPr>
        <w:t>Zrt</w:t>
      </w:r>
      <w:proofErr w:type="spellEnd"/>
      <w:r w:rsidR="00BC4FE1" w:rsidRPr="00BC4FE1">
        <w:rPr>
          <w:rFonts w:ascii="Times New Roman" w:eastAsia="Times New Roman" w:hAnsi="Times New Roman" w:cs="Times New Roman"/>
          <w:lang w:val="sk"/>
        </w:rPr>
        <w:t>., H-1194 Budape</w:t>
      </w:r>
      <w:r w:rsidR="00BC4FE1">
        <w:rPr>
          <w:rFonts w:ascii="Times New Roman" w:eastAsia="Times New Roman" w:hAnsi="Times New Roman" w:cs="Times New Roman"/>
          <w:lang w:val="sk"/>
        </w:rPr>
        <w:t xml:space="preserve">šť, </w:t>
      </w:r>
      <w:proofErr w:type="spellStart"/>
      <w:r w:rsidR="00BC4FE1">
        <w:rPr>
          <w:rFonts w:ascii="Times New Roman" w:eastAsia="Times New Roman" w:hAnsi="Times New Roman" w:cs="Times New Roman"/>
          <w:lang w:val="sk"/>
        </w:rPr>
        <w:t>Hofherr</w:t>
      </w:r>
      <w:proofErr w:type="spellEnd"/>
      <w:r w:rsidR="00BC4FE1">
        <w:rPr>
          <w:rFonts w:ascii="Times New Roman" w:eastAsia="Times New Roman" w:hAnsi="Times New Roman" w:cs="Times New Roman"/>
          <w:lang w:val="sk"/>
        </w:rPr>
        <w:t xml:space="preserve"> A. u. 42., Maďarsko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2.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NÁZOV VETERINÁRNEHO LIEKU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pre ošípané a kurčatá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3.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OBSAH ÚČINNEJ LÁTKY(-OK) A INÝCH LÁTOK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Každý gram obsahuje: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Účinná látka: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lang w:val="sk"/>
        </w:rPr>
        <w:tab/>
        <w:t>50 mg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Biely alebo béžovo biely prášok bez mechanických nečistôt, zrazenín alebo zhlukov.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4.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LIEKOVÁ FORMA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5.</w:t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 VEĽKOSŤ BALENIA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12 kg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6.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INDIKÁCIA(-IE)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Na liečbu zamorenia spôsobeného zrelými aj nezrelými štádiami nasledujúcich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nematód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hlístovcov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):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Domáca ošípaná: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Metastrongylus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apri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Ascaris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suum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Hyostrongylus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rubidus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(červený žalúdkový červ),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Oesophagostomum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dentatum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Trichuris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suis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Strongyloides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ransomi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(len dospelé formy).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Kura domáca: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Ascaridia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galli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Heterakis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gallinarum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,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Capillaria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spp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7.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KONTRAINDIKÁCIE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Nepoužívať u holubov a papagájov.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Nepoužívať v prípadoch precitlivenosti na účinnú látku alebo na niektorú z pomocných látok.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8.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NEŽIADUCE ÚČINKY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Žiadne známe pri terapeutickej dávke.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Ak zistíte akékoľvek nežiaduce účinky, aj tie, ktoré už nie sú uvedené v tejto písomnej informácii pre používateľov, alebo si myslíte, že liek je neúčinný, informujte vášho veterinárneho lekára. 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proofErr w:type="spellStart"/>
      <w:proofErr w:type="gramStart"/>
      <w:r w:rsidRPr="00BC4FE1">
        <w:rPr>
          <w:rFonts w:ascii="Times New Roman" w:eastAsia="Times New Roman" w:hAnsi="Times New Roman" w:cs="Times New Roman"/>
          <w:lang w:val="en-GB"/>
        </w:rPr>
        <w:t>Prípadne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nežiaduce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účinky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môžete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nahlásiť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národnej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kompetentnej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en-GB"/>
        </w:rPr>
        <w:t>autorite</w:t>
      </w:r>
      <w:proofErr w:type="spellEnd"/>
      <w:r w:rsidRPr="00BC4FE1">
        <w:rPr>
          <w:rFonts w:ascii="Times New Roman" w:eastAsia="Times New Roman" w:hAnsi="Times New Roman" w:cs="Times New Roman"/>
          <w:lang w:val="en-GB"/>
        </w:rPr>
        <w:t xml:space="preserve"> {www.uskvbl.sk}.</w:t>
      </w:r>
      <w:proofErr w:type="gramEnd"/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9.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CIEĽOVÉ DRUHY ZVIERAT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Ošípané (ošípané na výkrm), kurčatá (brojlery).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10.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DÁVKOVANIE PRE KAŽDÝ DRUH, CESTA(-Y) A SPÔSOB PODANIA LIEKU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lastRenderedPageBreak/>
        <w:t>Perorálne podanie.  Iba na použitie v krmive.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Na zabezpečenie podania správnej dávky je potrebné stanoviť čo najpresnejšiu živú hmotnosť a skontrolovať presnosť dávkovacieho zariadenia.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Domáca ošípaná: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Chovné zvieratá:</w:t>
      </w:r>
      <w:r w:rsidRPr="00BC4FE1">
        <w:rPr>
          <w:rFonts w:ascii="Times New Roman" w:eastAsia="Times New Roman" w:hAnsi="Times New Roman" w:cs="Times New Roman"/>
          <w:lang w:val="sk"/>
        </w:rPr>
        <w:t xml:space="preserve"> Štandardná odporúčaná celková dávka je 1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predstavuje 1 gram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na každých 50 kg živej hmotnosti a deň počas 10 po sebe nasledujúcich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Odstavčatá a ošípané na výkrm:</w:t>
      </w:r>
      <w:r w:rsidRPr="00BC4FE1">
        <w:rPr>
          <w:rFonts w:ascii="Times New Roman" w:eastAsia="Times New Roman" w:hAnsi="Times New Roman" w:cs="Times New Roman"/>
          <w:lang w:val="sk"/>
        </w:rPr>
        <w:t xml:space="preserve"> Štandardná odporúčaná celková dávka je 1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predstavuje 1 gram 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na každých 50 kg živej hmotnosti a deň počas 5 po sebe nasledujúcich dní. V prípade silného zamorenia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tenkohlavcom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i/>
          <w:iCs/>
          <w:lang w:val="sk"/>
        </w:rPr>
        <w:t>(</w:t>
      </w:r>
      <w:proofErr w:type="spellStart"/>
      <w:r w:rsidRPr="00BC4FE1">
        <w:rPr>
          <w:rFonts w:ascii="Times New Roman" w:eastAsia="Times New Roman" w:hAnsi="Times New Roman" w:cs="Times New Roman"/>
          <w:i/>
          <w:iCs/>
          <w:lang w:val="sk"/>
        </w:rPr>
        <w:t>Trichuris</w:t>
      </w:r>
      <w:proofErr w:type="spellEnd"/>
      <w:r w:rsidRPr="00BC4FE1">
        <w:rPr>
          <w:rFonts w:ascii="Times New Roman" w:eastAsia="Times New Roman" w:hAnsi="Times New Roman" w:cs="Times New Roman"/>
          <w:i/>
          <w:iCs/>
          <w:lang w:val="sk"/>
        </w:rPr>
        <w:t>)</w:t>
      </w:r>
      <w:r w:rsidRPr="00BC4FE1">
        <w:rPr>
          <w:rFonts w:ascii="Times New Roman" w:eastAsia="Times New Roman" w:hAnsi="Times New Roman" w:cs="Times New Roman"/>
          <w:lang w:val="sk"/>
        </w:rPr>
        <w:t xml:space="preserve"> trvá liečba 10 po sebe nasledujúcich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Pri príprave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krmiva sa musí brať do úvahy denná spotreba krmiva, ktorá závisí od klinického stavu a od živej hmotnosti liečených zvierat. Presné množstvo produktu, ktoré sa má pridať do krmiva, by sa preto malo vypočítať podľa nasledujúceho vzorca, aby sa zabezpečilo predtým uvedené dávkovanie: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886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60"/>
        <w:gridCol w:w="2127"/>
        <w:gridCol w:w="3649"/>
      </w:tblGrid>
      <w:tr w:rsidR="00BC4FE1" w:rsidRPr="00BC4FE1" w:rsidTr="00D64F8F">
        <w:trPr>
          <w:cantSplit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  <w:tab w:val="left" w:pos="603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20 mg veterinárneho lieku na kg živej hmotnosti a deň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Priemerná ošípaná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živá hmotnosť (kg)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= mg veterinárneho lieku na kg krmiva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C4FE1" w:rsidRPr="00BC4FE1" w:rsidTr="00D64F8F">
        <w:trPr>
          <w:cantSplit/>
        </w:trPr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:rsidR="00BC4FE1" w:rsidRPr="00BC4FE1" w:rsidRDefault="00BC4FE1" w:rsidP="00BC4F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>Kura domáca: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Štandardná odporúčaná celková dávka je 1,43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kg živej hmotnosti a deň, čo zodpovedá 28,6 mg 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Alphafluben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50 mg/g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 na každý kg živej hmotnosti a deň počas 7 po sebe nasledujúcich dní.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Pri príprave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krmiva sa musí brať do úvahy denná spotreba krmiva, ktorá závisí od klinického stavu a od živej hmotnosti liečených zvierat. Presné množstvo lieku, ktoré sa má pridať do krmiva, by sa preto malo vypočítať podľa nasledujúceho vzorca, aby sa zabezpečilo predtým uvedené dávkovanie: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886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60"/>
        <w:gridCol w:w="2127"/>
        <w:gridCol w:w="3649"/>
      </w:tblGrid>
      <w:tr w:rsidR="00BC4FE1" w:rsidRPr="00BC4FE1" w:rsidTr="00D64F8F">
        <w:trPr>
          <w:cantSplit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28,6 mg veterinárneho lieku na kg živej hmotnosti a deň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Priemerná kura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živá hmotnosť (kg)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= mg veterinárneho lieku na kg krmiva</w:t>
            </w: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C4FE1" w:rsidRPr="00BC4FE1" w:rsidTr="00D64F8F">
        <w:trPr>
          <w:cantSplit/>
        </w:trPr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FE1" w:rsidRPr="00BC4FE1" w:rsidRDefault="00BC4FE1" w:rsidP="00BC4FE1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C4FE1">
              <w:rPr>
                <w:rFonts w:ascii="Times New Roman" w:eastAsia="Times New Roman" w:hAnsi="Times New Roman" w:cs="Times New Roman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BC4FE1" w:rsidRPr="00BC4FE1" w:rsidRDefault="00BC4FE1" w:rsidP="00BC4FE1">
            <w:pPr>
              <w:widowControl w:val="0"/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Tento veterinárny liek sa nesmie miešať s pitnou vodou ani tekutým krmivom.</w:t>
      </w:r>
    </w:p>
    <w:p w:rsidR="00BC4FE1" w:rsidRPr="00BC4FE1" w:rsidRDefault="00BC4FE1" w:rsidP="00BC4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Nestriekajte ho na granule ani zrno.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Ak sa majú zvieratá liečiť kolektívne, a nie individuálne, ošípané a kurčatá by sa mali zoskupiť podľa živej hmotnosti a podľa nej dostávať vhodné dávky, aby sa zabránilo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poddávkovaniu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alebo predávkovaniu.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Pred liečbou ani po nej nie je potrebná osobitná kontrola stravovania.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Liek sa nesmie používať v inej dávke, ako je predpísaná, a po dlhšiu dobu.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11.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POKYN O SPRÁVNOM PODANÍ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Veterinárny liek nepoužívajte, ak spozorujete viditeľné známky jeho poškodenia.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Veterinárny liek sa môže aplikovať do granulovaného krmiva pripraveného s vodnou parou pri teplote maximálne 85 °C. 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12.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OCHRANNÁ LEHOTA(-Y)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Domáca ošípaná: </w:t>
      </w:r>
      <w:r w:rsidRPr="00BC4FE1">
        <w:rPr>
          <w:rFonts w:ascii="Times New Roman" w:eastAsia="Times New Roman" w:hAnsi="Times New Roman" w:cs="Times New Roman"/>
          <w:lang w:val="sk"/>
        </w:rPr>
        <w:t>Mäso a vnútornosti: 5 dní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lang w:val="sk"/>
        </w:rPr>
        <w:t xml:space="preserve">Kura domáca: </w:t>
      </w:r>
      <w:r w:rsidRPr="00BC4FE1">
        <w:rPr>
          <w:rFonts w:ascii="Times New Roman" w:eastAsia="Times New Roman" w:hAnsi="Times New Roman" w:cs="Times New Roman"/>
          <w:lang w:val="sk"/>
        </w:rPr>
        <w:t>Mäso a vnútornosti: 3 dní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Vajcia: 0 dní.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13.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BEZPEČNOSTNÉ OPATRENIA NA UCHOVÁVANIE</w:t>
      </w:r>
    </w:p>
    <w:p w:rsidR="00BC4FE1" w:rsidRPr="00BC4FE1" w:rsidRDefault="00BC4FE1" w:rsidP="00BC4FE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Uchovávať mimo dohľadu a dosahu detí.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Tento veterinárny liek nevyžaduje zvláštne podmienky uchovávania.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Neuchovávať v chladničke alebo mrazničke.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Nepoužívať tento veterinárny liek po dátume exspirácie uvedenom na obale po „EXP“. Dátum exspirácie sa vzťahuje na posledný deň v uvedenom mesiaci.</w:t>
      </w:r>
    </w:p>
    <w:p w:rsidR="00BC4FE1" w:rsidRPr="00BC4FE1" w:rsidRDefault="00BC4FE1" w:rsidP="00BC4F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Otvorené vrecko skladujte pevne uzatvorené.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14.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UPOZORNENIA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Osobitné bezpečnostné opatrenia pre každý cieľový druh: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 prípade infekcie s klinickými príznakmi sa musia ošetriť všetky zvieratá, ktoré sú vo vzájomnom kontakte a musia sa prijať príslušné zoohygienické opatrenia.</w:t>
      </w:r>
    </w:p>
    <w:p w:rsidR="00BC4FE1" w:rsidRPr="00BC4FE1" w:rsidRDefault="00BC4FE1" w:rsidP="00BC4F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Je potrebné vyhnúť sa týmto postupom, pretože zvyšujú riziko vzniku rezistencie a môžu v konečnom dôsledku viesť k neúčinnej liečbe:</w:t>
      </w:r>
    </w:p>
    <w:p w:rsidR="00BC4FE1" w:rsidRPr="00BC4FE1" w:rsidRDefault="00BC4FE1" w:rsidP="00BC4FE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Príliš časté a opakované používanie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antihelmintík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tej istej triedy v priebehu dlhého obdobia.</w:t>
      </w:r>
    </w:p>
    <w:p w:rsidR="00BC4FE1" w:rsidRPr="00BC4FE1" w:rsidRDefault="00BC4FE1" w:rsidP="00BC4FE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Poddávkovanie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, ktoré môže vyplývať z hmotnosti, nesprávneho podávania lieku alebo z nedostatkov v kalibrácii dávkovacieho zariadenia (ak sa používa).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Podozrivé klinické prípady rezistencie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je potrebné ďalej skúmať pomocou vhodných testov (napr. test redukcie počtu vajíčok v truse). Ak výsledky testu (testov) naznačujú výraznú rezistenciu voči určitému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, mali by sa použiť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patriace do inej farmakologickej triedy, ktorá má iný mechanizmus účinku. 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Môže dôjsť k rozvoju odolnosti voči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benzimidazolom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(čo zahŕňa aj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) z dôvodu príliš častého a opakovaného používania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antihelmintík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tej istej triedy v priebehu dlhého obdobia. Používanie tohto lieku by preto malo vychádzať z miestnych (regionálnych, farmových) epidemiologických informácií o náchylnosti na háďatká a odporúčaní o tom, ako obmedziť ďalší výber v súvislosti s rezistenciou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antihelmintiká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>.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Osobitné bezpečnostné opatrenia na používanie u zvierat:</w:t>
      </w:r>
    </w:p>
    <w:p w:rsidR="00BC4FE1" w:rsidRPr="00BC4FE1" w:rsidRDefault="00BC4FE1" w:rsidP="00BC4FE1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Neuplatňuje sa.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Osobitné bezpečnostné opatrenia, ktoré má urobiť osoba podávajúca liek zvieratám</w:t>
      </w:r>
      <w:r w:rsidRPr="00BC4FE1">
        <w:rPr>
          <w:rFonts w:ascii="Times New Roman" w:eastAsia="Times New Roman" w:hAnsi="Times New Roman" w:cs="Times New Roman"/>
          <w:lang w:val="sk"/>
        </w:rPr>
        <w:t>: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Malo by sa zabrániť náhodnému požitiu ľuďmi. Pri kontakte s pokožkou môže spôsobiť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senzibilizáciu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. Môže spôsobiť podráždenie pokožky a očí. Zabráňte priamemu kontaktu s pokožkou. Ľudia so známou precitlivenosťou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by sa mali vyhnúť kontaktu s týmto veterinárnym liekom.</w:t>
      </w:r>
    </w:p>
    <w:p w:rsidR="00BC4FE1" w:rsidRPr="00BC4FE1" w:rsidRDefault="00BC4FE1" w:rsidP="00BC4F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Pri manipulácii s veterinárnym liekom používajte osobné ochranné pomôcky skladajúce sa z ochranného odevu a nepriepustných rukavíc. Po kontakte s pokožkou umyte postihnuté časti. Ak dôjde k náhodnému kontaktu s očami, okamžite ich dôkladne vypláchnite vodou. Ak operácia zahŕňa potenciálne vystavenie prachu, použite jednorazový filter na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pol</w:t>
      </w:r>
      <w:r>
        <w:rPr>
          <w:rFonts w:ascii="Times New Roman" w:eastAsia="Times New Roman" w:hAnsi="Times New Roman" w:cs="Times New Roman"/>
          <w:lang w:val="sk"/>
        </w:rPr>
        <w:t>o</w:t>
      </w:r>
      <w:r w:rsidRPr="00BC4FE1">
        <w:rPr>
          <w:rFonts w:ascii="Times New Roman" w:eastAsia="Times New Roman" w:hAnsi="Times New Roman" w:cs="Times New Roman"/>
          <w:lang w:val="sk"/>
        </w:rPr>
        <w:t>masku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(respirátor), ktorý zodpovedá európskej norme EN 149, alebo respirátor na opakované použitie podľa európskej normy EN 140 vybavený filtrom podľa normy EN 143.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Ak sa po podaní lieku objavia alergické príznaky, napríklad kožná vyrážka, okamžite vyhľadajte lekársku pomoc a zdravotníkom ukážte písomnú informáciu pre používateľov. Opuch tváre, pier, viečok a sťažené dýchanie sú už vážne príznaky, ktoré vyžadujú okamžitú lekársku pomoc. Pri manipulácii s liekom nejedzte, nepite a nefajčite. Po použití produktu alebo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medikovaného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krmiva si dôkladne umyte ruky mydlom a vodou.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Gravidita: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Môže sa používať počas gravidity.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Znáška: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Môže sa používať počas znášky.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nemá vplyv na liahnivosť vajec.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Liekové interakcie a iné formy vzájomného pôsobenia: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Nie sú dostupné údaje. 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 xml:space="preserve">Predávkovanie (príznaky, núdzové postupy, </w:t>
      </w:r>
      <w:proofErr w:type="spellStart"/>
      <w:r w:rsidRPr="00BC4FE1">
        <w:rPr>
          <w:rFonts w:ascii="Times New Roman" w:eastAsia="Times New Roman" w:hAnsi="Times New Roman" w:cs="Times New Roman"/>
          <w:u w:val="single"/>
          <w:lang w:val="sk"/>
        </w:rPr>
        <w:t>antidotá</w:t>
      </w:r>
      <w:proofErr w:type="spellEnd"/>
      <w:r w:rsidRPr="00BC4FE1">
        <w:rPr>
          <w:rFonts w:ascii="Times New Roman" w:eastAsia="Times New Roman" w:hAnsi="Times New Roman" w:cs="Times New Roman"/>
          <w:u w:val="single"/>
          <w:lang w:val="sk"/>
        </w:rPr>
        <w:t>)</w:t>
      </w:r>
      <w:r w:rsidRPr="00BC4FE1">
        <w:rPr>
          <w:rFonts w:ascii="Times New Roman" w:eastAsia="Times New Roman" w:hAnsi="Times New Roman" w:cs="Times New Roman"/>
          <w:lang w:val="sk"/>
        </w:rPr>
        <w:t>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U ošípaných 5 mg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/kg živej hmotnosti alebo vyššia koncentrácia môže spôsobiť miernu hnačku (riedke výkaly). U kurčiat má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flubendazol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nízku akútnu orálnu toxicitu a je cieľovým druhom dobre tolerovaný.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u w:val="single"/>
          <w:lang w:val="sk"/>
        </w:rPr>
        <w:t>Inkompatibility</w:t>
      </w:r>
      <w:r w:rsidRPr="00BC4FE1">
        <w:rPr>
          <w:rFonts w:ascii="Times New Roman" w:eastAsia="Times New Roman" w:hAnsi="Times New Roman" w:cs="Times New Roman"/>
          <w:lang w:val="sk"/>
        </w:rPr>
        <w:t>: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V prípade absencie štúdií kompatibility sa tento veterinárny liek nesmie miešať s inými veterinárnymi liekmi.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15.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OSOBITNÉ BEZPEČNOSTNÉ OPATRENIA NA ZNEŠKODNENIE NEPOUŽITÉHO LIEKU(-OV) ALEBO ODPADOVÉHO MATERIÁLU, V PRÍPADE POTREBY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Požiadajte svojho veterinárneho lekára, aby vám poskytol informácie o likvidácii liečiv, ktoré už nepotrebujete. Tieto opatrenia slúžia na ochranu životného prostredia. Lieky sa nesmú likvidovať v odpadovej vode alebo s domovým odpadom.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16.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DÁTUM POSLEDNÉHO SCHVÁLENIA OZNAČENIA</w:t>
      </w: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3F59A0" w:rsidRPr="00BC4FE1" w:rsidRDefault="003F59A0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10/2024</w:t>
      </w:r>
      <w:bookmarkStart w:id="0" w:name="_GoBack"/>
      <w:bookmarkEnd w:id="0"/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17.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ĎALŠIE INFORMÁCIE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Nádoba: Trojvrstvové papierové vrecko s vnútornou vrstvou HDPE.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Veľkosť balenia: 12 kg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na medikáciu krmiva.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 xml:space="preserve">Malo by sa zvážiť oficiálne usmernenie k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zamiešavaniu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medikovaných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proofErr w:type="spellStart"/>
      <w:r w:rsidRPr="00BC4FE1">
        <w:rPr>
          <w:rFonts w:ascii="Times New Roman" w:eastAsia="Times New Roman" w:hAnsi="Times New Roman" w:cs="Times New Roman"/>
          <w:lang w:val="sk"/>
        </w:rPr>
        <w:t>premixov</w:t>
      </w:r>
      <w:proofErr w:type="spellEnd"/>
      <w:r w:rsidRPr="00BC4FE1">
        <w:rPr>
          <w:rFonts w:ascii="Times New Roman" w:eastAsia="Times New Roman" w:hAnsi="Times New Roman" w:cs="Times New Roman"/>
          <w:lang w:val="sk"/>
        </w:rPr>
        <w:t xml:space="preserve"> do finálnych krmív.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Ak potrebujete akúkoľvek informáciu o tomto veterinárnom lieku, kontaktujte miestneho zástupcu držiteľa rozhodnutia o registrácii.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18.</w:t>
      </w:r>
      <w:r w:rsidRPr="00BC4FE1">
        <w:rPr>
          <w:rFonts w:ascii="Times New Roman" w:eastAsia="Times New Roman" w:hAnsi="Times New Roman" w:cs="Times New Roman"/>
          <w:lang w:val="sk"/>
        </w:rPr>
        <w:t xml:space="preserve"> </w:t>
      </w:r>
      <w:r w:rsidRPr="00BC4FE1">
        <w:rPr>
          <w:rFonts w:ascii="Times New Roman" w:eastAsia="Times New Roman" w:hAnsi="Times New Roman" w:cs="Times New Roman"/>
          <w:lang w:val="sk"/>
        </w:rPr>
        <w:tab/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>OZNAČENIE „LEN PRE ZVIERATÁ“ A PODMIENKY ALEBO OBMEDZENIA TÝKAJÚCE SA DODÁVKY A POUŽITIA, AK SA UPLATŇUJÚ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Len pre zvieratá. Výdaj lieku je viazaný na veterinárny predpis.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19.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OZNAČENIE „UCHOVÁVAŤ MIMO DOHĽADU A DOSAHU DETÍ“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Uchovávať mimo dohľadu a dosahu detí.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20.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DÁTUM EXSPIRÁCIE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EXP {mesiac/rok}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Čas použiteľnosti po prvom otvorení vnútorného obalu:  42 dní.</w:t>
      </w: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  <w:r w:rsidRPr="00BC4FE1">
        <w:rPr>
          <w:rFonts w:ascii="Times New Roman" w:eastAsia="Times New Roman" w:hAnsi="Times New Roman" w:cs="Times New Roman"/>
          <w:lang w:val="sk"/>
        </w:rPr>
        <w:t>Čas použiteľnosti po zamiešaní do granulovaného krmiva:  3 mesiace.</w:t>
      </w:r>
    </w:p>
    <w:p w:rsidR="006E6464" w:rsidRDefault="006E6464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k"/>
        </w:rPr>
      </w:pPr>
    </w:p>
    <w:p w:rsidR="006E6464" w:rsidRPr="00BC4FE1" w:rsidRDefault="006E6464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lastRenderedPageBreak/>
        <w:t xml:space="preserve"> </w:t>
      </w:r>
    </w:p>
    <w:p w:rsid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k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21.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 xml:space="preserve">REGISTRAČNÉ ČÍSLO </w:t>
      </w:r>
    </w:p>
    <w:p w:rsidR="006E6464" w:rsidRDefault="006E6464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k"/>
        </w:rPr>
      </w:pPr>
    </w:p>
    <w:p w:rsidR="00BC4FE1" w:rsidRPr="00BC4FE1" w:rsidRDefault="006E6464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6E6464">
        <w:rPr>
          <w:rFonts w:ascii="Times New Roman" w:eastAsia="Times New Roman" w:hAnsi="Times New Roman" w:cs="Times New Roman"/>
          <w:bCs/>
          <w:lang w:val="sk"/>
        </w:rPr>
        <w:t>98/023/DC/20-S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C4FE1">
        <w:rPr>
          <w:rFonts w:ascii="Times New Roman" w:eastAsia="Times New Roman" w:hAnsi="Times New Roman" w:cs="Times New Roman"/>
          <w:b/>
          <w:bCs/>
          <w:highlight w:val="lightGray"/>
          <w:lang w:val="sk"/>
        </w:rPr>
        <w:t>22.</w:t>
      </w:r>
      <w:r w:rsidRPr="00BC4FE1">
        <w:rPr>
          <w:rFonts w:ascii="Times New Roman" w:eastAsia="Times New Roman" w:hAnsi="Times New Roman" w:cs="Times New Roman"/>
          <w:b/>
          <w:bCs/>
          <w:lang w:val="sk"/>
        </w:rPr>
        <w:tab/>
        <w:t>ČÍSLO VÝROBNEJ ŠARŽE</w:t>
      </w: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C4FE1" w:rsidRPr="00BC4FE1" w:rsidRDefault="00BC4FE1" w:rsidP="00BC4F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C4FE1">
        <w:rPr>
          <w:rFonts w:ascii="Times New Roman" w:eastAsia="Times New Roman" w:hAnsi="Times New Roman" w:cs="Times New Roman"/>
          <w:lang w:val="sk"/>
        </w:rPr>
        <w:t>Šarža {číslo}</w:t>
      </w:r>
    </w:p>
    <w:p w:rsidR="00163EC9" w:rsidRDefault="00163EC9"/>
    <w:sectPr w:rsidR="00163EC9" w:rsidSect="007F2F03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AE" w:rsidRDefault="007A48AE">
      <w:pPr>
        <w:spacing w:after="0" w:line="240" w:lineRule="auto"/>
      </w:pPr>
      <w:r>
        <w:separator/>
      </w:r>
    </w:p>
  </w:endnote>
  <w:endnote w:type="continuationSeparator" w:id="0">
    <w:p w:rsidR="007A48AE" w:rsidRDefault="007A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8F" w:rsidRPr="00B94A1B" w:rsidRDefault="00616525">
    <w:pPr>
      <w:pStyle w:val="Pta"/>
      <w:tabs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sk"/>
      </w:rPr>
      <w:fldChar w:fldCharType="begin"/>
    </w:r>
    <w:r>
      <w:rPr>
        <w:rFonts w:ascii="Times New Roman" w:hAnsi="Times New Roman"/>
        <w:lang w:val="sk"/>
      </w:rPr>
      <w:instrText xml:space="preserve"> PAGE  \* MERGEFORMAT </w:instrText>
    </w:r>
    <w:r>
      <w:rPr>
        <w:rFonts w:ascii="Times New Roman" w:hAnsi="Times New Roman"/>
        <w:lang w:val="sk"/>
      </w:rPr>
      <w:fldChar w:fldCharType="separate"/>
    </w:r>
    <w:r w:rsidR="003F59A0">
      <w:rPr>
        <w:rFonts w:ascii="Times New Roman" w:hAnsi="Times New Roman"/>
        <w:noProof/>
        <w:lang w:val="sk"/>
      </w:rPr>
      <w:t>9</w:t>
    </w:r>
    <w:r>
      <w:rPr>
        <w:rFonts w:ascii="Times New Roman" w:hAnsi="Times New Roman"/>
        <w:lang w:val="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8F" w:rsidRDefault="00616525">
    <w:pPr>
      <w:pStyle w:val="Pta"/>
      <w:tabs>
        <w:tab w:val="right" w:pos="8931"/>
      </w:tabs>
      <w:jc w:val="center"/>
      <w:rPr>
        <w:rFonts w:ascii="Times New Roman" w:hAnsi="Times New Roman"/>
      </w:rPr>
    </w:pPr>
    <w:r>
      <w:rPr>
        <w:lang w:val="sk"/>
      </w:rPr>
      <w:fldChar w:fldCharType="begin"/>
    </w:r>
    <w:r>
      <w:rPr>
        <w:lang w:val="sk"/>
      </w:rPr>
      <w:instrText xml:space="preserve"> PAGE  \* MERGEFORMAT </w:instrText>
    </w:r>
    <w:r>
      <w:rPr>
        <w:lang w:val="sk"/>
      </w:rPr>
      <w:fldChar w:fldCharType="separate"/>
    </w:r>
    <w:r>
      <w:rPr>
        <w:noProof/>
        <w:lang w:val="sk"/>
      </w:rPr>
      <w:t>2</w:t>
    </w:r>
    <w:r>
      <w:rPr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AE" w:rsidRDefault="007A48AE">
      <w:pPr>
        <w:spacing w:after="0" w:line="240" w:lineRule="auto"/>
      </w:pPr>
      <w:r>
        <w:separator/>
      </w:r>
    </w:p>
  </w:footnote>
  <w:footnote w:type="continuationSeparator" w:id="0">
    <w:p w:rsidR="007A48AE" w:rsidRDefault="007A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12FE1"/>
    <w:multiLevelType w:val="hybridMultilevel"/>
    <w:tmpl w:val="BFAE2330"/>
    <w:lvl w:ilvl="0" w:tplc="45AC6B0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E1"/>
    <w:rsid w:val="00163EC9"/>
    <w:rsid w:val="002626CC"/>
    <w:rsid w:val="003F59A0"/>
    <w:rsid w:val="00435E0A"/>
    <w:rsid w:val="00616525"/>
    <w:rsid w:val="006E6464"/>
    <w:rsid w:val="007A48AE"/>
    <w:rsid w:val="007A4E0F"/>
    <w:rsid w:val="009C1ACB"/>
    <w:rsid w:val="00A266CD"/>
    <w:rsid w:val="00BC4FE1"/>
    <w:rsid w:val="00C6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BC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C4FE1"/>
  </w:style>
  <w:style w:type="paragraph" w:styleId="Textbubliny">
    <w:name w:val="Balloon Text"/>
    <w:basedOn w:val="Normlny"/>
    <w:link w:val="TextbublinyChar"/>
    <w:uiPriority w:val="99"/>
    <w:semiHidden/>
    <w:unhideWhenUsed/>
    <w:rsid w:val="006E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4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BC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C4FE1"/>
  </w:style>
  <w:style w:type="paragraph" w:styleId="Textbubliny">
    <w:name w:val="Balloon Text"/>
    <w:basedOn w:val="Normlny"/>
    <w:link w:val="TextbublinyChar"/>
    <w:uiPriority w:val="99"/>
    <w:semiHidden/>
    <w:unhideWhenUsed/>
    <w:rsid w:val="006E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a-vet@alpha-ve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2020-05-18T08:59:00Z</cp:lastPrinted>
  <dcterms:created xsi:type="dcterms:W3CDTF">2020-05-12T08:18:00Z</dcterms:created>
  <dcterms:modified xsi:type="dcterms:W3CDTF">2025-03-05T10:23:00Z</dcterms:modified>
</cp:coreProperties>
</file>