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F0" w:rsidRDefault="00820DF0" w:rsidP="00820DF0">
      <w:pPr>
        <w:tabs>
          <w:tab w:val="left" w:pos="851"/>
        </w:tabs>
        <w:rPr>
          <w:b/>
          <w:bCs/>
          <w:sz w:val="18"/>
          <w:szCs w:val="18"/>
        </w:rPr>
      </w:pPr>
      <w:r>
        <w:rPr>
          <w:sz w:val="18"/>
          <w:szCs w:val="18"/>
        </w:rPr>
        <w:t>Príloha č. 1 k Rozhodnutiu  č.:</w:t>
      </w:r>
      <w:r>
        <w:rPr>
          <w:bCs/>
          <w:sz w:val="18"/>
          <w:szCs w:val="18"/>
        </w:rPr>
        <w:t xml:space="preserve"> </w:t>
      </w:r>
      <w:r>
        <w:rPr>
          <w:b/>
          <w:bCs/>
          <w:sz w:val="18"/>
          <w:szCs w:val="18"/>
        </w:rPr>
        <w:t>051/R/22-S</w:t>
      </w:r>
    </w:p>
    <w:p w:rsidR="00820DF0" w:rsidRDefault="00820DF0" w:rsidP="00820DF0">
      <w:pPr>
        <w:jc w:val="both"/>
        <w:outlineLvl w:val="0"/>
        <w:rPr>
          <w:b/>
          <w:sz w:val="22"/>
          <w:szCs w:val="22"/>
        </w:rPr>
      </w:pPr>
    </w:p>
    <w:p w:rsidR="00820DF0" w:rsidRDefault="00820DF0" w:rsidP="00820DF0">
      <w:pPr>
        <w:jc w:val="center"/>
        <w:rPr>
          <w:b/>
          <w:caps/>
          <w:sz w:val="22"/>
          <w:szCs w:val="22"/>
        </w:rPr>
      </w:pPr>
      <w:r>
        <w:rPr>
          <w:b/>
          <w:caps/>
          <w:sz w:val="22"/>
          <w:szCs w:val="22"/>
        </w:rPr>
        <w:t xml:space="preserve">PÍSOMNÁ INFORMÁCIA PRE POUŽÍVATEĽA </w:t>
      </w:r>
    </w:p>
    <w:p w:rsidR="00820DF0" w:rsidRDefault="00820DF0" w:rsidP="00820DF0">
      <w:pPr>
        <w:jc w:val="center"/>
        <w:rPr>
          <w:sz w:val="22"/>
          <w:szCs w:val="22"/>
        </w:rPr>
      </w:pPr>
    </w:p>
    <w:p w:rsidR="00820DF0" w:rsidRDefault="00820DF0" w:rsidP="00820DF0">
      <w:pPr>
        <w:tabs>
          <w:tab w:val="left" w:pos="2268"/>
          <w:tab w:val="left" w:pos="2552"/>
        </w:tabs>
        <w:ind w:left="2552" w:hanging="2552"/>
        <w:jc w:val="both"/>
        <w:rPr>
          <w:b/>
          <w:sz w:val="22"/>
          <w:szCs w:val="22"/>
        </w:rPr>
      </w:pPr>
      <w:r>
        <w:rPr>
          <w:b/>
          <w:sz w:val="22"/>
          <w:szCs w:val="22"/>
        </w:rPr>
        <w:t>Názov vet. prípravku:</w:t>
      </w:r>
    </w:p>
    <w:p w:rsidR="00820DF0" w:rsidRDefault="00820DF0" w:rsidP="00820DF0">
      <w:pPr>
        <w:tabs>
          <w:tab w:val="left" w:pos="2268"/>
          <w:tab w:val="left" w:pos="2552"/>
        </w:tabs>
        <w:ind w:left="2552" w:hanging="2552"/>
        <w:jc w:val="both"/>
        <w:rPr>
          <w:b/>
          <w:sz w:val="22"/>
          <w:szCs w:val="22"/>
        </w:rPr>
      </w:pPr>
      <w:r>
        <w:rPr>
          <w:b/>
          <w:sz w:val="22"/>
          <w:szCs w:val="22"/>
        </w:rPr>
        <w:t>ALAVIS</w:t>
      </w:r>
      <w:r>
        <w:rPr>
          <w:b/>
          <w:sz w:val="22"/>
          <w:szCs w:val="22"/>
          <w:vertAlign w:val="superscript"/>
        </w:rPr>
        <w:t>TM</w:t>
      </w:r>
      <w:r>
        <w:rPr>
          <w:b/>
          <w:sz w:val="22"/>
          <w:szCs w:val="22"/>
        </w:rPr>
        <w:t xml:space="preserve"> MSM + Glukozamín sulfát</w:t>
      </w:r>
    </w:p>
    <w:p w:rsidR="00820DF0" w:rsidRDefault="00820DF0" w:rsidP="00820DF0">
      <w:pPr>
        <w:tabs>
          <w:tab w:val="left" w:pos="2268"/>
          <w:tab w:val="left" w:pos="2552"/>
        </w:tabs>
        <w:ind w:left="2552" w:hanging="2552"/>
        <w:jc w:val="both"/>
        <w:rPr>
          <w:b/>
          <w:sz w:val="22"/>
          <w:szCs w:val="22"/>
        </w:rPr>
      </w:pPr>
      <w:r>
        <w:rPr>
          <w:b/>
          <w:sz w:val="22"/>
          <w:szCs w:val="22"/>
        </w:rPr>
        <w:t>Pre správnu funkciu svalov, väzov, šliach, kĺbov, kostí a na fyzickú kondíciu</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0"/>
          <w:tab w:val="left" w:pos="2268"/>
        </w:tabs>
        <w:jc w:val="both"/>
        <w:rPr>
          <w:b/>
          <w:sz w:val="22"/>
          <w:szCs w:val="22"/>
        </w:rPr>
      </w:pPr>
      <w:r>
        <w:rPr>
          <w:b/>
          <w:sz w:val="22"/>
          <w:szCs w:val="22"/>
        </w:rPr>
        <w:t>Glukozamín sulfát, MSM, olej z boráku lekárskeho, hydrolyzovaný kolagén, vitamín C, Ďumbier lekársky, Kurkuma dlhá, Boswellia serrata</w:t>
      </w:r>
    </w:p>
    <w:p w:rsidR="00820DF0" w:rsidRDefault="00820DF0" w:rsidP="00820DF0">
      <w:pPr>
        <w:tabs>
          <w:tab w:val="left" w:pos="2268"/>
          <w:tab w:val="left" w:pos="2552"/>
        </w:tabs>
        <w:ind w:left="2552" w:hanging="2552"/>
        <w:jc w:val="both"/>
        <w:rPr>
          <w:sz w:val="10"/>
          <w:szCs w:val="10"/>
        </w:rPr>
      </w:pPr>
      <w:r>
        <w:rPr>
          <w:sz w:val="10"/>
          <w:szCs w:val="10"/>
        </w:rPr>
        <w:t xml:space="preserve"> </w:t>
      </w:r>
    </w:p>
    <w:p w:rsidR="00820DF0" w:rsidRDefault="00820DF0" w:rsidP="00820DF0">
      <w:pPr>
        <w:tabs>
          <w:tab w:val="left" w:pos="2268"/>
          <w:tab w:val="left" w:pos="2552"/>
        </w:tabs>
        <w:ind w:left="2552" w:hanging="2552"/>
        <w:jc w:val="both"/>
        <w:rPr>
          <w:b/>
          <w:sz w:val="22"/>
          <w:szCs w:val="22"/>
        </w:rPr>
      </w:pPr>
      <w:r>
        <w:rPr>
          <w:b/>
          <w:sz w:val="22"/>
          <w:szCs w:val="22"/>
        </w:rPr>
        <w:t xml:space="preserve">Držiteľ rozhodnutia o schválení a výrobca: </w:t>
      </w:r>
    </w:p>
    <w:p w:rsidR="00820DF0" w:rsidRDefault="00820DF0" w:rsidP="00820DF0">
      <w:pPr>
        <w:tabs>
          <w:tab w:val="left" w:pos="0"/>
          <w:tab w:val="left" w:pos="2268"/>
        </w:tabs>
        <w:jc w:val="both"/>
        <w:rPr>
          <w:sz w:val="22"/>
          <w:szCs w:val="22"/>
        </w:rPr>
      </w:pPr>
      <w:r>
        <w:rPr>
          <w:bCs/>
          <w:sz w:val="22"/>
          <w:szCs w:val="22"/>
        </w:rPr>
        <w:t>Patron ca, s. r. o., Thámova 402/4, 186 00 Praha 8, Česká republika</w:t>
      </w:r>
      <w:r>
        <w:rPr>
          <w:sz w:val="22"/>
          <w:szCs w:val="22"/>
          <w:shd w:val="clear" w:color="auto" w:fill="FFFFFF"/>
        </w:rPr>
        <w:t>, člen skupiny LightHouse International Inc., 1st. Canadian Place, Ontario M5X 1B5, Kanada</w:t>
      </w:r>
      <w:r>
        <w:rPr>
          <w:sz w:val="22"/>
          <w:szCs w:val="22"/>
        </w:rPr>
        <w:t>.</w:t>
      </w:r>
    </w:p>
    <w:p w:rsidR="00820DF0" w:rsidRDefault="00820DF0" w:rsidP="00820DF0">
      <w:pPr>
        <w:tabs>
          <w:tab w:val="left" w:pos="0"/>
          <w:tab w:val="left" w:pos="2268"/>
        </w:tabs>
        <w:jc w:val="both"/>
        <w:rPr>
          <w:sz w:val="22"/>
          <w:szCs w:val="22"/>
        </w:rPr>
      </w:pPr>
      <w:r>
        <w:rPr>
          <w:sz w:val="22"/>
          <w:szCs w:val="22"/>
        </w:rPr>
        <w:t>Člen Kanadskej obchodnej komory.</w:t>
      </w:r>
    </w:p>
    <w:p w:rsidR="00820DF0" w:rsidRDefault="00820DF0" w:rsidP="00820DF0">
      <w:pPr>
        <w:tabs>
          <w:tab w:val="left" w:pos="2268"/>
          <w:tab w:val="left" w:pos="2552"/>
        </w:tabs>
        <w:ind w:left="2552" w:hanging="2552"/>
        <w:jc w:val="both"/>
        <w:rPr>
          <w:sz w:val="10"/>
          <w:szCs w:val="10"/>
          <w:lang w:eastAsia="sk-SK"/>
        </w:rPr>
      </w:pPr>
    </w:p>
    <w:p w:rsidR="00820DF0" w:rsidRDefault="00820DF0" w:rsidP="00820DF0">
      <w:pPr>
        <w:tabs>
          <w:tab w:val="left" w:pos="2268"/>
          <w:tab w:val="left" w:pos="2552"/>
        </w:tabs>
        <w:ind w:left="2552" w:hanging="2552"/>
        <w:jc w:val="both"/>
        <w:rPr>
          <w:b/>
          <w:sz w:val="22"/>
          <w:szCs w:val="22"/>
        </w:rPr>
      </w:pPr>
      <w:r>
        <w:rPr>
          <w:b/>
          <w:sz w:val="22"/>
          <w:szCs w:val="22"/>
        </w:rPr>
        <w:t>Zloženie:</w:t>
      </w:r>
    </w:p>
    <w:p w:rsidR="00820DF0" w:rsidRDefault="00820DF0" w:rsidP="00820DF0">
      <w:pPr>
        <w:tabs>
          <w:tab w:val="left" w:pos="2268"/>
          <w:tab w:val="left" w:pos="2552"/>
        </w:tabs>
        <w:ind w:left="2552" w:hanging="2552"/>
        <w:jc w:val="both"/>
        <w:rPr>
          <w:b/>
          <w:sz w:val="22"/>
          <w:szCs w:val="22"/>
        </w:rPr>
      </w:pPr>
      <w:r>
        <w:rPr>
          <w:b/>
          <w:sz w:val="22"/>
          <w:szCs w:val="22"/>
        </w:rPr>
        <w:t>Obsah účinných látok v 1 tablete:</w:t>
      </w:r>
    </w:p>
    <w:p w:rsidR="00820DF0" w:rsidRDefault="00820DF0" w:rsidP="00820DF0">
      <w:pPr>
        <w:tabs>
          <w:tab w:val="left" w:pos="0"/>
          <w:tab w:val="left" w:pos="2268"/>
        </w:tabs>
        <w:jc w:val="both"/>
        <w:rPr>
          <w:sz w:val="22"/>
          <w:szCs w:val="22"/>
        </w:rPr>
      </w:pPr>
      <w:r>
        <w:rPr>
          <w:sz w:val="22"/>
          <w:szCs w:val="22"/>
        </w:rPr>
        <w:t xml:space="preserve">Glukozamín sulfát </w:t>
      </w:r>
      <w:r>
        <w:rPr>
          <w:sz w:val="22"/>
          <w:szCs w:val="22"/>
        </w:rPr>
        <w:tab/>
      </w:r>
      <w:r>
        <w:rPr>
          <w:sz w:val="22"/>
          <w:szCs w:val="22"/>
        </w:rPr>
        <w:tab/>
      </w:r>
      <w:r>
        <w:rPr>
          <w:sz w:val="22"/>
          <w:szCs w:val="22"/>
        </w:rPr>
        <w:tab/>
      </w:r>
      <w:r>
        <w:rPr>
          <w:sz w:val="22"/>
          <w:szCs w:val="22"/>
        </w:rPr>
        <w:tab/>
        <w:t>750 mg</w:t>
      </w:r>
    </w:p>
    <w:p w:rsidR="00820DF0" w:rsidRDefault="00820DF0" w:rsidP="00820DF0">
      <w:pPr>
        <w:tabs>
          <w:tab w:val="left" w:pos="0"/>
          <w:tab w:val="left" w:pos="2268"/>
        </w:tabs>
        <w:jc w:val="both"/>
        <w:rPr>
          <w:sz w:val="22"/>
          <w:szCs w:val="22"/>
        </w:rPr>
      </w:pPr>
      <w:r>
        <w:rPr>
          <w:sz w:val="22"/>
          <w:szCs w:val="22"/>
        </w:rPr>
        <w:t xml:space="preserve">MSM (metylsulfonylmetán) </w:t>
      </w:r>
      <w:r>
        <w:rPr>
          <w:sz w:val="22"/>
          <w:szCs w:val="22"/>
        </w:rPr>
        <w:tab/>
      </w:r>
      <w:r>
        <w:rPr>
          <w:sz w:val="22"/>
          <w:szCs w:val="22"/>
        </w:rPr>
        <w:tab/>
      </w:r>
      <w:r>
        <w:rPr>
          <w:sz w:val="22"/>
          <w:szCs w:val="22"/>
        </w:rPr>
        <w:tab/>
        <w:t>500 mg</w:t>
      </w:r>
    </w:p>
    <w:p w:rsidR="00820DF0" w:rsidRDefault="00820DF0" w:rsidP="00820DF0">
      <w:pPr>
        <w:tabs>
          <w:tab w:val="left" w:pos="0"/>
          <w:tab w:val="left" w:pos="2268"/>
        </w:tabs>
        <w:jc w:val="both"/>
        <w:rPr>
          <w:sz w:val="22"/>
          <w:szCs w:val="22"/>
        </w:rPr>
      </w:pPr>
      <w:r>
        <w:rPr>
          <w:sz w:val="22"/>
          <w:szCs w:val="22"/>
        </w:rPr>
        <w:t>Olej z boráku lekárskeho</w:t>
      </w:r>
      <w:r>
        <w:rPr>
          <w:sz w:val="22"/>
          <w:szCs w:val="22"/>
        </w:rPr>
        <w:tab/>
        <w:t xml:space="preserve"> (Borrago officinalis)</w:t>
      </w:r>
      <w:r>
        <w:rPr>
          <w:sz w:val="22"/>
          <w:szCs w:val="22"/>
        </w:rPr>
        <w:tab/>
        <w:t xml:space="preserve">  25 mg</w:t>
      </w:r>
    </w:p>
    <w:p w:rsidR="00820DF0" w:rsidRDefault="00820DF0" w:rsidP="00820DF0">
      <w:pPr>
        <w:tabs>
          <w:tab w:val="left" w:pos="0"/>
          <w:tab w:val="left" w:pos="2268"/>
        </w:tabs>
        <w:jc w:val="both"/>
        <w:rPr>
          <w:sz w:val="22"/>
          <w:szCs w:val="22"/>
        </w:rPr>
      </w:pPr>
      <w:r>
        <w:rPr>
          <w:sz w:val="22"/>
          <w:szCs w:val="22"/>
        </w:rPr>
        <w:t>Hydrolyzovaný kolagén II. typu 50%</w:t>
      </w:r>
      <w:r>
        <w:rPr>
          <w:sz w:val="22"/>
          <w:szCs w:val="22"/>
        </w:rPr>
        <w:tab/>
      </w:r>
      <w:r>
        <w:rPr>
          <w:sz w:val="22"/>
          <w:szCs w:val="22"/>
        </w:rPr>
        <w:tab/>
        <w:t xml:space="preserve">  20 mg</w:t>
      </w:r>
    </w:p>
    <w:p w:rsidR="00820DF0" w:rsidRDefault="00820DF0" w:rsidP="00820DF0">
      <w:pPr>
        <w:tabs>
          <w:tab w:val="left" w:pos="0"/>
          <w:tab w:val="left" w:pos="2268"/>
        </w:tabs>
        <w:jc w:val="both"/>
        <w:rPr>
          <w:sz w:val="22"/>
          <w:szCs w:val="22"/>
        </w:rPr>
      </w:pPr>
      <w:r>
        <w:rPr>
          <w:sz w:val="22"/>
          <w:szCs w:val="22"/>
        </w:rPr>
        <w:t>Vitamín C (L-askorban sodný)</w:t>
      </w:r>
      <w:r>
        <w:rPr>
          <w:sz w:val="22"/>
          <w:szCs w:val="22"/>
        </w:rPr>
        <w:tab/>
      </w:r>
      <w:r>
        <w:rPr>
          <w:sz w:val="22"/>
          <w:szCs w:val="22"/>
        </w:rPr>
        <w:tab/>
      </w:r>
      <w:r>
        <w:rPr>
          <w:sz w:val="22"/>
          <w:szCs w:val="22"/>
        </w:rPr>
        <w:tab/>
        <w:t xml:space="preserve">  20 mg</w:t>
      </w:r>
    </w:p>
    <w:p w:rsidR="00820DF0" w:rsidRDefault="00820DF0" w:rsidP="00820DF0">
      <w:pPr>
        <w:tabs>
          <w:tab w:val="left" w:pos="0"/>
          <w:tab w:val="left" w:pos="2268"/>
          <w:tab w:val="left" w:pos="4395"/>
        </w:tabs>
        <w:jc w:val="both"/>
        <w:rPr>
          <w:sz w:val="22"/>
          <w:szCs w:val="22"/>
        </w:rPr>
      </w:pPr>
      <w:r>
        <w:rPr>
          <w:sz w:val="22"/>
          <w:szCs w:val="22"/>
        </w:rPr>
        <w:t xml:space="preserve">Zázvorový extrakt (5%) </w:t>
      </w:r>
      <w:r>
        <w:rPr>
          <w:sz w:val="22"/>
          <w:szCs w:val="22"/>
        </w:rPr>
        <w:tab/>
      </w:r>
      <w:r>
        <w:rPr>
          <w:sz w:val="22"/>
          <w:szCs w:val="22"/>
        </w:rPr>
        <w:tab/>
        <w:t>15mg</w:t>
      </w:r>
    </w:p>
    <w:p w:rsidR="00820DF0" w:rsidRDefault="00820DF0" w:rsidP="00820DF0">
      <w:pPr>
        <w:tabs>
          <w:tab w:val="left" w:pos="0"/>
          <w:tab w:val="left" w:pos="2268"/>
          <w:tab w:val="left" w:pos="4395"/>
        </w:tabs>
        <w:jc w:val="both"/>
        <w:rPr>
          <w:sz w:val="22"/>
          <w:szCs w:val="22"/>
        </w:rPr>
      </w:pPr>
      <w:r>
        <w:rPr>
          <w:sz w:val="22"/>
          <w:szCs w:val="22"/>
        </w:rPr>
        <w:t xml:space="preserve">Kurkumín (95%) </w:t>
      </w:r>
      <w:r>
        <w:rPr>
          <w:sz w:val="22"/>
          <w:szCs w:val="22"/>
        </w:rPr>
        <w:tab/>
      </w:r>
      <w:r>
        <w:rPr>
          <w:sz w:val="22"/>
          <w:szCs w:val="22"/>
        </w:rPr>
        <w:tab/>
        <w:t>15mg</w:t>
      </w:r>
    </w:p>
    <w:p w:rsidR="00820DF0" w:rsidRDefault="00820DF0" w:rsidP="00820DF0">
      <w:pPr>
        <w:tabs>
          <w:tab w:val="left" w:pos="0"/>
          <w:tab w:val="left" w:pos="2268"/>
          <w:tab w:val="left" w:pos="4395"/>
        </w:tabs>
        <w:jc w:val="both"/>
        <w:rPr>
          <w:sz w:val="22"/>
          <w:szCs w:val="22"/>
        </w:rPr>
      </w:pPr>
      <w:r>
        <w:rPr>
          <w:sz w:val="22"/>
          <w:szCs w:val="22"/>
        </w:rPr>
        <w:t xml:space="preserve">Extrakt Boswellia serrata (85%) </w:t>
      </w:r>
      <w:r>
        <w:rPr>
          <w:sz w:val="22"/>
          <w:szCs w:val="22"/>
        </w:rPr>
        <w:tab/>
        <w:t>10 mg</w:t>
      </w:r>
    </w:p>
    <w:p w:rsidR="00820DF0" w:rsidRDefault="00820DF0" w:rsidP="00820DF0">
      <w:pPr>
        <w:tabs>
          <w:tab w:val="left" w:pos="0"/>
          <w:tab w:val="left" w:pos="2268"/>
        </w:tabs>
        <w:jc w:val="both"/>
        <w:rPr>
          <w:sz w:val="22"/>
          <w:szCs w:val="22"/>
        </w:rPr>
      </w:pPr>
      <w:r>
        <w:rPr>
          <w:sz w:val="22"/>
          <w:szCs w:val="22"/>
        </w:rPr>
        <w:t>Ďalšie zložky: Izoamlt, kopolymér polyvinylpyrolidónu a vinyl-acetátu, mikrokryštalická celulóza, stearan horečnatý.</w:t>
      </w:r>
    </w:p>
    <w:p w:rsidR="00820DF0" w:rsidRDefault="00820DF0" w:rsidP="00820DF0">
      <w:pPr>
        <w:tabs>
          <w:tab w:val="left" w:pos="0"/>
          <w:tab w:val="left" w:pos="2268"/>
        </w:tabs>
        <w:jc w:val="both"/>
        <w:rPr>
          <w:sz w:val="10"/>
          <w:szCs w:val="10"/>
        </w:rPr>
      </w:pPr>
    </w:p>
    <w:p w:rsidR="00820DF0" w:rsidRDefault="00820DF0" w:rsidP="00820DF0">
      <w:pPr>
        <w:tabs>
          <w:tab w:val="left" w:pos="3261"/>
        </w:tabs>
        <w:ind w:left="3260" w:hanging="3260"/>
        <w:jc w:val="both"/>
        <w:rPr>
          <w:b/>
          <w:sz w:val="22"/>
          <w:szCs w:val="22"/>
        </w:rPr>
      </w:pPr>
      <w:r>
        <w:rPr>
          <w:b/>
          <w:sz w:val="22"/>
          <w:szCs w:val="22"/>
        </w:rPr>
        <w:t>Popis vet. prípravku:</w:t>
      </w:r>
      <w:r>
        <w:rPr>
          <w:b/>
          <w:sz w:val="22"/>
          <w:szCs w:val="22"/>
        </w:rPr>
        <w:tab/>
      </w:r>
    </w:p>
    <w:p w:rsidR="00820DF0" w:rsidRDefault="00820DF0" w:rsidP="00820DF0">
      <w:pPr>
        <w:tabs>
          <w:tab w:val="left" w:pos="3261"/>
        </w:tabs>
        <w:ind w:left="3260" w:hanging="3260"/>
        <w:jc w:val="both"/>
        <w:rPr>
          <w:sz w:val="22"/>
          <w:szCs w:val="22"/>
        </w:rPr>
      </w:pPr>
      <w:r>
        <w:rPr>
          <w:sz w:val="22"/>
          <w:szCs w:val="22"/>
        </w:rPr>
        <w:t xml:space="preserve">Oválna bikonvexná poťahovaná tableta okrovej farby s obojstrannou poliacou ryhou. </w:t>
      </w:r>
    </w:p>
    <w:p w:rsidR="00820DF0" w:rsidRDefault="00820DF0" w:rsidP="00820DF0">
      <w:pPr>
        <w:tabs>
          <w:tab w:val="left" w:pos="2268"/>
          <w:tab w:val="left" w:pos="2552"/>
        </w:tabs>
        <w:ind w:left="2552" w:hanging="2552"/>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Druh a kategória zvierat:</w:t>
      </w:r>
    </w:p>
    <w:p w:rsidR="00820DF0" w:rsidRDefault="00820DF0" w:rsidP="00820DF0">
      <w:pPr>
        <w:tabs>
          <w:tab w:val="left" w:pos="2268"/>
          <w:tab w:val="left" w:pos="2552"/>
        </w:tabs>
        <w:ind w:left="2552" w:hanging="2552"/>
        <w:jc w:val="both"/>
        <w:rPr>
          <w:sz w:val="22"/>
          <w:szCs w:val="22"/>
        </w:rPr>
      </w:pPr>
      <w:r>
        <w:rPr>
          <w:bCs/>
          <w:sz w:val="22"/>
          <w:szCs w:val="22"/>
        </w:rPr>
        <w:t>Psy.</w:t>
      </w:r>
    </w:p>
    <w:p w:rsidR="00820DF0" w:rsidRDefault="00820DF0" w:rsidP="00820DF0">
      <w:pPr>
        <w:tabs>
          <w:tab w:val="left" w:pos="2268"/>
          <w:tab w:val="left" w:pos="2552"/>
        </w:tabs>
        <w:ind w:left="2552" w:hanging="2552"/>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Charakteristika:</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Cs/>
        </w:rPr>
        <w:t>Veterinárny prípravok ALAVIS</w:t>
      </w:r>
      <w:r>
        <w:rPr>
          <w:rFonts w:ascii="Times New Roman" w:hAnsi="Times New Roman"/>
          <w:bCs/>
          <w:vertAlign w:val="superscript"/>
        </w:rPr>
        <w:t>TM</w:t>
      </w:r>
      <w:r>
        <w:rPr>
          <w:rFonts w:ascii="Times New Roman" w:hAnsi="Times New Roman"/>
          <w:bCs/>
        </w:rPr>
        <w:t xml:space="preserve"> MSM + Glukozamín sulfát obsahuje  chondroprotektívnu látku glukozamín sulfát na podporu vývoja a regeneráciu kĺbových chrupaviek, ďalej obsahuje látku MSM (metylsulfonylmetán), ktorá pomáha zmierňovať bolesť a zápal, spevňuje väzy a šľachy, pôsobí na relaxáciu a regeneráciu svalov. V neposlednom rade obsahuje hydrolyzovaný kolagén, vitamín C a olej z boráku lekárskeho, ktorý obsahuje nenasýtené mastné kyseliny, ktoré prispievajú k tlmeniu zápalu a zmierneniu bolestivosti kĺbov</w:t>
      </w:r>
      <w:r>
        <w:rPr>
          <w:rFonts w:ascii="Times New Roman" w:hAnsi="Times New Roman"/>
        </w:rPr>
        <w:t>.</w:t>
      </w:r>
    </w:p>
    <w:p w:rsidR="00820DF0" w:rsidRDefault="00820DF0" w:rsidP="00820DF0">
      <w:pPr>
        <w:pStyle w:val="Odsekzoznamu"/>
        <w:tabs>
          <w:tab w:val="left" w:pos="0"/>
          <w:tab w:val="left" w:pos="2268"/>
        </w:tabs>
        <w:spacing w:after="0" w:line="240" w:lineRule="auto"/>
        <w:ind w:left="0"/>
        <w:jc w:val="both"/>
        <w:rPr>
          <w:rFonts w:ascii="Times New Roman" w:hAnsi="Times New Roman"/>
          <w:sz w:val="6"/>
          <w:szCs w:val="6"/>
        </w:rPr>
      </w:pP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 xml:space="preserve">MSM (metylsulfonylmetán) </w:t>
      </w:r>
      <w:r>
        <w:rPr>
          <w:rFonts w:ascii="Times New Roman" w:hAnsi="Times New Roman"/>
        </w:rPr>
        <w:t xml:space="preserve">je prírodná látka  obsahujúca organicky viazanú síru, ktorá zohráva dôležitú úlohu vo výstavbe spojivových tkanív a kostí. Je zapojená do procesu tvorby kolagénu a do výstavby glukozamínov – základných stavebných látok kĺbových chrupaviek a spojivových tkanív. Pri nedostatku síry môže byť väzivo a kĺbová chrupavka vážne poškodená. To sa prejaví najmä bolesťou pri pohybe. MSM, ktorá môže slúžiť ako zdroj organicky viazanej síry pre organizmus, sa podieľa nielen na zmiernení bolesti kĺbov ale vďaka svojim antioxidačným a detoxikačným účinkom tiež na odbúravaní poškodeného kĺbového tkaniva, na odstránení cudzorodých škodlivých látok a tiež na eliminácii prebiehajúceho zápalu v kĺbe. MSM má svoje uplatnenie ako doplnok liečby degeneratívneho a zápalového postihnutia pohybového aparátu (artróza, artritída), ďalej pri zmiernení bolesti svalov, pri svalových kŕčoch a v menšej miere tiež bolestí šliach. </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Glukozamín sulfát</w:t>
      </w:r>
      <w:r>
        <w:rPr>
          <w:rFonts w:ascii="Times New Roman" w:hAnsi="Times New Roman"/>
        </w:rPr>
        <w:t xml:space="preserve"> je látka, ktorá zohráva dôležitú úlohu v metabolizme chrupavky. Predovšetkým je potrebný k vytváraniu proteoglykánov, kľúčových prvkov základnej hmoty chrupavky, ale aj k produkcii kolagénu. Normalizuje tak metabolizmus chrupavky a posilňuje regeneračné mechanizmy. Okrem priameho vplyvu na bunky tvoriace chrupavku (chondorcyty) vykazuje aj proizápalové účinky. Z tabliet sa ľahko vstrebáva a dobre sa vstavuje do poškodenej kĺbovej chrupavky. Glukozamín sulfát je látka organizmom veľmi dobre tolerovaná a jej užívanie nie je sprevádzané žiadnymi závažnými </w:t>
      </w:r>
      <w:r>
        <w:rPr>
          <w:rFonts w:ascii="Times New Roman" w:hAnsi="Times New Roman"/>
        </w:rPr>
        <w:lastRenderedPageBreak/>
        <w:t xml:space="preserve">vedľajšími účinkami. Vedľa symptomatického efektu, ktorý zahŕňa pomoc pri zmiernení bolesti a zlepšení funkcie postihnutých kĺbov, má spomaľujúci účinok na progresiu osteoartrózy, čo je veľmi dôležité pri tomto ochorení. </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Hydrolyzovaný kolagén II. typu</w:t>
      </w:r>
      <w:r>
        <w:rPr>
          <w:rFonts w:ascii="Times New Roman" w:hAnsi="Times New Roman"/>
        </w:rPr>
        <w:t xml:space="preserve"> je základom pre kĺbovú hyalínnu chrupavku. Tvorí 50% všetkých bielkovín v chrupavke a 85 – 90% kolagénu kĺbovej chrupavky. Zabezpečuje správnu funkciu chrupavky, t. j. pevnosť, pružnosť a schopnosť odolávať otrasom. </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Olej z boráku lekárskeho</w:t>
      </w:r>
      <w:r>
        <w:rPr>
          <w:rFonts w:ascii="Times New Roman" w:hAnsi="Times New Roman"/>
        </w:rPr>
        <w:t xml:space="preserve"> je bohatý na gama-linolenovú nenasýtenú mastnú kyselinu, ktorá má pozitívny vplyv na priebeh zápalového postihnutia kĺbov a tým prispieva k zlepšeniu stavu pri zápalovom postihnutí kĺbov.</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 xml:space="preserve">Kurkuma, Boswellia a zázvor </w:t>
      </w:r>
      <w:r>
        <w:rPr>
          <w:rFonts w:ascii="Times New Roman" w:hAnsi="Times New Roman"/>
        </w:rPr>
        <w:t>sú byliny, ktoré pomáhajú zmierňovať negatívne prejavy zápalu a </w:t>
      </w:r>
      <w:r>
        <w:t>s tým</w:t>
      </w:r>
      <w:r>
        <w:rPr>
          <w:rFonts w:ascii="Times New Roman" w:hAnsi="Times New Roman"/>
        </w:rPr>
        <w:t xml:space="preserve"> súvisiace opuchy. </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
        </w:rPr>
        <w:t>Vitamín C</w:t>
      </w:r>
      <w:r>
        <w:rPr>
          <w:rFonts w:ascii="Times New Roman" w:hAnsi="Times New Roman"/>
        </w:rPr>
        <w:t xml:space="preserve"> je potrebný pre metabolizmus aminokyselín, najmä aminokyselín hydroxylyzínu a hydroxyprolínu, ktoré sú veľmi dôležité pre syntézu kolagénu. Vitamín C ďalej zohráva dôležitú úlohu pri vývoji kostí a chrupaviek. Nedostatkom vitamínu C dochádza k menšej pevnosti kolagénnych vláken nielen v chrupavke, ale aj vo väzoch a šľachách. Vitamín C ďalej podporuje vstrebávanie železa a tvorbu bielych krviniek, ktoré zohrávajú dôležitú úlohu v imunite a svojím antioxidačným účinkom chráni bunky organizmu.</w:t>
      </w:r>
    </w:p>
    <w:p w:rsidR="00820DF0" w:rsidRDefault="00820DF0" w:rsidP="00820DF0">
      <w:pPr>
        <w:pStyle w:val="Odsekzoznamu"/>
        <w:tabs>
          <w:tab w:val="left" w:pos="0"/>
          <w:tab w:val="left" w:pos="2268"/>
        </w:tabs>
        <w:spacing w:after="0" w:line="240" w:lineRule="auto"/>
        <w:ind w:left="0"/>
        <w:jc w:val="both"/>
        <w:rPr>
          <w:rFonts w:ascii="Times New Roman" w:hAnsi="Times New Roman"/>
          <w:color w:val="FF0000"/>
          <w:sz w:val="10"/>
          <w:szCs w:val="10"/>
        </w:rPr>
      </w:pPr>
    </w:p>
    <w:p w:rsidR="00820DF0" w:rsidRDefault="00820DF0" w:rsidP="00820DF0">
      <w:pPr>
        <w:pStyle w:val="Odsekzoznamu"/>
        <w:tabs>
          <w:tab w:val="left" w:pos="0"/>
          <w:tab w:val="left" w:pos="2268"/>
        </w:tabs>
        <w:spacing w:after="0" w:line="240" w:lineRule="auto"/>
        <w:ind w:left="0"/>
        <w:jc w:val="both"/>
        <w:rPr>
          <w:rFonts w:ascii="Times New Roman" w:hAnsi="Times New Roman"/>
          <w:b/>
        </w:rPr>
      </w:pPr>
      <w:r>
        <w:rPr>
          <w:rFonts w:ascii="Times New Roman" w:hAnsi="Times New Roman"/>
          <w:b/>
        </w:rPr>
        <w:t>ALAVIS</w:t>
      </w:r>
      <w:r>
        <w:rPr>
          <w:rFonts w:ascii="Times New Roman" w:hAnsi="Times New Roman"/>
          <w:b/>
          <w:bCs/>
          <w:vertAlign w:val="superscript"/>
        </w:rPr>
        <w:t>TM</w:t>
      </w:r>
      <w:r>
        <w:rPr>
          <w:rFonts w:ascii="Times New Roman" w:hAnsi="Times New Roman"/>
          <w:b/>
        </w:rPr>
        <w:t xml:space="preserve"> MSM + Glukozamín sulfát podávajte:</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psom všetkých vekových kategórií, šteňatám od 2. – 3. mesiaca veku</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športovým a pracovným psom</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psom s nadváhou</w:t>
      </w:r>
    </w:p>
    <w:p w:rsidR="00820DF0" w:rsidRDefault="00820DF0" w:rsidP="00820DF0">
      <w:pPr>
        <w:pStyle w:val="Odsekzoznamu"/>
        <w:tabs>
          <w:tab w:val="left" w:pos="0"/>
          <w:tab w:val="left" w:pos="2268"/>
        </w:tabs>
        <w:spacing w:after="0" w:line="240" w:lineRule="auto"/>
        <w:ind w:left="0"/>
        <w:jc w:val="both"/>
        <w:rPr>
          <w:rFonts w:ascii="Times New Roman" w:hAnsi="Times New Roman"/>
          <w:b/>
          <w:bCs/>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bCs/>
        </w:rPr>
      </w:pPr>
      <w:r>
        <w:rPr>
          <w:rFonts w:ascii="Times New Roman" w:hAnsi="Times New Roman"/>
          <w:b/>
          <w:bCs/>
        </w:rPr>
        <w:t>Odporúčame podávať:</w:t>
      </w:r>
    </w:p>
    <w:p w:rsidR="00820DF0" w:rsidRDefault="00820DF0" w:rsidP="00820DF0">
      <w:pPr>
        <w:pStyle w:val="Odsekzoznamu"/>
        <w:numPr>
          <w:ilvl w:val="0"/>
          <w:numId w:val="2"/>
        </w:numPr>
        <w:tabs>
          <w:tab w:val="left" w:pos="284"/>
          <w:tab w:val="left" w:pos="2268"/>
        </w:tabs>
        <w:spacing w:after="0" w:line="240" w:lineRule="auto"/>
        <w:ind w:left="284" w:hanging="284"/>
        <w:jc w:val="both"/>
        <w:rPr>
          <w:rFonts w:ascii="Times New Roman" w:hAnsi="Times New Roman"/>
          <w:bCs/>
        </w:rPr>
      </w:pPr>
      <w:r>
        <w:rPr>
          <w:rFonts w:ascii="Times New Roman" w:hAnsi="Times New Roman"/>
          <w:bCs/>
        </w:rPr>
        <w:t>na zníženie rizika výskytu kĺbových ochorení DKK a DLK (najmä u šteniat veľkých a obrích plemien)</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luxácii a subluxácii pately (skôr malé plemená)</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čiastočnej ruptúre skrížených kolenných väzov</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poúrazových a pooperačných stavoch</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ochoreniach chrbtice</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zápale väzov, šliach a svalov</w:t>
      </w:r>
    </w:p>
    <w:p w:rsidR="00820DF0" w:rsidRDefault="00820DF0" w:rsidP="00820DF0">
      <w:pPr>
        <w:pStyle w:val="Odsekzoznamu"/>
        <w:tabs>
          <w:tab w:val="left" w:pos="284"/>
          <w:tab w:val="left" w:pos="2268"/>
        </w:tabs>
        <w:spacing w:after="0" w:line="240" w:lineRule="auto"/>
        <w:ind w:left="2552" w:hanging="720"/>
        <w:jc w:val="both"/>
        <w:rPr>
          <w:rFonts w:ascii="Times New Roman" w:hAnsi="Times New Roman"/>
          <w:b/>
          <w:bCs/>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Denné dávkovanie:</w:t>
      </w: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color w:val="FF0000"/>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71"/>
        <w:gridCol w:w="3071"/>
      </w:tblGrid>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Hmotnosť psa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Iniciačná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 xml:space="preserve">(prvých 14 dní podávania) </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Udržiavacia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(pokračovacia)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 5kg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¼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10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10 – 15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15 – 25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3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45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 – 5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 2,5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45 a viac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6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3 tablety</w:t>
            </w:r>
          </w:p>
        </w:tc>
      </w:tr>
    </w:tbl>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Spôsob použitia:</w:t>
      </w:r>
      <w:r>
        <w:rPr>
          <w:rFonts w:ascii="Times New Roman" w:hAnsi="Times New Roman"/>
          <w:b/>
        </w:rPr>
        <w:tab/>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Tablety sa podávajú denne podľa odporúčaného dávkovania priamo do dutiny ústnej alebo s kúskom potravy, prípadne rozdrvené do krmiva.</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sz w:val="22"/>
          <w:szCs w:val="22"/>
          <w:lang w:val="sk-SK"/>
        </w:rPr>
      </w:pPr>
      <w:r>
        <w:rPr>
          <w:b/>
          <w:sz w:val="22"/>
          <w:szCs w:val="22"/>
          <w:lang w:val="sk-SK"/>
        </w:rPr>
        <w:t>Dĺžka podávania:</w:t>
      </w:r>
      <w:r>
        <w:rPr>
          <w:sz w:val="22"/>
          <w:szCs w:val="22"/>
          <w:lang w:val="sk-SK"/>
        </w:rPr>
        <w:t xml:space="preserve"> </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Optimálna doba podávania sú tri mesiace. Prípravok sa môže podávať dlhodobo.</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b/>
          <w:sz w:val="22"/>
          <w:szCs w:val="22"/>
          <w:lang w:val="sk-SK"/>
        </w:rPr>
      </w:pPr>
      <w:r>
        <w:rPr>
          <w:b/>
          <w:sz w:val="22"/>
          <w:szCs w:val="22"/>
          <w:lang w:val="sk-SK"/>
        </w:rPr>
        <w:t>Upozornenie:</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určený pre kotné suky.</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náhradou veterinárnej starostlivosti a liekov odporúčaných veterinárnym lekárom.</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V prípade ortopedických ťažkostí zvieraťa navštívte pred zahájením podávania prípravku veterinárneho lekára pre stanovenie diagnózy.</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2268"/>
          <w:tab w:val="left" w:pos="2552"/>
        </w:tabs>
        <w:spacing w:before="0" w:line="240" w:lineRule="auto"/>
        <w:ind w:left="2552" w:hanging="2552"/>
        <w:rPr>
          <w:b/>
          <w:sz w:val="22"/>
          <w:szCs w:val="22"/>
          <w:lang w:val="sk-SK"/>
        </w:rPr>
      </w:pPr>
      <w:r>
        <w:rPr>
          <w:b/>
          <w:sz w:val="22"/>
          <w:szCs w:val="22"/>
        </w:rPr>
        <w:t>Veľkosť balenia:</w:t>
      </w:r>
    </w:p>
    <w:p w:rsidR="00820DF0" w:rsidRDefault="00820DF0" w:rsidP="00820DF0">
      <w:pPr>
        <w:pStyle w:val="Zkladntext3"/>
        <w:tabs>
          <w:tab w:val="left" w:pos="2268"/>
          <w:tab w:val="left" w:pos="2552"/>
        </w:tabs>
        <w:spacing w:before="0" w:line="240" w:lineRule="auto"/>
        <w:ind w:left="2552" w:hanging="2552"/>
        <w:rPr>
          <w:sz w:val="22"/>
          <w:szCs w:val="22"/>
        </w:rPr>
      </w:pPr>
      <w:r>
        <w:rPr>
          <w:sz w:val="22"/>
          <w:szCs w:val="22"/>
          <w:lang w:val="sk-SK"/>
        </w:rPr>
        <w:t>60 tabliet</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lastRenderedPageBreak/>
        <w:t>Spôsob uchovávania:</w:t>
      </w:r>
      <w:r>
        <w:rPr>
          <w:b/>
          <w:sz w:val="22"/>
          <w:szCs w:val="22"/>
        </w:rPr>
        <w:tab/>
      </w:r>
    </w:p>
    <w:p w:rsidR="00820DF0" w:rsidRDefault="00820DF0" w:rsidP="00820DF0">
      <w:pPr>
        <w:tabs>
          <w:tab w:val="left" w:pos="0"/>
          <w:tab w:val="left" w:pos="2268"/>
        </w:tabs>
        <w:jc w:val="both"/>
        <w:rPr>
          <w:sz w:val="22"/>
          <w:szCs w:val="22"/>
        </w:rPr>
      </w:pPr>
      <w:r>
        <w:rPr>
          <w:sz w:val="22"/>
          <w:szCs w:val="22"/>
        </w:rPr>
        <w:t>Uchovávajte uzavreté v suchu pri teplote 15 – 30°C. Chráňte pred mrazom.  Uchovávajte mimo dohľadu a dosahu detí.</w:t>
      </w:r>
    </w:p>
    <w:p w:rsidR="00820DF0" w:rsidRDefault="00820DF0" w:rsidP="00820DF0">
      <w:pPr>
        <w:pStyle w:val="Zkladntext3"/>
        <w:tabs>
          <w:tab w:val="left" w:pos="2268"/>
          <w:tab w:val="left" w:pos="2552"/>
        </w:tabs>
        <w:spacing w:before="0" w:line="240" w:lineRule="auto"/>
        <w:ind w:left="2552" w:hanging="2552"/>
        <w:rPr>
          <w:b/>
          <w:sz w:val="22"/>
          <w:szCs w:val="22"/>
          <w:lang w:val="sk-SK" w:eastAsia="sk-SK"/>
        </w:rPr>
      </w:pPr>
      <w:r>
        <w:rPr>
          <w:b/>
          <w:sz w:val="22"/>
          <w:szCs w:val="22"/>
          <w:lang w:eastAsia="sk-SK"/>
        </w:rPr>
        <w:t>Čas použiteľnosti:</w:t>
      </w:r>
    </w:p>
    <w:p w:rsidR="00820DF0" w:rsidRDefault="00820DF0" w:rsidP="00820DF0">
      <w:pPr>
        <w:pStyle w:val="Zkladntext3"/>
        <w:tabs>
          <w:tab w:val="left" w:pos="2268"/>
          <w:tab w:val="left" w:pos="2552"/>
        </w:tabs>
        <w:spacing w:before="0" w:line="240" w:lineRule="auto"/>
        <w:ind w:left="2552" w:hanging="2552"/>
        <w:rPr>
          <w:sz w:val="22"/>
          <w:szCs w:val="22"/>
          <w:lang w:eastAsia="sk-SK"/>
        </w:rPr>
      </w:pPr>
      <w:r>
        <w:rPr>
          <w:sz w:val="22"/>
          <w:szCs w:val="22"/>
          <w:lang w:val="sk-SK" w:eastAsia="sk-SK"/>
        </w:rPr>
        <w:t>2 roky od dátumu výroby</w:t>
      </w:r>
      <w:r>
        <w:rPr>
          <w:sz w:val="22"/>
          <w:szCs w:val="22"/>
          <w:lang w:eastAsia="sk-SK"/>
        </w:rPr>
        <w:t>.</w:t>
      </w:r>
      <w:r>
        <w:rPr>
          <w:sz w:val="22"/>
          <w:szCs w:val="22"/>
          <w:lang w:val="pl-PL"/>
        </w:rPr>
        <w:t xml:space="preserve"> </w:t>
      </w:r>
    </w:p>
    <w:p w:rsidR="00820DF0" w:rsidRDefault="00820DF0" w:rsidP="00820DF0">
      <w:pPr>
        <w:pStyle w:val="Zkladntext2"/>
        <w:tabs>
          <w:tab w:val="left" w:pos="2268"/>
          <w:tab w:val="left" w:pos="2552"/>
        </w:tabs>
        <w:ind w:left="2552" w:hanging="2552"/>
        <w:jc w:val="both"/>
        <w:rPr>
          <w:sz w:val="10"/>
          <w:szCs w:val="10"/>
          <w:lang w:eastAsia="sk-SK"/>
        </w:rPr>
      </w:pPr>
    </w:p>
    <w:p w:rsidR="00820DF0" w:rsidRDefault="00820DF0" w:rsidP="00820DF0">
      <w:pPr>
        <w:pStyle w:val="Zkladntext2"/>
        <w:tabs>
          <w:tab w:val="left" w:pos="2268"/>
          <w:tab w:val="left" w:pos="2552"/>
        </w:tabs>
        <w:ind w:left="2552" w:hanging="2552"/>
        <w:jc w:val="both"/>
        <w:rPr>
          <w:b/>
          <w:szCs w:val="22"/>
          <w:lang w:eastAsia="sk-SK"/>
        </w:rPr>
      </w:pPr>
      <w:r>
        <w:rPr>
          <w:b/>
          <w:szCs w:val="22"/>
          <w:lang w:eastAsia="sk-SK"/>
        </w:rPr>
        <w:t>Označenie:</w:t>
      </w:r>
    </w:p>
    <w:p w:rsidR="00820DF0" w:rsidRDefault="00820DF0" w:rsidP="00820DF0">
      <w:pPr>
        <w:pStyle w:val="Zkladntext2"/>
        <w:tabs>
          <w:tab w:val="left" w:pos="2268"/>
          <w:tab w:val="left" w:pos="2552"/>
        </w:tabs>
        <w:ind w:left="2552" w:hanging="2552"/>
        <w:jc w:val="both"/>
        <w:rPr>
          <w:szCs w:val="22"/>
          <w:lang w:eastAsia="sk-SK"/>
        </w:rPr>
      </w:pPr>
      <w:r>
        <w:rPr>
          <w:szCs w:val="22"/>
          <w:lang w:eastAsia="sk-SK"/>
        </w:rPr>
        <w:t xml:space="preserve">Len pre zvieratá! </w:t>
      </w:r>
    </w:p>
    <w:p w:rsidR="00820DF0" w:rsidRDefault="00820DF0" w:rsidP="00820DF0">
      <w:pPr>
        <w:pStyle w:val="Zkladntext2"/>
        <w:tabs>
          <w:tab w:val="left" w:pos="2268"/>
          <w:tab w:val="left" w:pos="2552"/>
        </w:tabs>
        <w:ind w:left="2552" w:hanging="2552"/>
        <w:jc w:val="both"/>
        <w:rPr>
          <w:sz w:val="10"/>
          <w:szCs w:val="10"/>
          <w:lang w:eastAsia="sk-SK"/>
        </w:rPr>
      </w:pPr>
    </w:p>
    <w:p w:rsidR="00820DF0" w:rsidRDefault="00820DF0" w:rsidP="00820DF0">
      <w:pPr>
        <w:pStyle w:val="Zkladntext2"/>
        <w:tabs>
          <w:tab w:val="left" w:pos="2268"/>
          <w:tab w:val="left" w:pos="2552"/>
        </w:tabs>
        <w:ind w:left="2552" w:hanging="2552"/>
        <w:jc w:val="both"/>
        <w:rPr>
          <w:szCs w:val="22"/>
          <w:lang w:eastAsia="sk-SK"/>
        </w:rPr>
      </w:pPr>
      <w:r>
        <w:rPr>
          <w:szCs w:val="22"/>
          <w:lang w:eastAsia="sk-SK"/>
        </w:rPr>
        <w:t>Upozornenie na spôsob nakladania a zneškodnenia nepoužitého veterinárneho prípravku a obalu:</w:t>
      </w:r>
    </w:p>
    <w:p w:rsidR="00820DF0" w:rsidRDefault="00820DF0" w:rsidP="00820DF0">
      <w:pPr>
        <w:pStyle w:val="Zkladntext2"/>
        <w:tabs>
          <w:tab w:val="left" w:pos="0"/>
          <w:tab w:val="left" w:pos="2268"/>
        </w:tabs>
        <w:jc w:val="both"/>
        <w:rPr>
          <w:szCs w:val="22"/>
          <w:lang w:eastAsia="sk-SK"/>
        </w:rPr>
      </w:pPr>
      <w:r>
        <w:rPr>
          <w:szCs w:val="22"/>
          <w:lang w:eastAsia="sk-SK"/>
        </w:rPr>
        <w:t>Nepoužité a nespotrebované veterinárne prípravky a ich obaly sa likvidujú v zmysle platných právnych predpisov.</w:t>
      </w:r>
    </w:p>
    <w:p w:rsidR="00820DF0" w:rsidRDefault="00820DF0" w:rsidP="00820DF0">
      <w:pPr>
        <w:pStyle w:val="Zkladntext2"/>
        <w:tabs>
          <w:tab w:val="left" w:pos="2127"/>
          <w:tab w:val="left" w:pos="2552"/>
        </w:tabs>
        <w:ind w:left="2552" w:hanging="2552"/>
        <w:jc w:val="both"/>
        <w:rPr>
          <w:sz w:val="10"/>
          <w:szCs w:val="10"/>
          <w:lang w:eastAsia="sk-SK"/>
        </w:rPr>
      </w:pPr>
    </w:p>
    <w:p w:rsidR="00820DF0" w:rsidRDefault="00820DF0" w:rsidP="00820DF0">
      <w:pPr>
        <w:pStyle w:val="Zkladntext2"/>
        <w:tabs>
          <w:tab w:val="left" w:pos="2700"/>
        </w:tabs>
        <w:rPr>
          <w:b/>
          <w:szCs w:val="22"/>
          <w:lang w:eastAsia="sk-SK"/>
        </w:rPr>
      </w:pPr>
      <w:r>
        <w:rPr>
          <w:b/>
          <w:szCs w:val="22"/>
          <w:lang w:eastAsia="sk-SK"/>
        </w:rPr>
        <w:t>Bez predpisu veterinárneho lekára.</w:t>
      </w:r>
    </w:p>
    <w:p w:rsidR="00820DF0" w:rsidRDefault="00820DF0" w:rsidP="00820DF0">
      <w:pPr>
        <w:pStyle w:val="Zkladntext2"/>
        <w:tabs>
          <w:tab w:val="left" w:pos="2700"/>
        </w:tabs>
        <w:jc w:val="both"/>
        <w:rPr>
          <w:sz w:val="10"/>
          <w:szCs w:val="10"/>
          <w:lang w:eastAsia="sk-SK"/>
        </w:rPr>
      </w:pPr>
    </w:p>
    <w:p w:rsidR="00820DF0" w:rsidRDefault="00820DF0" w:rsidP="00820DF0">
      <w:pPr>
        <w:widowControl w:val="0"/>
        <w:autoSpaceDE w:val="0"/>
        <w:autoSpaceDN w:val="0"/>
        <w:adjustRightInd w:val="0"/>
        <w:jc w:val="both"/>
        <w:rPr>
          <w:sz w:val="22"/>
          <w:szCs w:val="22"/>
        </w:rPr>
      </w:pPr>
      <w:r>
        <w:rPr>
          <w:sz w:val="22"/>
          <w:szCs w:val="22"/>
        </w:rPr>
        <w:t xml:space="preserve">Veterinárny prípravok je schválený ÚŠKVBL pod číslom 051/R/22-S </w:t>
      </w:r>
    </w:p>
    <w:p w:rsidR="00820DF0" w:rsidRDefault="00820DF0" w:rsidP="00820DF0">
      <w:pPr>
        <w:rPr>
          <w:sz w:val="10"/>
          <w:szCs w:val="10"/>
        </w:rPr>
      </w:pPr>
    </w:p>
    <w:p w:rsidR="00820DF0" w:rsidRDefault="00820DF0" w:rsidP="00820DF0">
      <w:pPr>
        <w:rPr>
          <w:sz w:val="22"/>
          <w:szCs w:val="22"/>
        </w:rPr>
      </w:pPr>
      <w:r>
        <w:rPr>
          <w:b/>
          <w:sz w:val="22"/>
          <w:szCs w:val="22"/>
        </w:rPr>
        <w:t>Číslo šarže a dátum spotreby:</w:t>
      </w:r>
      <w:r>
        <w:rPr>
          <w:sz w:val="22"/>
          <w:szCs w:val="22"/>
        </w:rPr>
        <w:t xml:space="preserve"> Uvedené priamo na dóze.</w:t>
      </w: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b/>
          <w:bCs/>
          <w:sz w:val="18"/>
          <w:szCs w:val="18"/>
        </w:rPr>
      </w:pPr>
      <w:r>
        <w:rPr>
          <w:sz w:val="18"/>
          <w:szCs w:val="18"/>
        </w:rPr>
        <w:t>Príloha č. 2 k Rozhodnutiu  č.:</w:t>
      </w:r>
      <w:r>
        <w:rPr>
          <w:bCs/>
          <w:sz w:val="18"/>
          <w:szCs w:val="18"/>
        </w:rPr>
        <w:t xml:space="preserve"> </w:t>
      </w:r>
      <w:r>
        <w:rPr>
          <w:b/>
          <w:bCs/>
          <w:sz w:val="18"/>
          <w:szCs w:val="18"/>
        </w:rPr>
        <w:t>051/R/22-S</w:t>
      </w:r>
    </w:p>
    <w:p w:rsidR="00820DF0" w:rsidRDefault="00820DF0" w:rsidP="00820DF0">
      <w:pPr>
        <w:jc w:val="both"/>
        <w:outlineLvl w:val="0"/>
        <w:rPr>
          <w:b/>
          <w:sz w:val="22"/>
          <w:szCs w:val="22"/>
        </w:rPr>
      </w:pPr>
    </w:p>
    <w:p w:rsidR="00820DF0" w:rsidRDefault="00820DF0" w:rsidP="00820DF0">
      <w:pPr>
        <w:jc w:val="center"/>
        <w:rPr>
          <w:b/>
          <w:caps/>
          <w:sz w:val="22"/>
          <w:szCs w:val="22"/>
        </w:rPr>
      </w:pPr>
      <w:r>
        <w:rPr>
          <w:b/>
          <w:caps/>
          <w:sz w:val="22"/>
          <w:szCs w:val="22"/>
        </w:rPr>
        <w:t>ETIKETA = vnútorný obal</w:t>
      </w:r>
    </w:p>
    <w:p w:rsidR="00820DF0" w:rsidRDefault="00820DF0" w:rsidP="00820DF0">
      <w:pPr>
        <w:jc w:val="center"/>
        <w:rPr>
          <w:sz w:val="22"/>
          <w:szCs w:val="22"/>
        </w:rPr>
      </w:pPr>
    </w:p>
    <w:p w:rsidR="00820DF0" w:rsidRDefault="00820DF0" w:rsidP="00820DF0">
      <w:pPr>
        <w:tabs>
          <w:tab w:val="left" w:pos="2268"/>
          <w:tab w:val="left" w:pos="2552"/>
        </w:tabs>
        <w:ind w:left="2552" w:hanging="2552"/>
        <w:jc w:val="both"/>
        <w:rPr>
          <w:b/>
          <w:sz w:val="22"/>
          <w:szCs w:val="22"/>
        </w:rPr>
      </w:pPr>
      <w:r>
        <w:rPr>
          <w:b/>
          <w:sz w:val="22"/>
          <w:szCs w:val="22"/>
        </w:rPr>
        <w:t>Názov vet. prípravku:</w:t>
      </w:r>
    </w:p>
    <w:p w:rsidR="00820DF0" w:rsidRDefault="00820DF0" w:rsidP="00820DF0">
      <w:pPr>
        <w:tabs>
          <w:tab w:val="left" w:pos="2268"/>
          <w:tab w:val="left" w:pos="2552"/>
        </w:tabs>
        <w:ind w:left="2552" w:hanging="2552"/>
        <w:jc w:val="both"/>
        <w:rPr>
          <w:b/>
          <w:sz w:val="22"/>
          <w:szCs w:val="22"/>
        </w:rPr>
      </w:pPr>
      <w:r>
        <w:rPr>
          <w:b/>
          <w:sz w:val="22"/>
          <w:szCs w:val="22"/>
        </w:rPr>
        <w:t>ALAVIS</w:t>
      </w:r>
      <w:r>
        <w:rPr>
          <w:b/>
          <w:sz w:val="22"/>
          <w:szCs w:val="22"/>
          <w:vertAlign w:val="superscript"/>
        </w:rPr>
        <w:t>TM</w:t>
      </w:r>
      <w:r>
        <w:rPr>
          <w:b/>
          <w:sz w:val="22"/>
          <w:szCs w:val="22"/>
        </w:rPr>
        <w:t xml:space="preserve"> MSM + Glukozamín sulfát</w:t>
      </w:r>
    </w:p>
    <w:p w:rsidR="00820DF0" w:rsidRDefault="00820DF0" w:rsidP="00820DF0">
      <w:pPr>
        <w:tabs>
          <w:tab w:val="left" w:pos="2268"/>
          <w:tab w:val="left" w:pos="2552"/>
        </w:tabs>
        <w:ind w:left="2552" w:hanging="2552"/>
        <w:jc w:val="both"/>
        <w:rPr>
          <w:b/>
          <w:sz w:val="22"/>
          <w:szCs w:val="22"/>
        </w:rPr>
      </w:pPr>
      <w:r>
        <w:rPr>
          <w:b/>
          <w:sz w:val="22"/>
          <w:szCs w:val="22"/>
        </w:rPr>
        <w:t>Pre správnu funkciu svalov, väzov, šliach, kĺbov, kostí a na fyzickú kondíciu</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0"/>
          <w:tab w:val="left" w:pos="2268"/>
        </w:tabs>
        <w:jc w:val="both"/>
        <w:rPr>
          <w:b/>
          <w:sz w:val="22"/>
          <w:szCs w:val="22"/>
        </w:rPr>
      </w:pPr>
      <w:r>
        <w:rPr>
          <w:b/>
          <w:sz w:val="22"/>
          <w:szCs w:val="22"/>
        </w:rPr>
        <w:t>Glukozamín sulfát, MSM, olej z boráku lekárskeho, hydrolyzovaný kolagén, vitamín C, Ďumbier lekársky, Kurkuma dlhá, Boswellia serrata</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Charakteristika:</w:t>
      </w:r>
    </w:p>
    <w:p w:rsidR="00820DF0" w:rsidRDefault="00820DF0" w:rsidP="00820DF0">
      <w:pPr>
        <w:pStyle w:val="Odsekzoznamu"/>
        <w:tabs>
          <w:tab w:val="left" w:pos="0"/>
          <w:tab w:val="left" w:pos="2268"/>
        </w:tabs>
        <w:spacing w:after="0" w:line="240" w:lineRule="auto"/>
        <w:ind w:left="0"/>
        <w:jc w:val="both"/>
        <w:rPr>
          <w:rFonts w:ascii="Times New Roman" w:hAnsi="Times New Roman"/>
        </w:rPr>
      </w:pPr>
      <w:r>
        <w:rPr>
          <w:rFonts w:ascii="Times New Roman" w:hAnsi="Times New Roman"/>
          <w:bCs/>
        </w:rPr>
        <w:t>Veterinárny prípravok ALAVIS</w:t>
      </w:r>
      <w:r>
        <w:rPr>
          <w:rFonts w:ascii="Times New Roman" w:hAnsi="Times New Roman"/>
          <w:bCs/>
          <w:vertAlign w:val="superscript"/>
        </w:rPr>
        <w:t>TM</w:t>
      </w:r>
      <w:r>
        <w:rPr>
          <w:rFonts w:ascii="Times New Roman" w:hAnsi="Times New Roman"/>
          <w:bCs/>
        </w:rPr>
        <w:t xml:space="preserve"> MSM + Glukozamín sulfát obsahuje  chondroprotektívnu látku glukozamín sulfát na podporu vývoja a regeneráciu kĺbových chrupaviek, ďalej obsahuje látku MSM (metylsulfonylmetán), ktorá pomáha zmierňovať bolesť a zápal, spevňuje väzy a šľachy, pôsobí na relaxáciu a regeneráciu svalov. V neposlednom rade obsahuje hydrolyzovaný kolagén, vitamín C a olej z boráku lekárskeho, ktorý obsahuje nenasýtené mastné kyseliny, ktoré prispievajú k tlmeniu zápalu a zmierneniu bolestivosti kĺbov</w:t>
      </w:r>
      <w:r>
        <w:rPr>
          <w:rFonts w:ascii="Times New Roman" w:hAnsi="Times New Roman"/>
        </w:rPr>
        <w:t>.</w:t>
      </w:r>
    </w:p>
    <w:p w:rsidR="00820DF0" w:rsidRDefault="00820DF0" w:rsidP="00820DF0">
      <w:pPr>
        <w:tabs>
          <w:tab w:val="left" w:pos="0"/>
          <w:tab w:val="left" w:pos="2268"/>
        </w:tabs>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Zloženie:</w:t>
      </w:r>
    </w:p>
    <w:p w:rsidR="00820DF0" w:rsidRDefault="00820DF0" w:rsidP="00820DF0">
      <w:pPr>
        <w:tabs>
          <w:tab w:val="left" w:pos="2268"/>
          <w:tab w:val="left" w:pos="2552"/>
        </w:tabs>
        <w:ind w:left="2552" w:hanging="2552"/>
        <w:jc w:val="both"/>
        <w:rPr>
          <w:b/>
          <w:sz w:val="22"/>
          <w:szCs w:val="22"/>
        </w:rPr>
      </w:pPr>
      <w:r>
        <w:rPr>
          <w:b/>
          <w:sz w:val="22"/>
          <w:szCs w:val="22"/>
        </w:rPr>
        <w:t>Obsah účinných látok v 1 tablete:</w:t>
      </w:r>
    </w:p>
    <w:p w:rsidR="00820DF0" w:rsidRDefault="00820DF0" w:rsidP="00820DF0">
      <w:pPr>
        <w:tabs>
          <w:tab w:val="left" w:pos="0"/>
          <w:tab w:val="left" w:pos="2268"/>
        </w:tabs>
        <w:jc w:val="both"/>
        <w:rPr>
          <w:sz w:val="22"/>
          <w:szCs w:val="22"/>
        </w:rPr>
      </w:pPr>
      <w:r>
        <w:rPr>
          <w:sz w:val="22"/>
          <w:szCs w:val="22"/>
        </w:rPr>
        <w:t xml:space="preserve">Glukozamín sulfát </w:t>
      </w:r>
      <w:r>
        <w:rPr>
          <w:sz w:val="22"/>
          <w:szCs w:val="22"/>
        </w:rPr>
        <w:tab/>
      </w:r>
      <w:r>
        <w:rPr>
          <w:sz w:val="22"/>
          <w:szCs w:val="22"/>
        </w:rPr>
        <w:tab/>
      </w:r>
      <w:r>
        <w:rPr>
          <w:sz w:val="22"/>
          <w:szCs w:val="22"/>
        </w:rPr>
        <w:tab/>
      </w:r>
      <w:r>
        <w:rPr>
          <w:sz w:val="22"/>
          <w:szCs w:val="22"/>
        </w:rPr>
        <w:tab/>
      </w:r>
      <w:r>
        <w:rPr>
          <w:sz w:val="22"/>
          <w:szCs w:val="22"/>
        </w:rPr>
        <w:tab/>
      </w:r>
      <w:r>
        <w:rPr>
          <w:sz w:val="22"/>
          <w:szCs w:val="22"/>
        </w:rPr>
        <w:tab/>
        <w:t>750 mg</w:t>
      </w:r>
    </w:p>
    <w:p w:rsidR="00820DF0" w:rsidRDefault="00820DF0" w:rsidP="00820DF0">
      <w:pPr>
        <w:tabs>
          <w:tab w:val="left" w:pos="0"/>
          <w:tab w:val="left" w:pos="2268"/>
        </w:tabs>
        <w:jc w:val="both"/>
        <w:rPr>
          <w:sz w:val="22"/>
          <w:szCs w:val="22"/>
        </w:rPr>
      </w:pPr>
      <w:r>
        <w:rPr>
          <w:sz w:val="22"/>
          <w:szCs w:val="22"/>
        </w:rPr>
        <w:t xml:space="preserve">MSM (metylsulfonylmetán) </w:t>
      </w:r>
      <w:r>
        <w:rPr>
          <w:sz w:val="22"/>
          <w:szCs w:val="22"/>
        </w:rPr>
        <w:tab/>
      </w:r>
      <w:r>
        <w:rPr>
          <w:sz w:val="22"/>
          <w:szCs w:val="22"/>
        </w:rPr>
        <w:tab/>
      </w:r>
      <w:r>
        <w:rPr>
          <w:sz w:val="22"/>
          <w:szCs w:val="22"/>
        </w:rPr>
        <w:tab/>
      </w:r>
      <w:r>
        <w:rPr>
          <w:sz w:val="22"/>
          <w:szCs w:val="22"/>
        </w:rPr>
        <w:tab/>
      </w:r>
      <w:r>
        <w:rPr>
          <w:sz w:val="22"/>
          <w:szCs w:val="22"/>
        </w:rPr>
        <w:tab/>
        <w:t>500 mg</w:t>
      </w:r>
    </w:p>
    <w:p w:rsidR="00820DF0" w:rsidRDefault="00820DF0" w:rsidP="00820DF0">
      <w:pPr>
        <w:tabs>
          <w:tab w:val="left" w:pos="0"/>
          <w:tab w:val="left" w:pos="2268"/>
        </w:tabs>
        <w:jc w:val="both"/>
        <w:rPr>
          <w:sz w:val="22"/>
          <w:szCs w:val="22"/>
        </w:rPr>
      </w:pPr>
      <w:r>
        <w:rPr>
          <w:sz w:val="22"/>
          <w:szCs w:val="22"/>
        </w:rPr>
        <w:t>Olej z boráku lekárskeho</w:t>
      </w:r>
      <w:r>
        <w:rPr>
          <w:sz w:val="22"/>
          <w:szCs w:val="22"/>
        </w:rPr>
        <w:tab/>
        <w:t xml:space="preserve"> (Borrago officinalis) </w:t>
      </w:r>
      <w:r>
        <w:rPr>
          <w:sz w:val="22"/>
          <w:szCs w:val="22"/>
        </w:rPr>
        <w:tab/>
      </w:r>
      <w:r>
        <w:rPr>
          <w:sz w:val="22"/>
          <w:szCs w:val="22"/>
        </w:rPr>
        <w:tab/>
      </w:r>
      <w:r>
        <w:rPr>
          <w:sz w:val="22"/>
          <w:szCs w:val="22"/>
        </w:rPr>
        <w:tab/>
        <w:t xml:space="preserve">  25 mg</w:t>
      </w:r>
    </w:p>
    <w:p w:rsidR="00820DF0" w:rsidRDefault="00820DF0" w:rsidP="00820DF0">
      <w:pPr>
        <w:tabs>
          <w:tab w:val="left" w:pos="0"/>
          <w:tab w:val="left" w:pos="2268"/>
        </w:tabs>
        <w:jc w:val="both"/>
        <w:rPr>
          <w:sz w:val="22"/>
          <w:szCs w:val="22"/>
        </w:rPr>
      </w:pPr>
      <w:r>
        <w:rPr>
          <w:sz w:val="22"/>
          <w:szCs w:val="22"/>
        </w:rPr>
        <w:t>Hydrolyzovaný kolagén II. typu 50%</w:t>
      </w:r>
      <w:r>
        <w:rPr>
          <w:sz w:val="22"/>
          <w:szCs w:val="22"/>
        </w:rPr>
        <w:tab/>
      </w:r>
      <w:r>
        <w:rPr>
          <w:sz w:val="22"/>
          <w:szCs w:val="22"/>
        </w:rPr>
        <w:tab/>
        <w:t xml:space="preserve">  </w:t>
      </w:r>
      <w:r>
        <w:rPr>
          <w:sz w:val="22"/>
          <w:szCs w:val="22"/>
        </w:rPr>
        <w:tab/>
      </w:r>
      <w:r>
        <w:rPr>
          <w:sz w:val="22"/>
          <w:szCs w:val="22"/>
        </w:rPr>
        <w:tab/>
        <w:t xml:space="preserve">  20 mg</w:t>
      </w:r>
    </w:p>
    <w:p w:rsidR="00820DF0" w:rsidRDefault="00820DF0" w:rsidP="00820DF0">
      <w:pPr>
        <w:tabs>
          <w:tab w:val="left" w:pos="0"/>
          <w:tab w:val="left" w:pos="2268"/>
        </w:tabs>
        <w:jc w:val="both"/>
        <w:rPr>
          <w:sz w:val="22"/>
          <w:szCs w:val="22"/>
        </w:rPr>
      </w:pPr>
      <w:r>
        <w:rPr>
          <w:sz w:val="22"/>
          <w:szCs w:val="22"/>
        </w:rPr>
        <w:t>Vitamín C (L-askorban sodný)</w:t>
      </w:r>
      <w:r>
        <w:rPr>
          <w:sz w:val="22"/>
          <w:szCs w:val="22"/>
        </w:rPr>
        <w:tab/>
      </w:r>
      <w:r>
        <w:rPr>
          <w:sz w:val="22"/>
          <w:szCs w:val="22"/>
        </w:rPr>
        <w:tab/>
      </w:r>
      <w:r>
        <w:rPr>
          <w:sz w:val="22"/>
          <w:szCs w:val="22"/>
        </w:rPr>
        <w:tab/>
      </w:r>
      <w:r>
        <w:rPr>
          <w:sz w:val="22"/>
          <w:szCs w:val="22"/>
        </w:rPr>
        <w:tab/>
      </w:r>
      <w:r>
        <w:rPr>
          <w:sz w:val="22"/>
          <w:szCs w:val="22"/>
        </w:rPr>
        <w:tab/>
        <w:t xml:space="preserve">  20 mg</w:t>
      </w:r>
    </w:p>
    <w:p w:rsidR="00820DF0" w:rsidRDefault="00820DF0" w:rsidP="00820DF0">
      <w:pPr>
        <w:tabs>
          <w:tab w:val="left" w:pos="0"/>
          <w:tab w:val="left" w:pos="2268"/>
        </w:tabs>
        <w:jc w:val="both"/>
        <w:rPr>
          <w:sz w:val="22"/>
          <w:szCs w:val="22"/>
        </w:rPr>
      </w:pPr>
      <w:r>
        <w:rPr>
          <w:sz w:val="22"/>
          <w:szCs w:val="22"/>
        </w:rPr>
        <w:t xml:space="preserve">Extrakt z ďumbiera lekárskeho (Zingiber officinale) (5%) </w:t>
      </w:r>
      <w:r>
        <w:rPr>
          <w:sz w:val="22"/>
          <w:szCs w:val="22"/>
        </w:rPr>
        <w:tab/>
        <w:t xml:space="preserve">  15 mg</w:t>
      </w:r>
    </w:p>
    <w:p w:rsidR="00820DF0" w:rsidRDefault="00820DF0" w:rsidP="00820DF0">
      <w:pPr>
        <w:tabs>
          <w:tab w:val="left" w:pos="0"/>
          <w:tab w:val="left" w:pos="2268"/>
        </w:tabs>
        <w:jc w:val="both"/>
        <w:rPr>
          <w:sz w:val="22"/>
          <w:szCs w:val="22"/>
        </w:rPr>
      </w:pPr>
      <w:r>
        <w:rPr>
          <w:sz w:val="22"/>
          <w:szCs w:val="22"/>
        </w:rPr>
        <w:t xml:space="preserve">Kurkumín (Curcuma longa) (95 %) </w:t>
      </w:r>
      <w:r>
        <w:rPr>
          <w:sz w:val="22"/>
          <w:szCs w:val="22"/>
        </w:rPr>
        <w:tab/>
      </w:r>
      <w:r>
        <w:rPr>
          <w:sz w:val="22"/>
          <w:szCs w:val="22"/>
        </w:rPr>
        <w:tab/>
      </w:r>
      <w:r>
        <w:rPr>
          <w:sz w:val="22"/>
          <w:szCs w:val="22"/>
        </w:rPr>
        <w:tab/>
      </w:r>
      <w:r>
        <w:rPr>
          <w:sz w:val="22"/>
          <w:szCs w:val="22"/>
        </w:rPr>
        <w:tab/>
        <w:t xml:space="preserve">  15 mg</w:t>
      </w:r>
    </w:p>
    <w:p w:rsidR="00820DF0" w:rsidRDefault="00820DF0" w:rsidP="00820DF0">
      <w:pPr>
        <w:tabs>
          <w:tab w:val="left" w:pos="0"/>
          <w:tab w:val="left" w:pos="2268"/>
        </w:tabs>
        <w:jc w:val="both"/>
        <w:rPr>
          <w:sz w:val="22"/>
          <w:szCs w:val="22"/>
        </w:rPr>
      </w:pPr>
      <w:r>
        <w:rPr>
          <w:sz w:val="22"/>
          <w:szCs w:val="22"/>
        </w:rPr>
        <w:t xml:space="preserve">Extrakt z kadidlovníka píloitého (Boswellia serrata) (85 %) </w:t>
      </w:r>
      <w:r>
        <w:rPr>
          <w:sz w:val="22"/>
          <w:szCs w:val="22"/>
        </w:rPr>
        <w:tab/>
        <w:t xml:space="preserve">  10 mg</w:t>
      </w:r>
    </w:p>
    <w:p w:rsidR="00820DF0" w:rsidRDefault="00820DF0" w:rsidP="00820DF0">
      <w:pPr>
        <w:tabs>
          <w:tab w:val="left" w:pos="0"/>
          <w:tab w:val="left" w:pos="2268"/>
        </w:tabs>
        <w:jc w:val="both"/>
        <w:rPr>
          <w:sz w:val="22"/>
          <w:szCs w:val="22"/>
        </w:rPr>
      </w:pPr>
      <w:r>
        <w:rPr>
          <w:sz w:val="22"/>
          <w:szCs w:val="22"/>
        </w:rPr>
        <w:t>Ďalšie zložky: Izoamlt, kopolymér polyvinylpyrolidónu a vinyl-acetátu, mikrokryštalická celulóza, stearan horečnatý.</w:t>
      </w: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bCs/>
          <w:sz w:val="10"/>
          <w:szCs w:val="10"/>
        </w:rPr>
      </w:pPr>
    </w:p>
    <w:p w:rsidR="00820DF0" w:rsidRDefault="00820DF0" w:rsidP="00820DF0">
      <w:pPr>
        <w:pStyle w:val="Odsekzoznamu"/>
        <w:tabs>
          <w:tab w:val="left" w:pos="0"/>
          <w:tab w:val="left" w:pos="2268"/>
        </w:tabs>
        <w:spacing w:after="0" w:line="240" w:lineRule="auto"/>
        <w:ind w:left="0"/>
        <w:jc w:val="both"/>
        <w:rPr>
          <w:rFonts w:ascii="Times New Roman" w:hAnsi="Times New Roman"/>
          <w:b/>
        </w:rPr>
      </w:pPr>
      <w:r>
        <w:rPr>
          <w:rFonts w:ascii="Times New Roman" w:hAnsi="Times New Roman"/>
          <w:b/>
        </w:rPr>
        <w:t>ALAVIS</w:t>
      </w:r>
      <w:r>
        <w:rPr>
          <w:rFonts w:ascii="Times New Roman" w:hAnsi="Times New Roman"/>
          <w:b/>
          <w:bCs/>
          <w:vertAlign w:val="superscript"/>
        </w:rPr>
        <w:t>TM</w:t>
      </w:r>
      <w:r>
        <w:rPr>
          <w:rFonts w:ascii="Times New Roman" w:hAnsi="Times New Roman"/>
          <w:b/>
        </w:rPr>
        <w:t xml:space="preserve"> MSM + Glukozamín sulfát podávajte:</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 xml:space="preserve">psom všetkých vekových kategórií, </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šteňatám od 2. – 3. mesiaca veku</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športovým a pracovným psom</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psom s nadváhou</w:t>
      </w:r>
    </w:p>
    <w:p w:rsidR="00820DF0" w:rsidRDefault="00820DF0" w:rsidP="00820DF0">
      <w:pPr>
        <w:pStyle w:val="Odsekzoznamu"/>
        <w:tabs>
          <w:tab w:val="left" w:pos="0"/>
          <w:tab w:val="left" w:pos="2268"/>
        </w:tabs>
        <w:spacing w:after="0" w:line="240" w:lineRule="auto"/>
        <w:ind w:left="0"/>
        <w:jc w:val="both"/>
        <w:rPr>
          <w:rFonts w:ascii="Times New Roman" w:hAnsi="Times New Roman"/>
          <w:b/>
          <w:bCs/>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bCs/>
        </w:rPr>
      </w:pPr>
      <w:r>
        <w:rPr>
          <w:rFonts w:ascii="Times New Roman" w:hAnsi="Times New Roman"/>
          <w:b/>
          <w:bCs/>
        </w:rPr>
        <w:t>Odporúčame podávať:</w:t>
      </w:r>
    </w:p>
    <w:p w:rsidR="00820DF0" w:rsidRDefault="00820DF0" w:rsidP="00820DF0">
      <w:pPr>
        <w:pStyle w:val="Odsekzoznamu"/>
        <w:numPr>
          <w:ilvl w:val="0"/>
          <w:numId w:val="2"/>
        </w:numPr>
        <w:tabs>
          <w:tab w:val="left" w:pos="284"/>
          <w:tab w:val="left" w:pos="2268"/>
        </w:tabs>
        <w:spacing w:after="0" w:line="240" w:lineRule="auto"/>
        <w:ind w:left="284" w:hanging="284"/>
        <w:jc w:val="both"/>
        <w:rPr>
          <w:rFonts w:ascii="Times New Roman" w:hAnsi="Times New Roman"/>
          <w:bCs/>
        </w:rPr>
      </w:pPr>
      <w:r>
        <w:rPr>
          <w:rFonts w:ascii="Times New Roman" w:hAnsi="Times New Roman"/>
          <w:bCs/>
        </w:rPr>
        <w:t>na zníženie rizika výskytu kĺbových ochorení DKK a DLK (najmä u šteniat veľkých a obrích plemien)</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luxácii a subluxácii pately (skôr malé plemená)</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čiastočnej ruptúre skrížených kolenných väzov</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poúrazových a pooperačných stavoch</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ochoreniach chrbtice</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zápale väzov, šliach a svalov</w:t>
      </w:r>
    </w:p>
    <w:p w:rsidR="00820DF0" w:rsidRDefault="00820DF0" w:rsidP="00820DF0">
      <w:pPr>
        <w:tabs>
          <w:tab w:val="left" w:pos="0"/>
          <w:tab w:val="left" w:pos="2268"/>
        </w:tabs>
        <w:jc w:val="both"/>
        <w:rPr>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Denné dávkovanie:</w:t>
      </w: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color w:val="FF0000"/>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71"/>
        <w:gridCol w:w="3071"/>
      </w:tblGrid>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Hmotnosť psa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Iniciačná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 xml:space="preserve">(prvých 14 dní podávania) </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Udržiavacia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(pokračovacia)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 5kg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¼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10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lastRenderedPageBreak/>
              <w:t>10 – 15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15 – 25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3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45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 – 5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 2,5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45 a viac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6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3 tablety</w:t>
            </w:r>
          </w:p>
        </w:tc>
      </w:tr>
    </w:tbl>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Spôsob použitia:</w:t>
      </w:r>
      <w:r>
        <w:rPr>
          <w:rFonts w:ascii="Times New Roman" w:hAnsi="Times New Roman"/>
          <w:b/>
        </w:rPr>
        <w:tab/>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Tablety sa podávajú denne podľa odporúčaného dávkovania priamo do dutiny ústnej alebo s kúskom potravy, prípadne rozdrvené do krmiva.</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sz w:val="22"/>
          <w:szCs w:val="22"/>
          <w:lang w:val="sk-SK"/>
        </w:rPr>
      </w:pPr>
      <w:r>
        <w:rPr>
          <w:b/>
          <w:sz w:val="22"/>
          <w:szCs w:val="22"/>
          <w:lang w:val="sk-SK"/>
        </w:rPr>
        <w:t>Dĺžka podávania:</w:t>
      </w:r>
      <w:r>
        <w:rPr>
          <w:sz w:val="22"/>
          <w:szCs w:val="22"/>
          <w:lang w:val="sk-SK"/>
        </w:rPr>
        <w:t xml:space="preserve"> </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Optimálna doba podávania sú tri mesiace. Veterinárny prípravok sa môže podávať dlhodobo.</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b/>
          <w:sz w:val="22"/>
          <w:szCs w:val="22"/>
          <w:lang w:val="sk-SK"/>
        </w:rPr>
      </w:pPr>
      <w:r>
        <w:rPr>
          <w:b/>
          <w:sz w:val="22"/>
          <w:szCs w:val="22"/>
          <w:lang w:val="sk-SK"/>
        </w:rPr>
        <w:t>Upozornenie:</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určený pre kotné suky.</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náhradou veterinárnej starostlivosti a liekov odporúčaných veterinárnym lekárom.</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V prípade ortopedických ťažkostí zvieraťa navštívte pred zahájením podávania prípravku veterinárneho lekára pre stanovenie diagnózy.</w:t>
      </w:r>
    </w:p>
    <w:p w:rsidR="00820DF0" w:rsidRDefault="00820DF0" w:rsidP="00820DF0">
      <w:pPr>
        <w:pStyle w:val="Zkladntext3"/>
        <w:tabs>
          <w:tab w:val="left" w:pos="0"/>
          <w:tab w:val="left" w:pos="2268"/>
        </w:tabs>
        <w:spacing w:before="0" w:line="240" w:lineRule="auto"/>
        <w:rPr>
          <w:b/>
          <w:sz w:val="10"/>
          <w:szCs w:val="10"/>
          <w:lang w:val="sk-SK"/>
        </w:rPr>
      </w:pPr>
    </w:p>
    <w:p w:rsidR="00820DF0" w:rsidRDefault="00820DF0" w:rsidP="00820DF0">
      <w:pPr>
        <w:pStyle w:val="Zkladntext3"/>
        <w:tabs>
          <w:tab w:val="left" w:pos="2268"/>
          <w:tab w:val="left" w:pos="2552"/>
        </w:tabs>
        <w:spacing w:before="0" w:line="240" w:lineRule="auto"/>
        <w:ind w:left="2552" w:hanging="2552"/>
        <w:rPr>
          <w:b/>
          <w:sz w:val="22"/>
          <w:szCs w:val="22"/>
          <w:lang w:val="sk-SK"/>
        </w:rPr>
      </w:pPr>
      <w:r>
        <w:rPr>
          <w:b/>
          <w:sz w:val="22"/>
          <w:szCs w:val="22"/>
        </w:rPr>
        <w:t>Veľkosť balenia:</w:t>
      </w:r>
    </w:p>
    <w:p w:rsidR="00820DF0" w:rsidRDefault="00820DF0" w:rsidP="00820DF0">
      <w:pPr>
        <w:pStyle w:val="Zkladntext3"/>
        <w:tabs>
          <w:tab w:val="left" w:pos="2268"/>
          <w:tab w:val="left" w:pos="2552"/>
        </w:tabs>
        <w:spacing w:before="0" w:line="240" w:lineRule="auto"/>
        <w:ind w:left="2552" w:hanging="2552"/>
        <w:rPr>
          <w:sz w:val="22"/>
          <w:szCs w:val="22"/>
        </w:rPr>
      </w:pPr>
      <w:r>
        <w:rPr>
          <w:sz w:val="22"/>
          <w:szCs w:val="22"/>
          <w:lang w:val="sk-SK"/>
        </w:rPr>
        <w:t>60 tabliet</w:t>
      </w:r>
    </w:p>
    <w:p w:rsidR="00820DF0" w:rsidRDefault="00820DF0" w:rsidP="00820DF0">
      <w:pPr>
        <w:tabs>
          <w:tab w:val="left" w:pos="2268"/>
          <w:tab w:val="left" w:pos="2552"/>
        </w:tabs>
        <w:ind w:left="2552" w:hanging="2552"/>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Spôsob uchovávania:</w:t>
      </w:r>
      <w:r>
        <w:rPr>
          <w:b/>
          <w:sz w:val="22"/>
          <w:szCs w:val="22"/>
        </w:rPr>
        <w:tab/>
      </w:r>
    </w:p>
    <w:p w:rsidR="00820DF0" w:rsidRDefault="00820DF0" w:rsidP="00820DF0">
      <w:pPr>
        <w:tabs>
          <w:tab w:val="left" w:pos="0"/>
          <w:tab w:val="left" w:pos="2268"/>
        </w:tabs>
        <w:jc w:val="both"/>
        <w:rPr>
          <w:sz w:val="22"/>
          <w:szCs w:val="22"/>
        </w:rPr>
      </w:pPr>
      <w:r>
        <w:rPr>
          <w:sz w:val="22"/>
          <w:szCs w:val="22"/>
        </w:rPr>
        <w:t>Uchovávajte uzavreté v suchu pri teplote 15 – 30°C. Chráňte pred mrazom.  Uchovávajte mimo dohľadu a dosahu detí.</w:t>
      </w:r>
    </w:p>
    <w:p w:rsidR="00820DF0" w:rsidRDefault="00820DF0" w:rsidP="00820DF0">
      <w:pPr>
        <w:pStyle w:val="Zkladntext3"/>
        <w:tabs>
          <w:tab w:val="left" w:pos="2268"/>
          <w:tab w:val="left" w:pos="2552"/>
        </w:tabs>
        <w:spacing w:before="0" w:line="240" w:lineRule="auto"/>
        <w:ind w:left="2552" w:hanging="2552"/>
        <w:rPr>
          <w:sz w:val="10"/>
          <w:szCs w:val="10"/>
          <w:lang w:eastAsia="sk-SK"/>
        </w:rPr>
      </w:pPr>
    </w:p>
    <w:p w:rsidR="00820DF0" w:rsidRDefault="00820DF0" w:rsidP="00820DF0">
      <w:pPr>
        <w:pStyle w:val="Zkladntext3"/>
        <w:tabs>
          <w:tab w:val="left" w:pos="2268"/>
          <w:tab w:val="left" w:pos="2552"/>
        </w:tabs>
        <w:spacing w:before="0" w:line="240" w:lineRule="auto"/>
        <w:ind w:left="2552" w:hanging="2552"/>
        <w:rPr>
          <w:b/>
          <w:sz w:val="22"/>
          <w:szCs w:val="22"/>
          <w:lang w:val="sk-SK" w:eastAsia="sk-SK"/>
        </w:rPr>
      </w:pPr>
      <w:r>
        <w:rPr>
          <w:b/>
          <w:sz w:val="22"/>
          <w:szCs w:val="22"/>
          <w:lang w:eastAsia="sk-SK"/>
        </w:rPr>
        <w:t>Čas použiteľnosti:</w:t>
      </w:r>
    </w:p>
    <w:p w:rsidR="00820DF0" w:rsidRDefault="00820DF0" w:rsidP="00820DF0">
      <w:pPr>
        <w:pStyle w:val="Zkladntext3"/>
        <w:tabs>
          <w:tab w:val="left" w:pos="2268"/>
          <w:tab w:val="left" w:pos="2552"/>
        </w:tabs>
        <w:spacing w:before="0" w:line="240" w:lineRule="auto"/>
        <w:ind w:left="2552" w:hanging="2552"/>
        <w:rPr>
          <w:sz w:val="22"/>
          <w:szCs w:val="22"/>
          <w:lang w:eastAsia="sk-SK"/>
        </w:rPr>
      </w:pPr>
      <w:r>
        <w:rPr>
          <w:sz w:val="22"/>
          <w:szCs w:val="22"/>
          <w:lang w:val="sk-SK" w:eastAsia="sk-SK"/>
        </w:rPr>
        <w:t>2 roky od dátumu výroby</w:t>
      </w:r>
      <w:r>
        <w:rPr>
          <w:sz w:val="22"/>
          <w:szCs w:val="22"/>
          <w:lang w:eastAsia="sk-SK"/>
        </w:rPr>
        <w:t>.</w:t>
      </w:r>
      <w:r>
        <w:rPr>
          <w:sz w:val="22"/>
          <w:szCs w:val="22"/>
          <w:lang w:val="pl-PL"/>
        </w:rPr>
        <w:t xml:space="preserve"> </w:t>
      </w:r>
    </w:p>
    <w:p w:rsidR="00820DF0" w:rsidRDefault="00820DF0" w:rsidP="00820DF0">
      <w:pPr>
        <w:pStyle w:val="Zkladntext2"/>
        <w:tabs>
          <w:tab w:val="left" w:pos="2268"/>
          <w:tab w:val="left" w:pos="2552"/>
        </w:tabs>
        <w:ind w:left="2552" w:hanging="2552"/>
        <w:jc w:val="both"/>
        <w:rPr>
          <w:sz w:val="10"/>
          <w:szCs w:val="10"/>
          <w:lang w:eastAsia="sk-SK"/>
        </w:rPr>
      </w:pPr>
    </w:p>
    <w:p w:rsidR="00820DF0" w:rsidRDefault="00820DF0" w:rsidP="00820DF0">
      <w:pPr>
        <w:pStyle w:val="Zkladntext2"/>
        <w:tabs>
          <w:tab w:val="left" w:pos="2268"/>
          <w:tab w:val="left" w:pos="2552"/>
        </w:tabs>
        <w:ind w:left="2552" w:hanging="2552"/>
        <w:jc w:val="both"/>
        <w:rPr>
          <w:b/>
          <w:szCs w:val="22"/>
          <w:lang w:eastAsia="sk-SK"/>
        </w:rPr>
      </w:pPr>
      <w:r>
        <w:rPr>
          <w:b/>
          <w:szCs w:val="22"/>
          <w:lang w:eastAsia="sk-SK"/>
        </w:rPr>
        <w:t>Označenie:</w:t>
      </w:r>
    </w:p>
    <w:p w:rsidR="00820DF0" w:rsidRDefault="00820DF0" w:rsidP="00820DF0">
      <w:pPr>
        <w:pStyle w:val="Zkladntext2"/>
        <w:tabs>
          <w:tab w:val="left" w:pos="2268"/>
          <w:tab w:val="left" w:pos="2552"/>
        </w:tabs>
        <w:ind w:left="2552" w:hanging="2552"/>
        <w:jc w:val="both"/>
        <w:rPr>
          <w:szCs w:val="22"/>
          <w:lang w:eastAsia="sk-SK"/>
        </w:rPr>
      </w:pPr>
      <w:r>
        <w:rPr>
          <w:szCs w:val="22"/>
          <w:lang w:eastAsia="sk-SK"/>
        </w:rPr>
        <w:t xml:space="preserve">Len pre zvieratá! </w:t>
      </w:r>
    </w:p>
    <w:p w:rsidR="00820DF0" w:rsidRDefault="00820DF0" w:rsidP="00820DF0">
      <w:pPr>
        <w:tabs>
          <w:tab w:val="left" w:pos="0"/>
          <w:tab w:val="left" w:pos="2268"/>
        </w:tabs>
        <w:jc w:val="both"/>
        <w:rPr>
          <w:sz w:val="22"/>
          <w:szCs w:val="22"/>
        </w:rPr>
      </w:pPr>
      <w:r>
        <w:rPr>
          <w:sz w:val="22"/>
          <w:szCs w:val="22"/>
        </w:rPr>
        <w:t>Bez predpisu veterinárneho lekára.</w:t>
      </w:r>
    </w:p>
    <w:p w:rsidR="00820DF0" w:rsidRDefault="00820DF0" w:rsidP="00820DF0">
      <w:pPr>
        <w:tabs>
          <w:tab w:val="left" w:pos="0"/>
          <w:tab w:val="left" w:pos="2268"/>
        </w:tabs>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 xml:space="preserve">Držiteľ rozhodnutia o schválení a výrobca: </w:t>
      </w:r>
    </w:p>
    <w:p w:rsidR="00820DF0" w:rsidRDefault="00820DF0" w:rsidP="00820DF0">
      <w:pPr>
        <w:tabs>
          <w:tab w:val="left" w:pos="0"/>
          <w:tab w:val="left" w:pos="2268"/>
        </w:tabs>
        <w:jc w:val="both"/>
        <w:rPr>
          <w:sz w:val="22"/>
          <w:szCs w:val="22"/>
        </w:rPr>
      </w:pPr>
      <w:r>
        <w:rPr>
          <w:bCs/>
          <w:sz w:val="22"/>
          <w:szCs w:val="22"/>
        </w:rPr>
        <w:t>Patron ca, s. r. o., Thámova 402/4, 186 00 Praha 8, Česká republika</w:t>
      </w:r>
      <w:r>
        <w:rPr>
          <w:sz w:val="22"/>
          <w:szCs w:val="22"/>
          <w:shd w:val="clear" w:color="auto" w:fill="FFFFFF"/>
        </w:rPr>
        <w:t>, člen skupiny LightHouse International Inc., 1st. Canadian Place, Ontario M5X 1B5, Kanada</w:t>
      </w:r>
      <w:r>
        <w:rPr>
          <w:sz w:val="22"/>
          <w:szCs w:val="22"/>
        </w:rPr>
        <w:t>.</w:t>
      </w:r>
    </w:p>
    <w:p w:rsidR="00820DF0" w:rsidRDefault="00820DF0" w:rsidP="00820DF0">
      <w:pPr>
        <w:tabs>
          <w:tab w:val="left" w:pos="0"/>
          <w:tab w:val="left" w:pos="2268"/>
        </w:tabs>
        <w:jc w:val="both"/>
        <w:rPr>
          <w:sz w:val="22"/>
          <w:szCs w:val="22"/>
        </w:rPr>
      </w:pPr>
      <w:r>
        <w:rPr>
          <w:sz w:val="22"/>
          <w:szCs w:val="22"/>
        </w:rPr>
        <w:t>Člen Kanadskej obchodnej komory.</w:t>
      </w:r>
    </w:p>
    <w:p w:rsidR="00820DF0" w:rsidRDefault="00820DF0" w:rsidP="00820DF0">
      <w:pPr>
        <w:tabs>
          <w:tab w:val="left" w:pos="0"/>
          <w:tab w:val="left" w:pos="2268"/>
        </w:tabs>
        <w:jc w:val="both"/>
        <w:rPr>
          <w:sz w:val="10"/>
          <w:szCs w:val="10"/>
        </w:rPr>
      </w:pPr>
    </w:p>
    <w:p w:rsidR="00820DF0" w:rsidRDefault="00820DF0" w:rsidP="00820DF0">
      <w:pPr>
        <w:pStyle w:val="Zkladntext2"/>
        <w:tabs>
          <w:tab w:val="left" w:pos="0"/>
          <w:tab w:val="left" w:pos="2268"/>
        </w:tabs>
        <w:jc w:val="both"/>
        <w:rPr>
          <w:szCs w:val="22"/>
          <w:lang w:eastAsia="sk-SK"/>
        </w:rPr>
      </w:pPr>
      <w:r>
        <w:rPr>
          <w:szCs w:val="22"/>
          <w:lang w:eastAsia="sk-SK"/>
        </w:rPr>
        <w:t>Nepoužité a nespotrebované veterinárne prípravky a ich obaly sa likvidujú v zmysle platných právnych predpisov (piktogram).</w:t>
      </w:r>
    </w:p>
    <w:p w:rsidR="00820DF0" w:rsidRDefault="00820DF0" w:rsidP="00820DF0">
      <w:pPr>
        <w:pStyle w:val="Zkladntext2"/>
        <w:tabs>
          <w:tab w:val="left" w:pos="2127"/>
          <w:tab w:val="left" w:pos="2552"/>
        </w:tabs>
        <w:ind w:left="2552" w:hanging="2552"/>
        <w:jc w:val="both"/>
        <w:rPr>
          <w:sz w:val="10"/>
          <w:szCs w:val="10"/>
          <w:lang w:eastAsia="sk-SK"/>
        </w:rPr>
      </w:pPr>
    </w:p>
    <w:p w:rsidR="00820DF0" w:rsidRDefault="00820DF0" w:rsidP="00820DF0">
      <w:pPr>
        <w:rPr>
          <w:sz w:val="22"/>
          <w:szCs w:val="22"/>
        </w:rPr>
      </w:pPr>
      <w:r>
        <w:rPr>
          <w:b/>
          <w:sz w:val="22"/>
          <w:szCs w:val="22"/>
        </w:rPr>
        <w:t>Číslo šarže a dátum spotreby:</w:t>
      </w:r>
      <w:r>
        <w:rPr>
          <w:sz w:val="22"/>
          <w:szCs w:val="22"/>
        </w:rPr>
        <w:t xml:space="preserve"> Uvedené priamo na dóze.</w:t>
      </w:r>
    </w:p>
    <w:p w:rsidR="00820DF0" w:rsidRDefault="00820DF0" w:rsidP="00820DF0">
      <w:pPr>
        <w:widowControl w:val="0"/>
        <w:autoSpaceDE w:val="0"/>
        <w:autoSpaceDN w:val="0"/>
        <w:adjustRightInd w:val="0"/>
        <w:rPr>
          <w:sz w:val="22"/>
          <w:szCs w:val="22"/>
        </w:rPr>
      </w:pPr>
    </w:p>
    <w:p w:rsidR="00820DF0" w:rsidRDefault="00820DF0" w:rsidP="00820DF0">
      <w:pPr>
        <w:tabs>
          <w:tab w:val="left" w:pos="0"/>
          <w:tab w:val="left" w:pos="2268"/>
        </w:tabs>
        <w:jc w:val="both"/>
        <w:rPr>
          <w:sz w:val="22"/>
          <w:szCs w:val="22"/>
        </w:rPr>
      </w:pPr>
      <w:r>
        <w:rPr>
          <w:sz w:val="22"/>
          <w:szCs w:val="22"/>
        </w:rPr>
        <w:t>Schvaľovacie číslo: 051/R/22-S</w:t>
      </w:r>
    </w:p>
    <w:p w:rsidR="00820DF0" w:rsidRDefault="00820DF0" w:rsidP="00820DF0">
      <w:pPr>
        <w:tabs>
          <w:tab w:val="left" w:pos="0"/>
          <w:tab w:val="left" w:pos="2268"/>
        </w:tabs>
        <w:jc w:val="both"/>
        <w:rPr>
          <w:sz w:val="22"/>
          <w:szCs w:val="22"/>
        </w:rPr>
      </w:pPr>
    </w:p>
    <w:p w:rsidR="00820DF0" w:rsidRDefault="00820DF0" w:rsidP="00820DF0">
      <w:pPr>
        <w:tabs>
          <w:tab w:val="left" w:pos="0"/>
          <w:tab w:val="left" w:pos="2268"/>
        </w:tabs>
        <w:jc w:val="both"/>
        <w:rPr>
          <w:sz w:val="22"/>
          <w:szCs w:val="22"/>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b/>
          <w:bCs/>
          <w:sz w:val="18"/>
          <w:szCs w:val="18"/>
        </w:rPr>
      </w:pPr>
      <w:r>
        <w:rPr>
          <w:sz w:val="18"/>
          <w:szCs w:val="18"/>
        </w:rPr>
        <w:t>Príloha č. 3 k Rozhodnutiu  č.:</w:t>
      </w:r>
      <w:r>
        <w:rPr>
          <w:bCs/>
          <w:sz w:val="18"/>
          <w:szCs w:val="18"/>
        </w:rPr>
        <w:t xml:space="preserve"> </w:t>
      </w:r>
      <w:r>
        <w:rPr>
          <w:b/>
          <w:bCs/>
          <w:sz w:val="18"/>
          <w:szCs w:val="18"/>
        </w:rPr>
        <w:t>051/R/22-S</w:t>
      </w:r>
    </w:p>
    <w:p w:rsidR="00820DF0" w:rsidRDefault="00820DF0" w:rsidP="00820DF0">
      <w:pPr>
        <w:jc w:val="both"/>
        <w:outlineLvl w:val="0"/>
        <w:rPr>
          <w:b/>
          <w:sz w:val="22"/>
          <w:szCs w:val="22"/>
        </w:rPr>
      </w:pPr>
    </w:p>
    <w:p w:rsidR="00820DF0" w:rsidRDefault="00820DF0" w:rsidP="00820DF0">
      <w:pPr>
        <w:jc w:val="center"/>
        <w:rPr>
          <w:b/>
          <w:caps/>
          <w:sz w:val="22"/>
          <w:szCs w:val="22"/>
        </w:rPr>
      </w:pPr>
      <w:r>
        <w:rPr>
          <w:b/>
          <w:caps/>
          <w:sz w:val="22"/>
          <w:szCs w:val="22"/>
        </w:rPr>
        <w:t>papierová skladačka = vonkajší obal</w:t>
      </w:r>
    </w:p>
    <w:p w:rsidR="00820DF0" w:rsidRDefault="00820DF0" w:rsidP="00820DF0">
      <w:pPr>
        <w:jc w:val="center"/>
        <w:rPr>
          <w:sz w:val="22"/>
          <w:szCs w:val="22"/>
        </w:rPr>
      </w:pPr>
    </w:p>
    <w:p w:rsidR="00820DF0" w:rsidRDefault="00820DF0" w:rsidP="00820DF0">
      <w:pPr>
        <w:tabs>
          <w:tab w:val="left" w:pos="2268"/>
          <w:tab w:val="left" w:pos="2552"/>
        </w:tabs>
        <w:ind w:left="2552" w:hanging="2552"/>
        <w:jc w:val="both"/>
        <w:rPr>
          <w:b/>
          <w:sz w:val="22"/>
          <w:szCs w:val="22"/>
        </w:rPr>
      </w:pPr>
      <w:r>
        <w:rPr>
          <w:b/>
          <w:sz w:val="22"/>
          <w:szCs w:val="22"/>
        </w:rPr>
        <w:t>Názov vet. prípravku:</w:t>
      </w:r>
    </w:p>
    <w:p w:rsidR="00820DF0" w:rsidRDefault="00820DF0" w:rsidP="00820DF0">
      <w:pPr>
        <w:tabs>
          <w:tab w:val="left" w:pos="2268"/>
          <w:tab w:val="left" w:pos="2552"/>
        </w:tabs>
        <w:ind w:left="2552" w:hanging="2552"/>
        <w:jc w:val="both"/>
        <w:rPr>
          <w:b/>
          <w:sz w:val="22"/>
          <w:szCs w:val="22"/>
        </w:rPr>
      </w:pPr>
      <w:r>
        <w:rPr>
          <w:b/>
          <w:sz w:val="22"/>
          <w:szCs w:val="22"/>
        </w:rPr>
        <w:t>ALAVIS</w:t>
      </w:r>
      <w:r>
        <w:rPr>
          <w:b/>
          <w:sz w:val="22"/>
          <w:szCs w:val="22"/>
          <w:vertAlign w:val="superscript"/>
        </w:rPr>
        <w:t>TM</w:t>
      </w:r>
      <w:r>
        <w:rPr>
          <w:b/>
          <w:sz w:val="22"/>
          <w:szCs w:val="22"/>
        </w:rPr>
        <w:t xml:space="preserve"> MSM + Glukozamín sulfát</w:t>
      </w:r>
    </w:p>
    <w:p w:rsidR="00820DF0" w:rsidRDefault="00820DF0" w:rsidP="00820DF0">
      <w:pPr>
        <w:tabs>
          <w:tab w:val="left" w:pos="2268"/>
          <w:tab w:val="left" w:pos="2552"/>
        </w:tabs>
        <w:ind w:left="2552" w:hanging="2552"/>
        <w:jc w:val="both"/>
        <w:rPr>
          <w:b/>
          <w:sz w:val="22"/>
          <w:szCs w:val="22"/>
        </w:rPr>
      </w:pPr>
      <w:r>
        <w:rPr>
          <w:b/>
          <w:sz w:val="22"/>
          <w:szCs w:val="22"/>
        </w:rPr>
        <w:t>Pre správnu funkciu svalov, väzov, šliach, kĺbov, kostí a na fyzickú kondíciu</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0"/>
          <w:tab w:val="left" w:pos="2268"/>
        </w:tabs>
        <w:jc w:val="both"/>
        <w:rPr>
          <w:b/>
          <w:sz w:val="22"/>
          <w:szCs w:val="22"/>
        </w:rPr>
      </w:pPr>
      <w:r>
        <w:rPr>
          <w:b/>
          <w:sz w:val="22"/>
          <w:szCs w:val="22"/>
        </w:rPr>
        <w:t>Glukozamín sulfát, MSM, olej z boráku lekárskeho, hydrolyzovaný kolagén, vitamín C, Ďumbier lekársky, Kurkuma dlhá, Boswellia serrata</w:t>
      </w:r>
    </w:p>
    <w:p w:rsidR="00820DF0" w:rsidRDefault="00820DF0" w:rsidP="00820DF0">
      <w:pPr>
        <w:tabs>
          <w:tab w:val="left" w:pos="2268"/>
          <w:tab w:val="left" w:pos="2552"/>
        </w:tabs>
        <w:ind w:left="2552" w:hanging="2552"/>
        <w:jc w:val="both"/>
        <w:rPr>
          <w:b/>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Charakteristika:</w:t>
      </w:r>
    </w:p>
    <w:p w:rsidR="00820DF0" w:rsidRDefault="00820DF0" w:rsidP="00820DF0">
      <w:pPr>
        <w:pStyle w:val="Odsekzoznamu"/>
        <w:tabs>
          <w:tab w:val="left" w:pos="0"/>
          <w:tab w:val="left" w:pos="2268"/>
        </w:tabs>
        <w:spacing w:after="0" w:line="240" w:lineRule="auto"/>
        <w:ind w:left="0"/>
        <w:jc w:val="both"/>
        <w:rPr>
          <w:rFonts w:ascii="Times New Roman" w:hAnsi="Times New Roman"/>
          <w:bCs/>
        </w:rPr>
      </w:pPr>
      <w:r>
        <w:rPr>
          <w:rFonts w:ascii="Times New Roman" w:hAnsi="Times New Roman"/>
          <w:bCs/>
        </w:rPr>
        <w:t>Veterinárny prípravok ALAVIS</w:t>
      </w:r>
      <w:r>
        <w:rPr>
          <w:rFonts w:ascii="Times New Roman" w:hAnsi="Times New Roman"/>
          <w:bCs/>
          <w:vertAlign w:val="superscript"/>
        </w:rPr>
        <w:t>TM</w:t>
      </w:r>
      <w:r>
        <w:rPr>
          <w:rFonts w:ascii="Times New Roman" w:hAnsi="Times New Roman"/>
          <w:bCs/>
        </w:rPr>
        <w:t xml:space="preserve"> MSM + Glukozamín sulfát obsahuje  chondroprotektívnu látku glukozamín sulfát na podporu vývoja a regeneráciu kĺbových chrupaviek, ďalej obsahuje látku MSM (metylsulfonylmetán), ktorá pomáha zmierňovať bolesť a zápal, spevňuje väzy a šľachy, pôsobí na relaxáciu a regeneráciu svalov. V neposlednom rade obsahuje hydrolyzovaný kolagén, vitamín C a olej z boráku lekárskeho, ktorý obsahuje nenasýtené mastné kyseliny, ktoré prispievajú k tlmeniu zápalu a zmierneniu bolestivosti kĺbov</w:t>
      </w:r>
      <w:r>
        <w:rPr>
          <w:rFonts w:ascii="Times New Roman" w:hAnsi="Times New Roman"/>
        </w:rPr>
        <w:t>.</w:t>
      </w:r>
    </w:p>
    <w:p w:rsidR="00820DF0" w:rsidRDefault="00820DF0" w:rsidP="00820DF0">
      <w:pPr>
        <w:tabs>
          <w:tab w:val="left" w:pos="0"/>
          <w:tab w:val="left" w:pos="2268"/>
        </w:tabs>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Zloženie:</w:t>
      </w:r>
    </w:p>
    <w:p w:rsidR="00820DF0" w:rsidRDefault="00820DF0" w:rsidP="00820DF0">
      <w:pPr>
        <w:tabs>
          <w:tab w:val="left" w:pos="2268"/>
          <w:tab w:val="left" w:pos="2552"/>
        </w:tabs>
        <w:ind w:left="2552" w:hanging="2552"/>
        <w:jc w:val="both"/>
        <w:rPr>
          <w:b/>
          <w:sz w:val="22"/>
          <w:szCs w:val="22"/>
        </w:rPr>
      </w:pPr>
      <w:r>
        <w:rPr>
          <w:b/>
          <w:sz w:val="22"/>
          <w:szCs w:val="22"/>
        </w:rPr>
        <w:t>Obsah účinných látok v 1 tablete:</w:t>
      </w:r>
    </w:p>
    <w:p w:rsidR="00820DF0" w:rsidRDefault="00820DF0" w:rsidP="00820DF0">
      <w:pPr>
        <w:tabs>
          <w:tab w:val="left" w:pos="0"/>
          <w:tab w:val="left" w:pos="2268"/>
        </w:tabs>
        <w:jc w:val="both"/>
        <w:rPr>
          <w:sz w:val="22"/>
          <w:szCs w:val="22"/>
        </w:rPr>
      </w:pPr>
      <w:r>
        <w:rPr>
          <w:sz w:val="22"/>
          <w:szCs w:val="22"/>
        </w:rPr>
        <w:t xml:space="preserve">Glukozamín sulfát </w:t>
      </w:r>
      <w:r>
        <w:rPr>
          <w:sz w:val="22"/>
          <w:szCs w:val="22"/>
        </w:rPr>
        <w:tab/>
      </w:r>
      <w:r>
        <w:rPr>
          <w:sz w:val="22"/>
          <w:szCs w:val="22"/>
        </w:rPr>
        <w:tab/>
      </w:r>
      <w:r>
        <w:rPr>
          <w:sz w:val="22"/>
          <w:szCs w:val="22"/>
        </w:rPr>
        <w:tab/>
      </w:r>
      <w:r>
        <w:rPr>
          <w:sz w:val="22"/>
          <w:szCs w:val="22"/>
        </w:rPr>
        <w:tab/>
        <w:t>750 mg</w:t>
      </w:r>
    </w:p>
    <w:p w:rsidR="00820DF0" w:rsidRDefault="00820DF0" w:rsidP="00820DF0">
      <w:pPr>
        <w:tabs>
          <w:tab w:val="left" w:pos="0"/>
          <w:tab w:val="left" w:pos="2268"/>
        </w:tabs>
        <w:jc w:val="both"/>
        <w:rPr>
          <w:sz w:val="22"/>
          <w:szCs w:val="22"/>
        </w:rPr>
      </w:pPr>
      <w:r>
        <w:rPr>
          <w:sz w:val="22"/>
          <w:szCs w:val="22"/>
        </w:rPr>
        <w:t xml:space="preserve">MSM (metylsulfonylmetán) </w:t>
      </w:r>
      <w:r>
        <w:rPr>
          <w:sz w:val="22"/>
          <w:szCs w:val="22"/>
        </w:rPr>
        <w:tab/>
      </w:r>
      <w:r>
        <w:rPr>
          <w:sz w:val="22"/>
          <w:szCs w:val="22"/>
        </w:rPr>
        <w:tab/>
      </w:r>
      <w:r>
        <w:rPr>
          <w:sz w:val="22"/>
          <w:szCs w:val="22"/>
        </w:rPr>
        <w:tab/>
        <w:t>500 mg</w:t>
      </w:r>
    </w:p>
    <w:p w:rsidR="00820DF0" w:rsidRDefault="00820DF0" w:rsidP="00820DF0">
      <w:pPr>
        <w:tabs>
          <w:tab w:val="left" w:pos="0"/>
          <w:tab w:val="left" w:pos="2268"/>
        </w:tabs>
        <w:jc w:val="both"/>
        <w:rPr>
          <w:sz w:val="22"/>
          <w:szCs w:val="22"/>
        </w:rPr>
      </w:pPr>
      <w:r>
        <w:rPr>
          <w:sz w:val="22"/>
          <w:szCs w:val="22"/>
        </w:rPr>
        <w:t>Olej z boráku lekárskeho</w:t>
      </w:r>
      <w:r>
        <w:rPr>
          <w:sz w:val="22"/>
          <w:szCs w:val="22"/>
        </w:rPr>
        <w:tab/>
      </w:r>
      <w:r>
        <w:rPr>
          <w:sz w:val="22"/>
          <w:szCs w:val="22"/>
        </w:rPr>
        <w:tab/>
      </w:r>
      <w:r>
        <w:rPr>
          <w:sz w:val="22"/>
          <w:szCs w:val="22"/>
        </w:rPr>
        <w:tab/>
      </w:r>
      <w:r>
        <w:rPr>
          <w:sz w:val="22"/>
          <w:szCs w:val="22"/>
        </w:rPr>
        <w:tab/>
        <w:t xml:space="preserve">  25 mg</w:t>
      </w:r>
    </w:p>
    <w:p w:rsidR="00820DF0" w:rsidRDefault="00820DF0" w:rsidP="00820DF0">
      <w:pPr>
        <w:tabs>
          <w:tab w:val="left" w:pos="0"/>
          <w:tab w:val="left" w:pos="2268"/>
        </w:tabs>
        <w:jc w:val="both"/>
        <w:rPr>
          <w:sz w:val="22"/>
          <w:szCs w:val="22"/>
        </w:rPr>
      </w:pPr>
      <w:r>
        <w:rPr>
          <w:sz w:val="22"/>
          <w:szCs w:val="22"/>
        </w:rPr>
        <w:t>Hydrolyzovaný kolagén II. typu 50%</w:t>
      </w:r>
      <w:r>
        <w:rPr>
          <w:sz w:val="22"/>
          <w:szCs w:val="22"/>
        </w:rPr>
        <w:tab/>
      </w:r>
      <w:r>
        <w:rPr>
          <w:sz w:val="22"/>
          <w:szCs w:val="22"/>
        </w:rPr>
        <w:tab/>
        <w:t xml:space="preserve">  20 mg</w:t>
      </w:r>
    </w:p>
    <w:p w:rsidR="00820DF0" w:rsidRDefault="00820DF0" w:rsidP="00820DF0">
      <w:pPr>
        <w:tabs>
          <w:tab w:val="left" w:pos="0"/>
          <w:tab w:val="left" w:pos="2268"/>
        </w:tabs>
        <w:jc w:val="both"/>
        <w:rPr>
          <w:sz w:val="22"/>
          <w:szCs w:val="22"/>
        </w:rPr>
      </w:pPr>
      <w:r>
        <w:rPr>
          <w:sz w:val="22"/>
          <w:szCs w:val="22"/>
        </w:rPr>
        <w:t>Vitamín C</w:t>
      </w:r>
      <w:r>
        <w:rPr>
          <w:sz w:val="22"/>
          <w:szCs w:val="22"/>
        </w:rPr>
        <w:tab/>
      </w:r>
      <w:r>
        <w:rPr>
          <w:sz w:val="22"/>
          <w:szCs w:val="22"/>
        </w:rPr>
        <w:tab/>
      </w:r>
      <w:r>
        <w:rPr>
          <w:sz w:val="22"/>
          <w:szCs w:val="22"/>
        </w:rPr>
        <w:tab/>
      </w:r>
      <w:r>
        <w:rPr>
          <w:sz w:val="22"/>
          <w:szCs w:val="22"/>
        </w:rPr>
        <w:tab/>
        <w:t xml:space="preserve">  20 mg</w:t>
      </w:r>
    </w:p>
    <w:p w:rsidR="00820DF0" w:rsidRDefault="00820DF0" w:rsidP="00820DF0">
      <w:pPr>
        <w:tabs>
          <w:tab w:val="left" w:pos="0"/>
          <w:tab w:val="left" w:pos="2268"/>
        </w:tabs>
        <w:jc w:val="both"/>
        <w:rPr>
          <w:sz w:val="22"/>
          <w:szCs w:val="22"/>
        </w:rPr>
      </w:pPr>
      <w:r>
        <w:rPr>
          <w:sz w:val="22"/>
          <w:szCs w:val="22"/>
        </w:rPr>
        <w:t>Zázvorový extrakt (5%) 15mg, Kurkumín (95%) 15mg, Extrakt Boswellia serrata (85%) 10 mg</w:t>
      </w: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bCs/>
          <w:sz w:val="10"/>
          <w:szCs w:val="10"/>
        </w:rPr>
      </w:pPr>
    </w:p>
    <w:p w:rsidR="00820DF0" w:rsidRDefault="00820DF0" w:rsidP="00820DF0">
      <w:pPr>
        <w:pStyle w:val="Odsekzoznamu"/>
        <w:tabs>
          <w:tab w:val="left" w:pos="0"/>
          <w:tab w:val="left" w:pos="2268"/>
        </w:tabs>
        <w:spacing w:after="0" w:line="240" w:lineRule="auto"/>
        <w:ind w:left="0"/>
        <w:jc w:val="both"/>
        <w:rPr>
          <w:rFonts w:ascii="Times New Roman" w:hAnsi="Times New Roman"/>
          <w:b/>
        </w:rPr>
      </w:pPr>
      <w:r>
        <w:rPr>
          <w:rFonts w:ascii="Times New Roman" w:hAnsi="Times New Roman"/>
          <w:b/>
        </w:rPr>
        <w:t>ALAVIS</w:t>
      </w:r>
      <w:r>
        <w:rPr>
          <w:rFonts w:ascii="Times New Roman" w:hAnsi="Times New Roman"/>
          <w:b/>
          <w:bCs/>
          <w:vertAlign w:val="superscript"/>
        </w:rPr>
        <w:t>TM</w:t>
      </w:r>
      <w:r>
        <w:rPr>
          <w:rFonts w:ascii="Times New Roman" w:hAnsi="Times New Roman"/>
          <w:b/>
        </w:rPr>
        <w:t xml:space="preserve"> MSM + Glukozamín sulfát podávajte:</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psom všetkých vekových kategórií</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šteňatám od 2. – 3. mesiaca veku</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športovým a pracovným psom</w:t>
      </w:r>
    </w:p>
    <w:p w:rsidR="00820DF0" w:rsidRDefault="00820DF0" w:rsidP="00820DF0">
      <w:pPr>
        <w:pStyle w:val="Odsekzoznamu"/>
        <w:numPr>
          <w:ilvl w:val="0"/>
          <w:numId w:val="1"/>
        </w:numPr>
        <w:tabs>
          <w:tab w:val="left" w:pos="0"/>
          <w:tab w:val="left" w:pos="284"/>
        </w:tabs>
        <w:spacing w:after="0" w:line="240" w:lineRule="auto"/>
        <w:ind w:hanging="780"/>
        <w:jc w:val="both"/>
        <w:rPr>
          <w:rFonts w:ascii="Times New Roman" w:hAnsi="Times New Roman"/>
        </w:rPr>
      </w:pPr>
      <w:r>
        <w:rPr>
          <w:rFonts w:ascii="Times New Roman" w:hAnsi="Times New Roman"/>
        </w:rPr>
        <w:t>psom s nadváhou</w:t>
      </w:r>
    </w:p>
    <w:p w:rsidR="00820DF0" w:rsidRDefault="00820DF0" w:rsidP="00820DF0">
      <w:pPr>
        <w:pStyle w:val="Odsekzoznamu"/>
        <w:tabs>
          <w:tab w:val="left" w:pos="0"/>
          <w:tab w:val="left" w:pos="2268"/>
        </w:tabs>
        <w:spacing w:after="0" w:line="240" w:lineRule="auto"/>
        <w:ind w:left="0"/>
        <w:jc w:val="both"/>
        <w:rPr>
          <w:rFonts w:ascii="Times New Roman" w:hAnsi="Times New Roman"/>
          <w:b/>
          <w:bCs/>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bCs/>
        </w:rPr>
      </w:pPr>
      <w:r>
        <w:rPr>
          <w:rFonts w:ascii="Times New Roman" w:hAnsi="Times New Roman"/>
          <w:b/>
          <w:bCs/>
        </w:rPr>
        <w:t>Odporúčame podávať:</w:t>
      </w:r>
    </w:p>
    <w:p w:rsidR="00820DF0" w:rsidRDefault="00820DF0" w:rsidP="00820DF0">
      <w:pPr>
        <w:pStyle w:val="Odsekzoznamu"/>
        <w:numPr>
          <w:ilvl w:val="0"/>
          <w:numId w:val="2"/>
        </w:numPr>
        <w:tabs>
          <w:tab w:val="left" w:pos="284"/>
          <w:tab w:val="left" w:pos="2268"/>
        </w:tabs>
        <w:spacing w:after="0" w:line="240" w:lineRule="auto"/>
        <w:ind w:left="284" w:hanging="284"/>
        <w:jc w:val="both"/>
        <w:rPr>
          <w:rFonts w:ascii="Times New Roman" w:hAnsi="Times New Roman"/>
          <w:bCs/>
        </w:rPr>
      </w:pPr>
      <w:r>
        <w:rPr>
          <w:rFonts w:ascii="Times New Roman" w:hAnsi="Times New Roman"/>
          <w:bCs/>
        </w:rPr>
        <w:t>na zníženie rizika výskytu kĺbových ochorení DKK a DLK (najmä u šteniat veľkých a obrích plemien)</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luxácii a subluxácii pately (skôr malé plemená)</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čiastočnej ruptúre skrížených kolenných väzov</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poúrazových a pooperačných stavoch</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ochoreniach chrbtice</w:t>
      </w:r>
    </w:p>
    <w:p w:rsidR="00820DF0" w:rsidRDefault="00820DF0" w:rsidP="00820DF0">
      <w:pPr>
        <w:pStyle w:val="Odsekzoznamu"/>
        <w:numPr>
          <w:ilvl w:val="0"/>
          <w:numId w:val="2"/>
        </w:numPr>
        <w:tabs>
          <w:tab w:val="left" w:pos="284"/>
          <w:tab w:val="left" w:pos="2268"/>
        </w:tabs>
        <w:spacing w:after="0" w:line="240" w:lineRule="auto"/>
        <w:ind w:hanging="720"/>
        <w:jc w:val="both"/>
        <w:rPr>
          <w:rFonts w:ascii="Times New Roman" w:hAnsi="Times New Roman"/>
          <w:bCs/>
        </w:rPr>
      </w:pPr>
      <w:r>
        <w:rPr>
          <w:rFonts w:ascii="Times New Roman" w:hAnsi="Times New Roman"/>
          <w:bCs/>
        </w:rPr>
        <w:t>pri zápale väzov, šliach a svalov</w:t>
      </w:r>
    </w:p>
    <w:p w:rsidR="00820DF0" w:rsidRDefault="00820DF0" w:rsidP="00820DF0">
      <w:pPr>
        <w:tabs>
          <w:tab w:val="left" w:pos="0"/>
          <w:tab w:val="left" w:pos="2268"/>
        </w:tabs>
        <w:jc w:val="both"/>
        <w:rPr>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Denné dávkovanie:</w:t>
      </w: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color w:val="FF0000"/>
          <w:sz w:val="6"/>
          <w:szCs w:val="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071"/>
        <w:gridCol w:w="3071"/>
      </w:tblGrid>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Hmotnosť psa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Iniciačná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 xml:space="preserve">(prvých 14 dní podávania) </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Udržiavacia dávka</w:t>
            </w:r>
          </w:p>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(pokračovacia)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 5kg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¼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10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½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10 – 15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 tableta</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lastRenderedPageBreak/>
              <w:t>15 – 25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3 tablety</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1,5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45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 – 5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 – 2,5 tablety</w:t>
            </w:r>
          </w:p>
        </w:tc>
      </w:tr>
      <w:tr w:rsidR="00820DF0" w:rsidTr="00820DF0">
        <w:tc>
          <w:tcPr>
            <w:tcW w:w="2962"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45 a viac kg</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5 – 6 tabliet</w:t>
            </w:r>
          </w:p>
        </w:tc>
        <w:tc>
          <w:tcPr>
            <w:tcW w:w="3071" w:type="dxa"/>
            <w:tcBorders>
              <w:top w:val="single" w:sz="4" w:space="0" w:color="auto"/>
              <w:left w:val="single" w:sz="4" w:space="0" w:color="auto"/>
              <w:bottom w:val="single" w:sz="4" w:space="0" w:color="auto"/>
              <w:right w:val="single" w:sz="4" w:space="0" w:color="auto"/>
            </w:tcBorders>
            <w:hideMark/>
          </w:tcPr>
          <w:p w:rsidR="00820DF0" w:rsidRDefault="00820DF0">
            <w:pPr>
              <w:pStyle w:val="Odsekzoznamu"/>
              <w:tabs>
                <w:tab w:val="left" w:pos="2268"/>
              </w:tabs>
              <w:spacing w:after="0" w:line="240" w:lineRule="auto"/>
              <w:ind w:left="0"/>
              <w:jc w:val="both"/>
              <w:rPr>
                <w:rFonts w:ascii="Times New Roman" w:hAnsi="Times New Roman"/>
              </w:rPr>
            </w:pPr>
            <w:r>
              <w:rPr>
                <w:rFonts w:ascii="Times New Roman" w:hAnsi="Times New Roman"/>
              </w:rPr>
              <w:t>2,5 – 3 tablety</w:t>
            </w:r>
          </w:p>
        </w:tc>
      </w:tr>
    </w:tbl>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sz w:val="10"/>
          <w:szCs w:val="10"/>
        </w:rPr>
      </w:pPr>
    </w:p>
    <w:p w:rsidR="00820DF0" w:rsidRDefault="00820DF0" w:rsidP="00820DF0">
      <w:pPr>
        <w:pStyle w:val="Odsekzoznamu"/>
        <w:tabs>
          <w:tab w:val="left" w:pos="2268"/>
          <w:tab w:val="left" w:pos="2552"/>
        </w:tabs>
        <w:spacing w:after="0" w:line="240" w:lineRule="auto"/>
        <w:ind w:left="2552" w:hanging="2552"/>
        <w:jc w:val="both"/>
        <w:rPr>
          <w:rFonts w:ascii="Times New Roman" w:hAnsi="Times New Roman"/>
          <w:b/>
        </w:rPr>
      </w:pPr>
      <w:r>
        <w:rPr>
          <w:rFonts w:ascii="Times New Roman" w:hAnsi="Times New Roman"/>
          <w:b/>
        </w:rPr>
        <w:t>Spôsob použitia:</w:t>
      </w:r>
      <w:r>
        <w:rPr>
          <w:rFonts w:ascii="Times New Roman" w:hAnsi="Times New Roman"/>
          <w:b/>
        </w:rPr>
        <w:tab/>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Tablety sa podávajú denne podľa odporúčaného dávkovania priamo do dutiny ústnej alebo s kúskom potravy, prípadne rozdrvené do krmiva.</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sz w:val="22"/>
          <w:szCs w:val="22"/>
          <w:lang w:val="sk-SK"/>
        </w:rPr>
      </w:pPr>
      <w:r>
        <w:rPr>
          <w:b/>
          <w:sz w:val="22"/>
          <w:szCs w:val="22"/>
          <w:lang w:val="sk-SK"/>
        </w:rPr>
        <w:t>Dĺžka užívania:</w:t>
      </w:r>
      <w:r>
        <w:rPr>
          <w:sz w:val="22"/>
          <w:szCs w:val="22"/>
          <w:lang w:val="sk-SK"/>
        </w:rPr>
        <w:t xml:space="preserve"> </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Optimálna doba podávania sú tri mesiace. Veterinárny prípravok sa môže podávať dlhodobo.</w:t>
      </w:r>
    </w:p>
    <w:p w:rsidR="00820DF0" w:rsidRDefault="00820DF0" w:rsidP="00820DF0">
      <w:pPr>
        <w:pStyle w:val="Zkladntext3"/>
        <w:tabs>
          <w:tab w:val="left" w:pos="0"/>
          <w:tab w:val="left" w:pos="2268"/>
        </w:tabs>
        <w:spacing w:before="0" w:line="240" w:lineRule="auto"/>
        <w:rPr>
          <w:sz w:val="10"/>
          <w:szCs w:val="10"/>
          <w:lang w:val="sk-SK"/>
        </w:rPr>
      </w:pPr>
    </w:p>
    <w:p w:rsidR="00820DF0" w:rsidRDefault="00820DF0" w:rsidP="00820DF0">
      <w:pPr>
        <w:pStyle w:val="Zkladntext3"/>
        <w:tabs>
          <w:tab w:val="left" w:pos="0"/>
          <w:tab w:val="left" w:pos="2268"/>
        </w:tabs>
        <w:spacing w:before="0" w:line="240" w:lineRule="auto"/>
        <w:rPr>
          <w:b/>
          <w:sz w:val="22"/>
          <w:szCs w:val="22"/>
          <w:lang w:val="sk-SK"/>
        </w:rPr>
      </w:pPr>
    </w:p>
    <w:p w:rsidR="00820DF0" w:rsidRDefault="00820DF0" w:rsidP="00820DF0">
      <w:pPr>
        <w:pStyle w:val="Zkladntext3"/>
        <w:tabs>
          <w:tab w:val="left" w:pos="0"/>
          <w:tab w:val="left" w:pos="2268"/>
        </w:tabs>
        <w:spacing w:before="0" w:line="240" w:lineRule="auto"/>
        <w:rPr>
          <w:b/>
          <w:sz w:val="22"/>
          <w:szCs w:val="22"/>
          <w:lang w:val="sk-SK"/>
        </w:rPr>
      </w:pPr>
      <w:r>
        <w:rPr>
          <w:b/>
          <w:sz w:val="22"/>
          <w:szCs w:val="22"/>
          <w:lang w:val="sk-SK"/>
        </w:rPr>
        <w:t>Upozornenie:</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určený pre kotné suky.</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Prípravok nie je náhradou veterinárnej starostlivosti a liekov odporúčaných veterinárnym lekárom.</w:t>
      </w:r>
    </w:p>
    <w:p w:rsidR="00820DF0" w:rsidRDefault="00820DF0" w:rsidP="00820DF0">
      <w:pPr>
        <w:pStyle w:val="Zkladntext3"/>
        <w:tabs>
          <w:tab w:val="left" w:pos="0"/>
          <w:tab w:val="left" w:pos="2268"/>
        </w:tabs>
        <w:spacing w:before="0" w:line="240" w:lineRule="auto"/>
        <w:rPr>
          <w:sz w:val="22"/>
          <w:szCs w:val="22"/>
          <w:lang w:val="sk-SK"/>
        </w:rPr>
      </w:pPr>
      <w:r>
        <w:rPr>
          <w:sz w:val="22"/>
          <w:szCs w:val="22"/>
          <w:lang w:val="sk-SK"/>
        </w:rPr>
        <w:t>V prípade ortopedických ťažkostí zvieraťa navštívte pred zahájením podávania prípravku veterinárneho lekára pre stanovenie diagnózy.</w:t>
      </w:r>
    </w:p>
    <w:p w:rsidR="00820DF0" w:rsidRDefault="00820DF0" w:rsidP="00820DF0">
      <w:pPr>
        <w:pStyle w:val="Zkladntext3"/>
        <w:tabs>
          <w:tab w:val="left" w:pos="2268"/>
          <w:tab w:val="left" w:pos="2552"/>
        </w:tabs>
        <w:spacing w:before="0" w:line="240" w:lineRule="auto"/>
        <w:ind w:left="2552" w:hanging="2552"/>
        <w:rPr>
          <w:b/>
          <w:sz w:val="10"/>
          <w:szCs w:val="10"/>
          <w:lang w:val="sk-SK"/>
        </w:rPr>
      </w:pPr>
    </w:p>
    <w:p w:rsidR="00820DF0" w:rsidRDefault="00820DF0" w:rsidP="00820DF0">
      <w:pPr>
        <w:pStyle w:val="Zkladntext3"/>
        <w:tabs>
          <w:tab w:val="left" w:pos="2268"/>
          <w:tab w:val="left" w:pos="2552"/>
        </w:tabs>
        <w:spacing w:before="0" w:line="240" w:lineRule="auto"/>
        <w:ind w:left="2552" w:hanging="2552"/>
        <w:rPr>
          <w:b/>
          <w:sz w:val="22"/>
          <w:szCs w:val="22"/>
          <w:lang w:val="sk-SK"/>
        </w:rPr>
      </w:pPr>
      <w:r>
        <w:rPr>
          <w:b/>
          <w:sz w:val="22"/>
          <w:szCs w:val="22"/>
        </w:rPr>
        <w:t>Veľkosť balenia:</w:t>
      </w:r>
    </w:p>
    <w:p w:rsidR="00820DF0" w:rsidRDefault="00820DF0" w:rsidP="00820DF0">
      <w:pPr>
        <w:pStyle w:val="Zkladntext3"/>
        <w:tabs>
          <w:tab w:val="left" w:pos="2268"/>
          <w:tab w:val="left" w:pos="2552"/>
        </w:tabs>
        <w:spacing w:before="0" w:line="240" w:lineRule="auto"/>
        <w:ind w:left="2552" w:hanging="2552"/>
        <w:rPr>
          <w:sz w:val="22"/>
          <w:szCs w:val="22"/>
        </w:rPr>
      </w:pPr>
      <w:r>
        <w:rPr>
          <w:sz w:val="22"/>
          <w:szCs w:val="22"/>
          <w:lang w:val="sk-SK"/>
        </w:rPr>
        <w:t>60 tabliet</w:t>
      </w:r>
    </w:p>
    <w:p w:rsidR="00820DF0" w:rsidRDefault="00820DF0" w:rsidP="00820DF0">
      <w:pPr>
        <w:tabs>
          <w:tab w:val="left" w:pos="2268"/>
          <w:tab w:val="left" w:pos="2552"/>
        </w:tabs>
        <w:ind w:left="2552" w:hanging="2552"/>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Spôsob uchovávania:</w:t>
      </w:r>
      <w:r>
        <w:rPr>
          <w:b/>
          <w:sz w:val="22"/>
          <w:szCs w:val="22"/>
        </w:rPr>
        <w:tab/>
      </w:r>
    </w:p>
    <w:p w:rsidR="00820DF0" w:rsidRDefault="00820DF0" w:rsidP="00820DF0">
      <w:pPr>
        <w:tabs>
          <w:tab w:val="left" w:pos="0"/>
          <w:tab w:val="left" w:pos="2268"/>
        </w:tabs>
        <w:jc w:val="both"/>
        <w:rPr>
          <w:sz w:val="22"/>
          <w:szCs w:val="22"/>
        </w:rPr>
      </w:pPr>
      <w:r>
        <w:rPr>
          <w:sz w:val="22"/>
          <w:szCs w:val="22"/>
        </w:rPr>
        <w:t>Uchovávajte uzavreté v suchu pri teplote 15 – 30°C. Chráňte pred mrazom.  Uchovávajte mimo dohľadu a dosahu detí.</w:t>
      </w:r>
    </w:p>
    <w:p w:rsidR="00820DF0" w:rsidRDefault="00820DF0" w:rsidP="00820DF0">
      <w:pPr>
        <w:pStyle w:val="Zkladntext3"/>
        <w:tabs>
          <w:tab w:val="left" w:pos="2268"/>
          <w:tab w:val="left" w:pos="2552"/>
        </w:tabs>
        <w:spacing w:before="0" w:line="240" w:lineRule="auto"/>
        <w:ind w:left="2552" w:hanging="2552"/>
        <w:rPr>
          <w:sz w:val="10"/>
          <w:szCs w:val="10"/>
          <w:lang w:eastAsia="sk-SK"/>
        </w:rPr>
      </w:pPr>
    </w:p>
    <w:p w:rsidR="00820DF0" w:rsidRDefault="00820DF0" w:rsidP="00820DF0">
      <w:pPr>
        <w:pStyle w:val="Zkladntext3"/>
        <w:tabs>
          <w:tab w:val="left" w:pos="2268"/>
          <w:tab w:val="left" w:pos="2552"/>
        </w:tabs>
        <w:spacing w:before="0" w:line="240" w:lineRule="auto"/>
        <w:ind w:left="2552" w:hanging="2552"/>
        <w:rPr>
          <w:b/>
          <w:sz w:val="22"/>
          <w:szCs w:val="22"/>
          <w:lang w:val="sk-SK" w:eastAsia="sk-SK"/>
        </w:rPr>
      </w:pPr>
      <w:r>
        <w:rPr>
          <w:b/>
          <w:sz w:val="22"/>
          <w:szCs w:val="22"/>
          <w:lang w:eastAsia="sk-SK"/>
        </w:rPr>
        <w:t>Čas použiteľnosti:</w:t>
      </w:r>
    </w:p>
    <w:p w:rsidR="00820DF0" w:rsidRDefault="00820DF0" w:rsidP="00820DF0">
      <w:pPr>
        <w:pStyle w:val="Zkladntext3"/>
        <w:tabs>
          <w:tab w:val="left" w:pos="2268"/>
          <w:tab w:val="left" w:pos="2552"/>
        </w:tabs>
        <w:spacing w:before="0" w:line="240" w:lineRule="auto"/>
        <w:ind w:left="2552" w:hanging="2552"/>
        <w:rPr>
          <w:sz w:val="22"/>
          <w:szCs w:val="22"/>
          <w:lang w:eastAsia="sk-SK"/>
        </w:rPr>
      </w:pPr>
      <w:r>
        <w:rPr>
          <w:sz w:val="22"/>
          <w:szCs w:val="22"/>
          <w:lang w:val="sk-SK" w:eastAsia="sk-SK"/>
        </w:rPr>
        <w:t>2 roky od dátumu výroby</w:t>
      </w:r>
      <w:r>
        <w:rPr>
          <w:sz w:val="22"/>
          <w:szCs w:val="22"/>
          <w:lang w:eastAsia="sk-SK"/>
        </w:rPr>
        <w:t>.</w:t>
      </w:r>
      <w:r>
        <w:rPr>
          <w:sz w:val="22"/>
          <w:szCs w:val="22"/>
          <w:lang w:val="pl-PL"/>
        </w:rPr>
        <w:t xml:space="preserve"> </w:t>
      </w:r>
    </w:p>
    <w:p w:rsidR="00820DF0" w:rsidRDefault="00820DF0" w:rsidP="00820DF0">
      <w:pPr>
        <w:pStyle w:val="Zkladntext2"/>
        <w:tabs>
          <w:tab w:val="left" w:pos="2268"/>
          <w:tab w:val="left" w:pos="2552"/>
        </w:tabs>
        <w:ind w:left="2552" w:hanging="2552"/>
        <w:jc w:val="both"/>
        <w:rPr>
          <w:sz w:val="10"/>
          <w:szCs w:val="10"/>
          <w:lang w:eastAsia="sk-SK"/>
        </w:rPr>
      </w:pPr>
    </w:p>
    <w:p w:rsidR="00820DF0" w:rsidRDefault="00820DF0" w:rsidP="00820DF0">
      <w:pPr>
        <w:pStyle w:val="Zkladntext2"/>
        <w:tabs>
          <w:tab w:val="left" w:pos="2268"/>
          <w:tab w:val="left" w:pos="2552"/>
        </w:tabs>
        <w:ind w:left="2552" w:hanging="2552"/>
        <w:jc w:val="both"/>
        <w:rPr>
          <w:b/>
          <w:szCs w:val="22"/>
          <w:lang w:eastAsia="sk-SK"/>
        </w:rPr>
      </w:pPr>
      <w:r>
        <w:rPr>
          <w:b/>
          <w:szCs w:val="22"/>
          <w:lang w:eastAsia="sk-SK"/>
        </w:rPr>
        <w:t>Označenie:</w:t>
      </w:r>
    </w:p>
    <w:p w:rsidR="00820DF0" w:rsidRDefault="00820DF0" w:rsidP="00820DF0">
      <w:pPr>
        <w:pStyle w:val="Zkladntext2"/>
        <w:tabs>
          <w:tab w:val="left" w:pos="2268"/>
          <w:tab w:val="left" w:pos="2552"/>
        </w:tabs>
        <w:ind w:left="2552" w:hanging="2552"/>
        <w:jc w:val="both"/>
        <w:rPr>
          <w:szCs w:val="22"/>
          <w:lang w:eastAsia="sk-SK"/>
        </w:rPr>
      </w:pPr>
      <w:r>
        <w:rPr>
          <w:szCs w:val="22"/>
          <w:lang w:eastAsia="sk-SK"/>
        </w:rPr>
        <w:t xml:space="preserve">Len pre zvieratá! </w:t>
      </w:r>
    </w:p>
    <w:p w:rsidR="00820DF0" w:rsidRDefault="00820DF0" w:rsidP="00820DF0">
      <w:pPr>
        <w:tabs>
          <w:tab w:val="left" w:pos="0"/>
          <w:tab w:val="left" w:pos="2268"/>
        </w:tabs>
        <w:jc w:val="both"/>
        <w:rPr>
          <w:sz w:val="22"/>
          <w:szCs w:val="22"/>
        </w:rPr>
      </w:pPr>
      <w:r>
        <w:rPr>
          <w:sz w:val="22"/>
          <w:szCs w:val="22"/>
        </w:rPr>
        <w:t>Bez predpisu veterinárneho lekára.</w:t>
      </w:r>
    </w:p>
    <w:p w:rsidR="00820DF0" w:rsidRDefault="00820DF0" w:rsidP="00820DF0">
      <w:pPr>
        <w:tabs>
          <w:tab w:val="left" w:pos="0"/>
          <w:tab w:val="left" w:pos="2268"/>
        </w:tabs>
        <w:jc w:val="both"/>
        <w:rPr>
          <w:sz w:val="10"/>
          <w:szCs w:val="10"/>
        </w:rPr>
      </w:pPr>
    </w:p>
    <w:p w:rsidR="00820DF0" w:rsidRDefault="00820DF0" w:rsidP="00820DF0">
      <w:pPr>
        <w:tabs>
          <w:tab w:val="left" w:pos="2268"/>
          <w:tab w:val="left" w:pos="2552"/>
        </w:tabs>
        <w:ind w:left="2552" w:hanging="2552"/>
        <w:jc w:val="both"/>
        <w:rPr>
          <w:b/>
          <w:sz w:val="22"/>
          <w:szCs w:val="22"/>
        </w:rPr>
      </w:pPr>
      <w:r>
        <w:rPr>
          <w:b/>
          <w:sz w:val="22"/>
          <w:szCs w:val="22"/>
        </w:rPr>
        <w:t xml:space="preserve">Držiteľ rozhodnutia o schválení a výrobca: </w:t>
      </w:r>
    </w:p>
    <w:p w:rsidR="00820DF0" w:rsidRDefault="00820DF0" w:rsidP="00820DF0">
      <w:pPr>
        <w:tabs>
          <w:tab w:val="left" w:pos="0"/>
          <w:tab w:val="left" w:pos="2268"/>
        </w:tabs>
        <w:jc w:val="both"/>
        <w:rPr>
          <w:sz w:val="22"/>
          <w:szCs w:val="22"/>
        </w:rPr>
      </w:pPr>
      <w:r>
        <w:rPr>
          <w:bCs/>
          <w:sz w:val="22"/>
          <w:szCs w:val="22"/>
        </w:rPr>
        <w:t>Patron ca, s. r. o., Thámova 402/4, 186 00 Praha 8, Česká republika</w:t>
      </w:r>
      <w:r>
        <w:rPr>
          <w:sz w:val="22"/>
          <w:szCs w:val="22"/>
          <w:shd w:val="clear" w:color="auto" w:fill="FFFFFF"/>
        </w:rPr>
        <w:t>, člen skupiny LightHouse International Inc., 1st. Canadian Place, Ontario M5X 1B5, Kanada</w:t>
      </w:r>
      <w:r>
        <w:rPr>
          <w:sz w:val="22"/>
          <w:szCs w:val="22"/>
        </w:rPr>
        <w:t>.</w:t>
      </w:r>
    </w:p>
    <w:p w:rsidR="00820DF0" w:rsidRDefault="00820DF0" w:rsidP="00820DF0">
      <w:pPr>
        <w:tabs>
          <w:tab w:val="left" w:pos="0"/>
          <w:tab w:val="left" w:pos="2268"/>
        </w:tabs>
        <w:jc w:val="both"/>
        <w:rPr>
          <w:sz w:val="22"/>
          <w:szCs w:val="22"/>
        </w:rPr>
      </w:pPr>
      <w:r>
        <w:rPr>
          <w:sz w:val="22"/>
          <w:szCs w:val="22"/>
        </w:rPr>
        <w:t>Člen Kanadskej obchodnej komory.</w:t>
      </w:r>
    </w:p>
    <w:p w:rsidR="00820DF0" w:rsidRDefault="00820DF0" w:rsidP="00820DF0">
      <w:pPr>
        <w:tabs>
          <w:tab w:val="left" w:pos="0"/>
          <w:tab w:val="left" w:pos="2268"/>
        </w:tabs>
        <w:jc w:val="both"/>
        <w:rPr>
          <w:sz w:val="10"/>
          <w:szCs w:val="10"/>
        </w:rPr>
      </w:pPr>
    </w:p>
    <w:p w:rsidR="00820DF0" w:rsidRDefault="00820DF0" w:rsidP="00820DF0">
      <w:pPr>
        <w:pStyle w:val="Zkladntext2"/>
        <w:tabs>
          <w:tab w:val="left" w:pos="0"/>
          <w:tab w:val="left" w:pos="2268"/>
        </w:tabs>
        <w:jc w:val="both"/>
        <w:rPr>
          <w:szCs w:val="22"/>
          <w:lang w:eastAsia="sk-SK"/>
        </w:rPr>
      </w:pPr>
      <w:r>
        <w:rPr>
          <w:szCs w:val="22"/>
          <w:lang w:eastAsia="sk-SK"/>
        </w:rPr>
        <w:t>Nepoužité a nespotrebované veterinárne prípravky a ich obaly sa likvidujú v zmysle platných právnych predpisov (piktogram).</w:t>
      </w:r>
    </w:p>
    <w:p w:rsidR="00820DF0" w:rsidRDefault="00820DF0" w:rsidP="00820DF0">
      <w:pPr>
        <w:pStyle w:val="Zkladntext2"/>
        <w:tabs>
          <w:tab w:val="left" w:pos="2127"/>
          <w:tab w:val="left" w:pos="2552"/>
        </w:tabs>
        <w:ind w:left="2552" w:hanging="2552"/>
        <w:jc w:val="both"/>
        <w:rPr>
          <w:sz w:val="10"/>
          <w:szCs w:val="10"/>
          <w:lang w:eastAsia="sk-SK"/>
        </w:rPr>
      </w:pPr>
    </w:p>
    <w:p w:rsidR="00820DF0" w:rsidRDefault="00820DF0" w:rsidP="00820DF0">
      <w:pPr>
        <w:rPr>
          <w:sz w:val="22"/>
          <w:szCs w:val="22"/>
        </w:rPr>
      </w:pPr>
      <w:r>
        <w:rPr>
          <w:b/>
          <w:sz w:val="22"/>
          <w:szCs w:val="22"/>
        </w:rPr>
        <w:t>Číslo šarže a dátum spotreby:</w:t>
      </w:r>
      <w:r>
        <w:rPr>
          <w:sz w:val="22"/>
          <w:szCs w:val="22"/>
        </w:rPr>
        <w:t xml:space="preserve"> Uvedené priamo na dóze.</w:t>
      </w:r>
    </w:p>
    <w:p w:rsidR="00820DF0" w:rsidRDefault="00820DF0" w:rsidP="00820DF0">
      <w:pPr>
        <w:widowControl w:val="0"/>
        <w:autoSpaceDE w:val="0"/>
        <w:autoSpaceDN w:val="0"/>
        <w:adjustRightInd w:val="0"/>
        <w:rPr>
          <w:sz w:val="22"/>
          <w:szCs w:val="22"/>
        </w:rPr>
      </w:pPr>
    </w:p>
    <w:p w:rsidR="00820DF0" w:rsidRDefault="00820DF0" w:rsidP="00820DF0">
      <w:pPr>
        <w:tabs>
          <w:tab w:val="left" w:pos="0"/>
          <w:tab w:val="left" w:pos="2268"/>
        </w:tabs>
        <w:jc w:val="both"/>
        <w:rPr>
          <w:sz w:val="22"/>
          <w:szCs w:val="22"/>
        </w:rPr>
      </w:pPr>
      <w:r>
        <w:rPr>
          <w:sz w:val="22"/>
          <w:szCs w:val="22"/>
        </w:rPr>
        <w:t>Veterinárny prípravok je schválený ÚŠKVBL pod číslom 051/R/22-S</w:t>
      </w:r>
    </w:p>
    <w:p w:rsidR="00820DF0" w:rsidRDefault="00820DF0" w:rsidP="00820DF0">
      <w:pPr>
        <w:tabs>
          <w:tab w:val="left" w:pos="0"/>
          <w:tab w:val="left" w:pos="2268"/>
        </w:tabs>
        <w:jc w:val="both"/>
        <w:rPr>
          <w:sz w:val="22"/>
          <w:szCs w:val="22"/>
        </w:rPr>
      </w:pPr>
    </w:p>
    <w:p w:rsidR="00820DF0" w:rsidRDefault="00820DF0" w:rsidP="00820DF0">
      <w:pPr>
        <w:tabs>
          <w:tab w:val="left" w:pos="0"/>
          <w:tab w:val="left" w:pos="2268"/>
        </w:tabs>
        <w:jc w:val="both"/>
        <w:rPr>
          <w:sz w:val="22"/>
          <w:szCs w:val="22"/>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851"/>
        </w:tabs>
        <w:rPr>
          <w:sz w:val="18"/>
          <w:szCs w:val="18"/>
        </w:rPr>
      </w:pPr>
    </w:p>
    <w:p w:rsidR="00820DF0" w:rsidRDefault="00820DF0" w:rsidP="00820DF0">
      <w:pPr>
        <w:tabs>
          <w:tab w:val="left" w:pos="2268"/>
          <w:tab w:val="left" w:pos="2552"/>
        </w:tabs>
        <w:ind w:left="2552" w:hanging="2552"/>
        <w:jc w:val="both"/>
        <w:rPr>
          <w:sz w:val="22"/>
          <w:szCs w:val="22"/>
        </w:rPr>
      </w:pPr>
    </w:p>
    <w:p w:rsidR="007E4308" w:rsidRDefault="007E4308">
      <w:bookmarkStart w:id="0" w:name="_GoBack"/>
      <w:bookmarkEnd w:id="0"/>
    </w:p>
    <w:sectPr w:rsidR="007E4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FE"/>
    <w:multiLevelType w:val="hybridMultilevel"/>
    <w:tmpl w:val="AF4EDD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3EF3225A"/>
    <w:multiLevelType w:val="hybridMultilevel"/>
    <w:tmpl w:val="FD66EF72"/>
    <w:lvl w:ilvl="0" w:tplc="041B0001">
      <w:start w:val="1"/>
      <w:numFmt w:val="bullet"/>
      <w:lvlText w:val=""/>
      <w:lvlJc w:val="left"/>
      <w:pPr>
        <w:ind w:left="780" w:hanging="360"/>
      </w:pPr>
      <w:rPr>
        <w:rFonts w:ascii="Symbol" w:hAnsi="Symbol" w:hint="default"/>
      </w:rPr>
    </w:lvl>
    <w:lvl w:ilvl="1" w:tplc="041B0003">
      <w:start w:val="1"/>
      <w:numFmt w:val="bullet"/>
      <w:lvlText w:val="o"/>
      <w:lvlJc w:val="left"/>
      <w:pPr>
        <w:ind w:left="1500" w:hanging="360"/>
      </w:pPr>
      <w:rPr>
        <w:rFonts w:ascii="Courier New" w:hAnsi="Courier New" w:cs="Courier New" w:hint="default"/>
      </w:rPr>
    </w:lvl>
    <w:lvl w:ilvl="2" w:tplc="041B0005">
      <w:start w:val="1"/>
      <w:numFmt w:val="bullet"/>
      <w:lvlText w:val=""/>
      <w:lvlJc w:val="left"/>
      <w:pPr>
        <w:ind w:left="2220" w:hanging="360"/>
      </w:pPr>
      <w:rPr>
        <w:rFonts w:ascii="Wingdings" w:hAnsi="Wingdings" w:hint="default"/>
      </w:rPr>
    </w:lvl>
    <w:lvl w:ilvl="3" w:tplc="041B0001">
      <w:start w:val="1"/>
      <w:numFmt w:val="bullet"/>
      <w:lvlText w:val=""/>
      <w:lvlJc w:val="left"/>
      <w:pPr>
        <w:ind w:left="2940" w:hanging="360"/>
      </w:pPr>
      <w:rPr>
        <w:rFonts w:ascii="Symbol" w:hAnsi="Symbol" w:hint="default"/>
      </w:rPr>
    </w:lvl>
    <w:lvl w:ilvl="4" w:tplc="041B0003">
      <w:start w:val="1"/>
      <w:numFmt w:val="bullet"/>
      <w:lvlText w:val="o"/>
      <w:lvlJc w:val="left"/>
      <w:pPr>
        <w:ind w:left="3660" w:hanging="360"/>
      </w:pPr>
      <w:rPr>
        <w:rFonts w:ascii="Courier New" w:hAnsi="Courier New" w:cs="Courier New" w:hint="default"/>
      </w:rPr>
    </w:lvl>
    <w:lvl w:ilvl="5" w:tplc="041B0005">
      <w:start w:val="1"/>
      <w:numFmt w:val="bullet"/>
      <w:lvlText w:val=""/>
      <w:lvlJc w:val="left"/>
      <w:pPr>
        <w:ind w:left="4380" w:hanging="360"/>
      </w:pPr>
      <w:rPr>
        <w:rFonts w:ascii="Wingdings" w:hAnsi="Wingdings" w:hint="default"/>
      </w:rPr>
    </w:lvl>
    <w:lvl w:ilvl="6" w:tplc="041B0001">
      <w:start w:val="1"/>
      <w:numFmt w:val="bullet"/>
      <w:lvlText w:val=""/>
      <w:lvlJc w:val="left"/>
      <w:pPr>
        <w:ind w:left="5100" w:hanging="360"/>
      </w:pPr>
      <w:rPr>
        <w:rFonts w:ascii="Symbol" w:hAnsi="Symbol" w:hint="default"/>
      </w:rPr>
    </w:lvl>
    <w:lvl w:ilvl="7" w:tplc="041B0003">
      <w:start w:val="1"/>
      <w:numFmt w:val="bullet"/>
      <w:lvlText w:val="o"/>
      <w:lvlJc w:val="left"/>
      <w:pPr>
        <w:ind w:left="5820" w:hanging="360"/>
      </w:pPr>
      <w:rPr>
        <w:rFonts w:ascii="Courier New" w:hAnsi="Courier New" w:cs="Courier New" w:hint="default"/>
      </w:rPr>
    </w:lvl>
    <w:lvl w:ilvl="8" w:tplc="041B0005">
      <w:start w:val="1"/>
      <w:numFmt w:val="bullet"/>
      <w:lvlText w:val=""/>
      <w:lvlJc w:val="left"/>
      <w:pPr>
        <w:ind w:left="654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12"/>
    <w:rsid w:val="00663A12"/>
    <w:rsid w:val="007E4308"/>
    <w:rsid w:val="00820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DF0"/>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820DF0"/>
    <w:rPr>
      <w:sz w:val="22"/>
      <w:lang w:eastAsia="x-none"/>
    </w:rPr>
  </w:style>
  <w:style w:type="character" w:customStyle="1" w:styleId="Zkladntext2Char">
    <w:name w:val="Základný text 2 Char"/>
    <w:basedOn w:val="Predvolenpsmoodseku"/>
    <w:link w:val="Zkladntext2"/>
    <w:semiHidden/>
    <w:rsid w:val="00820DF0"/>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820DF0"/>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820DF0"/>
    <w:rPr>
      <w:rFonts w:ascii="Times New Roman" w:eastAsia="Times New Roman" w:hAnsi="Times New Roman" w:cs="Times New Roman"/>
      <w:sz w:val="24"/>
      <w:szCs w:val="20"/>
      <w:lang w:val="x-none" w:eastAsia="cs-CZ"/>
    </w:rPr>
  </w:style>
  <w:style w:type="paragraph" w:styleId="Odsekzoznamu">
    <w:name w:val="List Paragraph"/>
    <w:basedOn w:val="Normlny"/>
    <w:uiPriority w:val="34"/>
    <w:qFormat/>
    <w:rsid w:val="00820DF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DF0"/>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820DF0"/>
    <w:rPr>
      <w:sz w:val="22"/>
      <w:lang w:eastAsia="x-none"/>
    </w:rPr>
  </w:style>
  <w:style w:type="character" w:customStyle="1" w:styleId="Zkladntext2Char">
    <w:name w:val="Základný text 2 Char"/>
    <w:basedOn w:val="Predvolenpsmoodseku"/>
    <w:link w:val="Zkladntext2"/>
    <w:semiHidden/>
    <w:rsid w:val="00820DF0"/>
    <w:rPr>
      <w:rFonts w:ascii="Times New Roman" w:eastAsia="Times New Roman" w:hAnsi="Times New Roman" w:cs="Times New Roman"/>
      <w:szCs w:val="24"/>
      <w:lang w:eastAsia="x-none"/>
    </w:rPr>
  </w:style>
  <w:style w:type="paragraph" w:styleId="Zkladntext3">
    <w:name w:val="Body Text 3"/>
    <w:basedOn w:val="Normlny"/>
    <w:link w:val="Zkladntext3Char"/>
    <w:semiHidden/>
    <w:unhideWhenUsed/>
    <w:rsid w:val="00820DF0"/>
    <w:pPr>
      <w:tabs>
        <w:tab w:val="left" w:pos="851"/>
      </w:tabs>
      <w:spacing w:before="120" w:line="240" w:lineRule="atLeast"/>
      <w:jc w:val="both"/>
    </w:pPr>
    <w:rPr>
      <w:szCs w:val="20"/>
      <w:lang w:val="x-none"/>
    </w:rPr>
  </w:style>
  <w:style w:type="character" w:customStyle="1" w:styleId="Zkladntext3Char">
    <w:name w:val="Základný text 3 Char"/>
    <w:basedOn w:val="Predvolenpsmoodseku"/>
    <w:link w:val="Zkladntext3"/>
    <w:semiHidden/>
    <w:rsid w:val="00820DF0"/>
    <w:rPr>
      <w:rFonts w:ascii="Times New Roman" w:eastAsia="Times New Roman" w:hAnsi="Times New Roman" w:cs="Times New Roman"/>
      <w:sz w:val="24"/>
      <w:szCs w:val="20"/>
      <w:lang w:val="x-none" w:eastAsia="cs-CZ"/>
    </w:rPr>
  </w:style>
  <w:style w:type="paragraph" w:styleId="Odsekzoznamu">
    <w:name w:val="List Paragraph"/>
    <w:basedOn w:val="Normlny"/>
    <w:uiPriority w:val="34"/>
    <w:qFormat/>
    <w:rsid w:val="00820DF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11347</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13311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Registracia5</dc:creator>
  <cp:lastModifiedBy>Registracia5</cp:lastModifiedBy>
  <cp:revision>2</cp:revision>
  <dcterms:created xsi:type="dcterms:W3CDTF">2023-02-03T08:28:00Z</dcterms:created>
  <dcterms:modified xsi:type="dcterms:W3CDTF">2023-02-03T08:28:00Z</dcterms:modified>
</cp:coreProperties>
</file>