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9B" w:rsidRPr="000F3174" w:rsidRDefault="00F1539B" w:rsidP="00F1539B">
      <w:pPr>
        <w:tabs>
          <w:tab w:val="left" w:pos="851"/>
        </w:tabs>
        <w:rPr>
          <w:b/>
          <w:bCs/>
          <w:sz w:val="18"/>
          <w:szCs w:val="18"/>
        </w:rPr>
      </w:pPr>
      <w:r w:rsidRPr="00D16F2E">
        <w:rPr>
          <w:sz w:val="18"/>
          <w:szCs w:val="18"/>
        </w:rPr>
        <w:t>Príloha č. 1 k Rozhodnutiu  č.:</w:t>
      </w:r>
      <w:r w:rsidRPr="00D16F2E">
        <w:rPr>
          <w:bCs/>
          <w:sz w:val="18"/>
          <w:szCs w:val="18"/>
        </w:rPr>
        <w:t xml:space="preserve"> </w:t>
      </w:r>
      <w:r w:rsidRPr="000F3174">
        <w:rPr>
          <w:b/>
          <w:bCs/>
          <w:sz w:val="18"/>
          <w:szCs w:val="18"/>
        </w:rPr>
        <w:t>134/R/21-S</w:t>
      </w:r>
    </w:p>
    <w:p w:rsidR="00F1539B" w:rsidRPr="00D16F2E" w:rsidRDefault="00F1539B" w:rsidP="00F1539B">
      <w:pPr>
        <w:jc w:val="both"/>
        <w:outlineLvl w:val="0"/>
        <w:rPr>
          <w:b/>
          <w:sz w:val="22"/>
          <w:szCs w:val="22"/>
        </w:rPr>
      </w:pPr>
    </w:p>
    <w:p w:rsidR="00F1539B" w:rsidRPr="00D16F2E" w:rsidRDefault="00F1539B" w:rsidP="00F1539B">
      <w:pPr>
        <w:jc w:val="center"/>
        <w:rPr>
          <w:b/>
          <w:caps/>
          <w:sz w:val="22"/>
          <w:szCs w:val="22"/>
        </w:rPr>
      </w:pPr>
      <w:r w:rsidRPr="00D16F2E">
        <w:rPr>
          <w:b/>
          <w:caps/>
          <w:sz w:val="22"/>
          <w:szCs w:val="22"/>
        </w:rPr>
        <w:t xml:space="preserve">PÍSOMNÁ INFORMÁCIA PRE POUŽÍVATEĽA </w:t>
      </w:r>
      <w:r>
        <w:rPr>
          <w:b/>
          <w:caps/>
          <w:sz w:val="22"/>
          <w:szCs w:val="22"/>
        </w:rPr>
        <w:t>= ETIKETA</w:t>
      </w:r>
    </w:p>
    <w:p w:rsidR="00F1539B" w:rsidRPr="00D16F2E" w:rsidRDefault="00F1539B" w:rsidP="00F1539B">
      <w:pPr>
        <w:jc w:val="center"/>
        <w:rPr>
          <w:sz w:val="22"/>
          <w:szCs w:val="22"/>
        </w:rPr>
      </w:pPr>
    </w:p>
    <w:p w:rsidR="00F1539B" w:rsidRPr="008A4C35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8A4C35">
        <w:rPr>
          <w:b/>
          <w:sz w:val="22"/>
          <w:szCs w:val="22"/>
        </w:rPr>
        <w:t>Názov vet. prípravku:</w:t>
      </w:r>
    </w:p>
    <w:p w:rsidR="00F1539B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D16F2E">
        <w:rPr>
          <w:b/>
          <w:sz w:val="22"/>
          <w:szCs w:val="22"/>
        </w:rPr>
        <w:t>ALAVIS</w:t>
      </w:r>
      <w:r>
        <w:rPr>
          <w:b/>
          <w:sz w:val="22"/>
          <w:szCs w:val="22"/>
          <w:vertAlign w:val="superscript"/>
        </w:rPr>
        <w:t>TM</w:t>
      </w:r>
      <w:r w:rsidRPr="00D16F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Kĺbová výživa</w:t>
      </w:r>
    </w:p>
    <w:p w:rsidR="00F1539B" w:rsidRPr="00E2368B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F1539B" w:rsidRDefault="00F1539B" w:rsidP="00F1539B">
      <w:pPr>
        <w:tabs>
          <w:tab w:val="left" w:pos="2268"/>
          <w:tab w:val="left" w:pos="2552"/>
        </w:tabs>
        <w:spacing w:line="276" w:lineRule="auto"/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Kĺbový veterinárny prípravok</w:t>
      </w:r>
    </w:p>
    <w:p w:rsidR="00F1539B" w:rsidRDefault="00F1539B" w:rsidP="00F1539B">
      <w:pPr>
        <w:tabs>
          <w:tab w:val="left" w:pos="2268"/>
          <w:tab w:val="left" w:pos="2552"/>
        </w:tabs>
        <w:spacing w:line="276" w:lineRule="auto"/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Intenzívna výživa kĺbov</w:t>
      </w:r>
    </w:p>
    <w:p w:rsidR="00F1539B" w:rsidRDefault="00F1539B" w:rsidP="00F1539B">
      <w:pPr>
        <w:tabs>
          <w:tab w:val="left" w:pos="2268"/>
          <w:tab w:val="left" w:pos="2552"/>
        </w:tabs>
        <w:spacing w:line="276" w:lineRule="auto"/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Vhodné predovšetkým pre psy veľkých a obrovských plemien.</w:t>
      </w:r>
    </w:p>
    <w:p w:rsidR="00F1539B" w:rsidRDefault="00F1539B" w:rsidP="00F1539B">
      <w:pPr>
        <w:tabs>
          <w:tab w:val="left" w:pos="-142"/>
          <w:tab w:val="left" w:pos="2268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KĹBOVÝ VETERINÁRNY PRÍPRAVOK PRE PSY – GLUKOZAMÍN SULFÁT - CHONDROITÍN SULFÁT</w:t>
      </w:r>
    </w:p>
    <w:p w:rsidR="00F1539B" w:rsidRPr="00E9387F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F1539B" w:rsidRPr="00E9387F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E9387F">
        <w:rPr>
          <w:b/>
          <w:sz w:val="22"/>
          <w:szCs w:val="22"/>
        </w:rPr>
        <w:t xml:space="preserve">Držiteľ rozhodnutia o schválení a výrobca: </w:t>
      </w:r>
    </w:p>
    <w:p w:rsidR="00F1539B" w:rsidRPr="00D16F2E" w:rsidRDefault="00F1539B" w:rsidP="00F1539B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D16F2E">
        <w:rPr>
          <w:bCs/>
          <w:sz w:val="22"/>
          <w:szCs w:val="22"/>
        </w:rPr>
        <w:t>Patron ca, s.</w:t>
      </w:r>
      <w:r>
        <w:rPr>
          <w:bCs/>
          <w:sz w:val="22"/>
          <w:szCs w:val="22"/>
        </w:rPr>
        <w:t xml:space="preserve"> </w:t>
      </w:r>
      <w:r w:rsidRPr="00D16F2E">
        <w:rPr>
          <w:bCs/>
          <w:sz w:val="22"/>
          <w:szCs w:val="22"/>
        </w:rPr>
        <w:t>r.</w:t>
      </w:r>
      <w:r>
        <w:rPr>
          <w:bCs/>
          <w:sz w:val="22"/>
          <w:szCs w:val="22"/>
        </w:rPr>
        <w:t xml:space="preserve"> </w:t>
      </w:r>
      <w:r w:rsidRPr="00D16F2E">
        <w:rPr>
          <w:bCs/>
          <w:sz w:val="22"/>
          <w:szCs w:val="22"/>
        </w:rPr>
        <w:t xml:space="preserve">o., </w:t>
      </w:r>
      <w:r>
        <w:rPr>
          <w:bCs/>
          <w:sz w:val="22"/>
          <w:szCs w:val="22"/>
        </w:rPr>
        <w:t>Thámova 402/4, 186 00 Praha 8, Česká republika</w:t>
      </w:r>
      <w:r w:rsidRPr="00D16F2E">
        <w:rPr>
          <w:sz w:val="22"/>
          <w:szCs w:val="22"/>
          <w:shd w:val="clear" w:color="auto" w:fill="FFFFFF"/>
        </w:rPr>
        <w:t>, člen skupiny LightHouse International Inc., 1st. Canadian Place, Ontario M5X 1B5, Kanada</w:t>
      </w:r>
      <w:r w:rsidRPr="00D16F2E">
        <w:rPr>
          <w:sz w:val="22"/>
          <w:szCs w:val="22"/>
        </w:rPr>
        <w:t>.</w:t>
      </w:r>
    </w:p>
    <w:p w:rsidR="00F1539B" w:rsidRPr="00D16F2E" w:rsidRDefault="00F1539B" w:rsidP="00F1539B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D16F2E">
        <w:rPr>
          <w:sz w:val="22"/>
          <w:szCs w:val="22"/>
        </w:rPr>
        <w:t xml:space="preserve">Člen Kanadskej obchodnej </w:t>
      </w:r>
      <w:r>
        <w:rPr>
          <w:sz w:val="22"/>
          <w:szCs w:val="22"/>
        </w:rPr>
        <w:t>komory</w:t>
      </w:r>
      <w:r w:rsidRPr="00D16F2E">
        <w:rPr>
          <w:sz w:val="22"/>
          <w:szCs w:val="22"/>
        </w:rPr>
        <w:t>.</w:t>
      </w:r>
    </w:p>
    <w:p w:rsidR="00F1539B" w:rsidRPr="003C579A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1539B" w:rsidRPr="00D77D41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D77D41">
        <w:rPr>
          <w:b/>
          <w:sz w:val="22"/>
          <w:szCs w:val="22"/>
        </w:rPr>
        <w:t>Zloženie:</w:t>
      </w:r>
    </w:p>
    <w:p w:rsidR="00F1539B" w:rsidRDefault="00F1539B" w:rsidP="00F1539B">
      <w:pPr>
        <w:tabs>
          <w:tab w:val="left" w:pos="0"/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Účinné látky v 1 tablete:</w:t>
      </w:r>
    </w:p>
    <w:p w:rsidR="00F1539B" w:rsidRPr="007D530E" w:rsidRDefault="00F1539B" w:rsidP="00F1539B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7D530E">
        <w:rPr>
          <w:sz w:val="22"/>
          <w:szCs w:val="22"/>
        </w:rPr>
        <w:t>Glukozamín sulfát 500 mg, chondroitín sulfát 400 mg</w:t>
      </w:r>
    </w:p>
    <w:p w:rsidR="00F1539B" w:rsidRDefault="00F1539B" w:rsidP="00F1539B">
      <w:pPr>
        <w:tabs>
          <w:tab w:val="left" w:pos="0"/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Ďalšie zložky: </w:t>
      </w:r>
      <w:r w:rsidRPr="007D530E">
        <w:rPr>
          <w:sz w:val="22"/>
          <w:szCs w:val="22"/>
        </w:rPr>
        <w:t>mikrokryštalická celulóza, hydrogénfosforečnan vápenatý, steran horečnatý.</w:t>
      </w:r>
    </w:p>
    <w:p w:rsidR="00F1539B" w:rsidRPr="007D530E" w:rsidRDefault="00F1539B" w:rsidP="00F1539B">
      <w:pPr>
        <w:tabs>
          <w:tab w:val="left" w:pos="0"/>
          <w:tab w:val="left" w:pos="2268"/>
        </w:tabs>
        <w:jc w:val="both"/>
        <w:rPr>
          <w:b/>
          <w:sz w:val="10"/>
          <w:szCs w:val="10"/>
        </w:rPr>
      </w:pPr>
    </w:p>
    <w:p w:rsidR="00F1539B" w:rsidRPr="00D16F2E" w:rsidRDefault="00F1539B" w:rsidP="00F1539B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Z dôvodu zachovania kvality veterinárneho prípravku nie sú pridávané žiadne farbivá ani konzervačné látky. Veterinárny prípravok neobsahuje cukor</w:t>
      </w:r>
      <w:r>
        <w:rPr>
          <w:sz w:val="22"/>
          <w:szCs w:val="22"/>
        </w:rPr>
        <w:t>.</w:t>
      </w:r>
    </w:p>
    <w:p w:rsidR="00F1539B" w:rsidRPr="003C579A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1539B" w:rsidRPr="00D77D41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D77D41">
        <w:rPr>
          <w:b/>
          <w:sz w:val="22"/>
          <w:szCs w:val="22"/>
        </w:rPr>
        <w:t>Popis vet. prípravku:</w:t>
      </w:r>
    </w:p>
    <w:p w:rsidR="00F1539B" w:rsidRPr="00D16F2E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Biela oválna nepoťahovaná tableta s obojstrannou poliacou ryhou</w:t>
      </w:r>
      <w:r w:rsidRPr="00D16F2E">
        <w:rPr>
          <w:sz w:val="22"/>
          <w:szCs w:val="22"/>
        </w:rPr>
        <w:t>.</w:t>
      </w:r>
    </w:p>
    <w:p w:rsidR="00F1539B" w:rsidRPr="003C579A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1539B" w:rsidRPr="008A4C35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8A4C35">
        <w:rPr>
          <w:b/>
          <w:sz w:val="22"/>
          <w:szCs w:val="22"/>
        </w:rPr>
        <w:t>Charakteristika:</w:t>
      </w:r>
    </w:p>
    <w:p w:rsidR="00F1539B" w:rsidRPr="00D16F2E" w:rsidRDefault="00F1539B" w:rsidP="00F1539B">
      <w:pPr>
        <w:tabs>
          <w:tab w:val="left" w:pos="142"/>
          <w:tab w:val="left" w:pos="2268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>ALAVIS</w:t>
      </w:r>
      <w:r w:rsidRPr="00DD6B1C">
        <w:rPr>
          <w:bCs/>
          <w:sz w:val="22"/>
          <w:szCs w:val="22"/>
          <w:vertAlign w:val="superscript"/>
        </w:rPr>
        <w:t>TM</w:t>
      </w:r>
      <w:r>
        <w:rPr>
          <w:bCs/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Kĺbová výživa obsahuje látky glukozamín sulfát a chondroitín sulfát, ktoré tvoria prirodzenú súčasť kĺbovej chrupavky a synoviálnej tekutiny. Ich dostatočný prísun zabezpečuje správnu funkciu chrupavky, jej pevnosť, pružnosť a odolnosť. Mechanizmus účinku týchto látok je spoločný a spočíva v chondroprotektívnom pôsobení. Oba aktívne komponenty sú v koncentrovanej podobe. Tým je garantovaný vysoký stupeň účinku</w:t>
      </w:r>
      <w:r>
        <w:rPr>
          <w:sz w:val="22"/>
          <w:szCs w:val="22"/>
        </w:rPr>
        <w:t>.</w:t>
      </w:r>
    </w:p>
    <w:p w:rsidR="00F1539B" w:rsidRPr="003C579A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Účinok zahŕňa:</w:t>
      </w:r>
    </w:p>
    <w:p w:rsidR="00F1539B" w:rsidRPr="00F637D0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ochranu a regeneráciu chrupavky</w:t>
      </w:r>
    </w:p>
    <w:p w:rsidR="00F1539B" w:rsidRPr="00F637D0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preventívne ošetrenie kĺbov pri mladých a zdravých jedincoch</w:t>
      </w:r>
    </w:p>
    <w:p w:rsidR="00F1539B" w:rsidRPr="00F637D0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zmiernenie bolesti kĺbov a zlepšenie ich pohyblivosti</w:t>
      </w:r>
    </w:p>
    <w:p w:rsidR="00F1539B" w:rsidRPr="00F637D0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spomalenie až zastavenie ďalšieho poškodzovania kĺbových chrupaviek</w:t>
      </w:r>
    </w:p>
    <w:p w:rsidR="00F1539B" w:rsidRPr="00F637D0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predĺženie aktívneho veku zvieraťa</w:t>
      </w:r>
    </w:p>
    <w:p w:rsidR="00F1539B" w:rsidRPr="007D530E" w:rsidRDefault="00F1539B" w:rsidP="00F1539B">
      <w:pPr>
        <w:pStyle w:val="Odsekzoznamu"/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F1539B" w:rsidRDefault="00F1539B" w:rsidP="00F1539B">
      <w:pPr>
        <w:pStyle w:val="Odsekzoznamu"/>
        <w:tabs>
          <w:tab w:val="left" w:pos="426"/>
          <w:tab w:val="left" w:pos="2268"/>
        </w:tabs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Prípravok podávajte:</w:t>
      </w:r>
    </w:p>
    <w:p w:rsidR="00F1539B" w:rsidRPr="00F637D0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šteňatám a mladým psom, predovšetkým veľkých a obr</w:t>
      </w:r>
      <w:r>
        <w:rPr>
          <w:rFonts w:ascii="Times New Roman" w:hAnsi="Times New Roman"/>
          <w:bCs/>
        </w:rPr>
        <w:t>ích</w:t>
      </w:r>
      <w:r w:rsidRPr="00F637D0">
        <w:rPr>
          <w:rFonts w:ascii="Times New Roman" w:hAnsi="Times New Roman"/>
          <w:bCs/>
        </w:rPr>
        <w:t xml:space="preserve"> plemien</w:t>
      </w:r>
    </w:p>
    <w:p w:rsidR="00F1539B" w:rsidRPr="00F637D0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jedincom s genetickými dispozíciami na ochorenie kĺbov</w:t>
      </w:r>
    </w:p>
    <w:p w:rsidR="00F1539B" w:rsidRPr="00F637D0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jedincom so zvýšenou záťažou pohybového aparátu</w:t>
      </w:r>
    </w:p>
    <w:p w:rsidR="00F1539B" w:rsidRPr="00F637D0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pri dysplázii kĺbov</w:t>
      </w:r>
    </w:p>
    <w:p w:rsidR="00F1539B" w:rsidRPr="00F637D0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pri osteoartróze a osteoporóze</w:t>
      </w:r>
    </w:p>
    <w:p w:rsidR="00F1539B" w:rsidRPr="00F637D0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F637D0">
        <w:rPr>
          <w:rFonts w:ascii="Times New Roman" w:hAnsi="Times New Roman"/>
          <w:bCs/>
        </w:rPr>
        <w:t>starším psom</w:t>
      </w: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  <w:sz w:val="10"/>
          <w:szCs w:val="10"/>
        </w:rPr>
      </w:pP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Dávkovanie:</w:t>
      </w:r>
    </w:p>
    <w:p w:rsidR="00F1539B" w:rsidRPr="007D530E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  <w:sz w:val="6"/>
          <w:szCs w:val="6"/>
        </w:rPr>
      </w:pP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Hmotnosť psa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Iniciačná dávka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Udržiavacia dávka</w:t>
      </w: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(prvých 14 dní užívania)                             (pokračovacia)</w:t>
      </w: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denne</w:t>
      </w:r>
      <w:r>
        <w:rPr>
          <w:rFonts w:ascii="Times New Roman" w:hAnsi="Times New Roman"/>
          <w:b/>
        </w:rPr>
        <w:tab/>
        <w:t xml:space="preserve">                                             denne</w:t>
      </w: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– 5 kg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1 tableta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½ tablety</w:t>
      </w: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 – 10 kg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1,5 tablety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¾ tablety</w:t>
      </w: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 – 25 kg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2,5 tablety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1 tableta</w:t>
      </w: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 – 45 kg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3 – 3,5 tablety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1,5 tablety</w:t>
      </w: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45 a viac kg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3,5 – 4,5 tablety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2 – 2,5 tablety</w:t>
      </w:r>
    </w:p>
    <w:p w:rsidR="00F1539B" w:rsidRPr="00E9387F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  <w:sz w:val="10"/>
          <w:szCs w:val="10"/>
        </w:rPr>
      </w:pPr>
    </w:p>
    <w:p w:rsidR="00F1539B" w:rsidRPr="0077531A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 w:rsidRPr="0077531A">
        <w:rPr>
          <w:rFonts w:ascii="Times New Roman" w:hAnsi="Times New Roman"/>
          <w:b/>
        </w:rPr>
        <w:t xml:space="preserve">Spôsob </w:t>
      </w:r>
      <w:r>
        <w:rPr>
          <w:rFonts w:ascii="Times New Roman" w:hAnsi="Times New Roman"/>
          <w:b/>
        </w:rPr>
        <w:t>použitia</w:t>
      </w:r>
      <w:r w:rsidRPr="0077531A">
        <w:rPr>
          <w:rFonts w:ascii="Times New Roman" w:hAnsi="Times New Roman"/>
          <w:b/>
        </w:rPr>
        <w:t>:</w:t>
      </w:r>
      <w:r w:rsidRPr="0077531A">
        <w:rPr>
          <w:rFonts w:ascii="Times New Roman" w:hAnsi="Times New Roman"/>
          <w:b/>
        </w:rPr>
        <w:tab/>
      </w:r>
    </w:p>
    <w:p w:rsidR="00F1539B" w:rsidRDefault="00F1539B" w:rsidP="00F1539B">
      <w:pPr>
        <w:pStyle w:val="Zkladntext3"/>
        <w:tabs>
          <w:tab w:val="left" w:pos="0"/>
          <w:tab w:val="left" w:pos="2268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 sa podávajú denne priamo do ústnej dutiny alebo s kúskom potravy, prípadne rozdrvené do krmiva. Prípravok zvyčajne pri prijímaní nespôsobuje problémy.</w:t>
      </w:r>
    </w:p>
    <w:p w:rsidR="00F1539B" w:rsidRPr="00E9387F" w:rsidRDefault="00F1539B" w:rsidP="00F1539B">
      <w:pPr>
        <w:pStyle w:val="Zkladntext3"/>
        <w:tabs>
          <w:tab w:val="left" w:pos="0"/>
          <w:tab w:val="left" w:pos="2268"/>
        </w:tabs>
        <w:spacing w:before="0" w:line="240" w:lineRule="auto"/>
        <w:rPr>
          <w:sz w:val="10"/>
          <w:szCs w:val="10"/>
          <w:lang w:val="sk-SK"/>
        </w:rPr>
      </w:pPr>
    </w:p>
    <w:p w:rsidR="00F1539B" w:rsidRPr="00E9387F" w:rsidRDefault="00F1539B" w:rsidP="00F1539B">
      <w:pPr>
        <w:pStyle w:val="Zkladntext3"/>
        <w:tabs>
          <w:tab w:val="left" w:pos="0"/>
          <w:tab w:val="left" w:pos="2268"/>
        </w:tabs>
        <w:spacing w:before="0" w:line="240" w:lineRule="auto"/>
        <w:rPr>
          <w:b/>
          <w:sz w:val="22"/>
          <w:szCs w:val="22"/>
          <w:lang w:val="sk-SK"/>
        </w:rPr>
      </w:pPr>
      <w:r w:rsidRPr="00E9387F">
        <w:rPr>
          <w:b/>
          <w:sz w:val="22"/>
          <w:szCs w:val="22"/>
          <w:lang w:val="sk-SK"/>
        </w:rPr>
        <w:t>Dĺžka užívania:</w:t>
      </w:r>
    </w:p>
    <w:p w:rsidR="00F1539B" w:rsidRPr="00505514" w:rsidRDefault="00F1539B" w:rsidP="00F1539B">
      <w:pPr>
        <w:pStyle w:val="Zkladntext3"/>
        <w:tabs>
          <w:tab w:val="left" w:pos="0"/>
          <w:tab w:val="left" w:pos="2268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Optimálny čas podávania sú 3 mesiace. Kúru je vhodné zopakovať 1 – 3x ročne podľa intenzity ťažkostí. Pri ťažkostiach odporúčame podávať s prípravkom ALAVIS</w:t>
      </w:r>
      <w:r>
        <w:rPr>
          <w:sz w:val="22"/>
          <w:szCs w:val="22"/>
          <w:vertAlign w:val="superscript"/>
          <w:lang w:val="sk-SK"/>
        </w:rPr>
        <w:t xml:space="preserve">TM </w:t>
      </w:r>
      <w:r>
        <w:rPr>
          <w:sz w:val="22"/>
          <w:szCs w:val="22"/>
          <w:lang w:val="sk-SK"/>
        </w:rPr>
        <w:t>SINGLE MAXÍK alebo ALAVIS</w:t>
      </w:r>
      <w:r>
        <w:rPr>
          <w:sz w:val="22"/>
          <w:szCs w:val="22"/>
          <w:vertAlign w:val="superscript"/>
          <w:lang w:val="sk-SK"/>
        </w:rPr>
        <w:t xml:space="preserve">TM </w:t>
      </w:r>
      <w:r>
        <w:rPr>
          <w:sz w:val="22"/>
          <w:szCs w:val="22"/>
          <w:lang w:val="sk-SK"/>
        </w:rPr>
        <w:t>CELADRIN.</w:t>
      </w:r>
    </w:p>
    <w:p w:rsidR="00F1539B" w:rsidRPr="00B47BFC" w:rsidRDefault="00F1539B" w:rsidP="00F1539B">
      <w:pPr>
        <w:pStyle w:val="Zkladntext3"/>
        <w:tabs>
          <w:tab w:val="left" w:pos="0"/>
          <w:tab w:val="left" w:pos="2268"/>
        </w:tabs>
        <w:spacing w:before="0" w:line="240" w:lineRule="auto"/>
        <w:rPr>
          <w:sz w:val="10"/>
          <w:szCs w:val="10"/>
          <w:lang w:val="sk-SK"/>
        </w:rPr>
      </w:pPr>
    </w:p>
    <w:p w:rsidR="00F1539B" w:rsidRPr="0077531A" w:rsidRDefault="00F1539B" w:rsidP="00F1539B">
      <w:pPr>
        <w:pStyle w:val="Zkladntext3"/>
        <w:tabs>
          <w:tab w:val="left" w:pos="2268"/>
          <w:tab w:val="left" w:pos="2552"/>
        </w:tabs>
        <w:spacing w:before="0" w:line="240" w:lineRule="auto"/>
        <w:ind w:left="2552" w:hanging="2552"/>
        <w:rPr>
          <w:b/>
          <w:sz w:val="22"/>
          <w:szCs w:val="22"/>
          <w:lang w:val="sk-SK"/>
        </w:rPr>
      </w:pPr>
      <w:r w:rsidRPr="0077531A">
        <w:rPr>
          <w:b/>
          <w:sz w:val="22"/>
          <w:szCs w:val="22"/>
        </w:rPr>
        <w:t>Veľkosť balenia:</w:t>
      </w:r>
    </w:p>
    <w:p w:rsidR="00F1539B" w:rsidRPr="00D16F2E" w:rsidRDefault="00F1539B" w:rsidP="00F1539B">
      <w:pPr>
        <w:pStyle w:val="Zkladntext3"/>
        <w:tabs>
          <w:tab w:val="left" w:pos="2268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  <w:lang w:val="sk-SK"/>
        </w:rPr>
        <w:t>90 tabliet.</w:t>
      </w:r>
    </w:p>
    <w:p w:rsidR="00F1539B" w:rsidRPr="003C579A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1539B" w:rsidRPr="0077531A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77531A">
        <w:rPr>
          <w:b/>
          <w:sz w:val="22"/>
          <w:szCs w:val="22"/>
        </w:rPr>
        <w:t>Spôsob uchovávania:</w:t>
      </w:r>
      <w:r w:rsidRPr="0077531A">
        <w:rPr>
          <w:b/>
          <w:sz w:val="22"/>
          <w:szCs w:val="22"/>
        </w:rPr>
        <w:tab/>
      </w:r>
    </w:p>
    <w:p w:rsidR="00F1539B" w:rsidRPr="00D16F2E" w:rsidRDefault="00F1539B" w:rsidP="00F1539B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Uchovávajte uzavreté v suchu pri teplote 15 – 30°C. Chráňte pred mrazom! Uchovávajte</w:t>
      </w:r>
      <w:r w:rsidRPr="00D16F2E">
        <w:rPr>
          <w:sz w:val="22"/>
          <w:szCs w:val="22"/>
        </w:rPr>
        <w:t xml:space="preserve"> mimo dohľadu a dosahu detí.</w:t>
      </w:r>
    </w:p>
    <w:p w:rsidR="00F1539B" w:rsidRPr="00D42052" w:rsidRDefault="00F1539B" w:rsidP="00F1539B">
      <w:pPr>
        <w:pStyle w:val="Zkladntext3"/>
        <w:tabs>
          <w:tab w:val="left" w:pos="2268"/>
          <w:tab w:val="left" w:pos="2552"/>
        </w:tabs>
        <w:spacing w:before="0" w:line="240" w:lineRule="auto"/>
        <w:ind w:left="2552" w:hanging="2552"/>
        <w:rPr>
          <w:sz w:val="10"/>
          <w:szCs w:val="10"/>
          <w:lang w:eastAsia="sk-SK"/>
        </w:rPr>
      </w:pPr>
    </w:p>
    <w:p w:rsidR="00F1539B" w:rsidRPr="0077531A" w:rsidRDefault="00F1539B" w:rsidP="00F1539B">
      <w:pPr>
        <w:pStyle w:val="Zkladntext3"/>
        <w:tabs>
          <w:tab w:val="left" w:pos="2268"/>
          <w:tab w:val="left" w:pos="2552"/>
        </w:tabs>
        <w:spacing w:before="0" w:line="240" w:lineRule="auto"/>
        <w:ind w:left="2552" w:hanging="2552"/>
        <w:rPr>
          <w:b/>
          <w:sz w:val="22"/>
          <w:szCs w:val="22"/>
          <w:lang w:val="sk-SK" w:eastAsia="sk-SK"/>
        </w:rPr>
      </w:pPr>
      <w:r w:rsidRPr="0077531A">
        <w:rPr>
          <w:b/>
          <w:sz w:val="22"/>
          <w:szCs w:val="22"/>
          <w:lang w:eastAsia="sk-SK"/>
        </w:rPr>
        <w:t>Čas použiteľnosti:</w:t>
      </w:r>
    </w:p>
    <w:p w:rsidR="00F1539B" w:rsidRPr="00D16F2E" w:rsidRDefault="00F1539B" w:rsidP="00F1539B">
      <w:pPr>
        <w:pStyle w:val="Zkladntext3"/>
        <w:tabs>
          <w:tab w:val="left" w:pos="2268"/>
          <w:tab w:val="left" w:pos="2552"/>
        </w:tabs>
        <w:spacing w:before="0" w:line="240" w:lineRule="auto"/>
        <w:ind w:left="2552" w:hanging="2552"/>
        <w:rPr>
          <w:sz w:val="22"/>
          <w:szCs w:val="22"/>
          <w:lang w:eastAsia="sk-SK"/>
        </w:rPr>
      </w:pPr>
      <w:r>
        <w:rPr>
          <w:sz w:val="22"/>
          <w:szCs w:val="22"/>
          <w:lang w:val="sk-SK" w:eastAsia="sk-SK"/>
        </w:rPr>
        <w:t>2 roky od dátumu výroby</w:t>
      </w:r>
      <w:r w:rsidRPr="00D16F2E">
        <w:rPr>
          <w:sz w:val="22"/>
          <w:szCs w:val="22"/>
          <w:lang w:eastAsia="sk-SK"/>
        </w:rPr>
        <w:t>.</w:t>
      </w:r>
      <w:r w:rsidRPr="00D16F2E">
        <w:rPr>
          <w:sz w:val="22"/>
          <w:szCs w:val="22"/>
          <w:lang w:val="pl-PL"/>
        </w:rPr>
        <w:t xml:space="preserve"> </w:t>
      </w:r>
    </w:p>
    <w:p w:rsidR="00F1539B" w:rsidRPr="003C579A" w:rsidRDefault="00F1539B" w:rsidP="00F1539B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1539B" w:rsidRPr="0077531A" w:rsidRDefault="00F1539B" w:rsidP="00F1539B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b/>
          <w:szCs w:val="22"/>
          <w:lang w:eastAsia="sk-SK"/>
        </w:rPr>
      </w:pPr>
      <w:r w:rsidRPr="0077531A">
        <w:rPr>
          <w:b/>
          <w:szCs w:val="22"/>
          <w:lang w:eastAsia="sk-SK"/>
        </w:rPr>
        <w:t>Označenie:</w:t>
      </w:r>
    </w:p>
    <w:p w:rsidR="00F1539B" w:rsidRPr="00D16F2E" w:rsidRDefault="00F1539B" w:rsidP="00F1539B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D16F2E">
        <w:rPr>
          <w:szCs w:val="22"/>
          <w:lang w:eastAsia="sk-SK"/>
        </w:rPr>
        <w:t xml:space="preserve">Len pre zvieratá! </w:t>
      </w:r>
    </w:p>
    <w:p w:rsidR="00F1539B" w:rsidRPr="003C579A" w:rsidRDefault="00F1539B" w:rsidP="00F1539B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1539B" w:rsidRPr="00D16F2E" w:rsidRDefault="00F1539B" w:rsidP="00F1539B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D16F2E">
        <w:rPr>
          <w:szCs w:val="22"/>
          <w:lang w:eastAsia="sk-SK"/>
        </w:rPr>
        <w:t>Upozornenie na spôsob nakladania a zneškodnenia nepoužitého veterinárneho prípravku a obalu:</w:t>
      </w:r>
    </w:p>
    <w:p w:rsidR="00F1539B" w:rsidRPr="00D16F2E" w:rsidRDefault="00F1539B" w:rsidP="00F1539B">
      <w:pPr>
        <w:pStyle w:val="Zkladntext2"/>
        <w:tabs>
          <w:tab w:val="left" w:pos="0"/>
          <w:tab w:val="left" w:pos="2268"/>
        </w:tabs>
        <w:jc w:val="both"/>
        <w:rPr>
          <w:szCs w:val="22"/>
          <w:lang w:eastAsia="sk-SK"/>
        </w:rPr>
      </w:pPr>
      <w:r w:rsidRPr="00D16F2E">
        <w:rPr>
          <w:szCs w:val="22"/>
          <w:lang w:eastAsia="sk-SK"/>
        </w:rPr>
        <w:t>Nepoužité a nespotrebované veterinárne prípravky a ich obaly sa likvidujú v zmysle platných právnych predpisov.</w:t>
      </w:r>
    </w:p>
    <w:p w:rsidR="00F1539B" w:rsidRPr="003C579A" w:rsidRDefault="00F1539B" w:rsidP="00F1539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1539B" w:rsidRPr="0077531A" w:rsidRDefault="00F1539B" w:rsidP="00F1539B">
      <w:pPr>
        <w:pStyle w:val="Zkladntext2"/>
        <w:tabs>
          <w:tab w:val="left" w:pos="2700"/>
        </w:tabs>
        <w:rPr>
          <w:b/>
          <w:szCs w:val="22"/>
          <w:lang w:eastAsia="sk-SK"/>
        </w:rPr>
      </w:pPr>
      <w:r w:rsidRPr="0077531A">
        <w:rPr>
          <w:b/>
          <w:szCs w:val="22"/>
          <w:lang w:eastAsia="sk-SK"/>
        </w:rPr>
        <w:t>Bez predpisu veterinárneho lekára.</w:t>
      </w:r>
    </w:p>
    <w:p w:rsidR="00F1539B" w:rsidRDefault="00F1539B" w:rsidP="00F1539B">
      <w:pPr>
        <w:pStyle w:val="Zkladntext2"/>
        <w:tabs>
          <w:tab w:val="left" w:pos="2700"/>
        </w:tabs>
        <w:jc w:val="both"/>
        <w:rPr>
          <w:sz w:val="10"/>
          <w:szCs w:val="10"/>
          <w:lang w:eastAsia="sk-SK"/>
        </w:rPr>
      </w:pPr>
    </w:p>
    <w:p w:rsidR="00F1539B" w:rsidRPr="003C579A" w:rsidRDefault="00F1539B" w:rsidP="00F1539B">
      <w:pPr>
        <w:pStyle w:val="Zkladntext2"/>
        <w:tabs>
          <w:tab w:val="left" w:pos="2700"/>
        </w:tabs>
        <w:jc w:val="both"/>
        <w:rPr>
          <w:sz w:val="10"/>
          <w:szCs w:val="10"/>
          <w:lang w:eastAsia="sk-SK"/>
        </w:rPr>
      </w:pPr>
    </w:p>
    <w:p w:rsidR="00F1539B" w:rsidRPr="00D16F2E" w:rsidRDefault="00F1539B" w:rsidP="00F1539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16F2E">
        <w:rPr>
          <w:sz w:val="22"/>
          <w:szCs w:val="22"/>
        </w:rPr>
        <w:t xml:space="preserve">Veterinárny prípravok je schválený ÚŠKVBL pod číslom </w:t>
      </w:r>
      <w:r>
        <w:rPr>
          <w:sz w:val="22"/>
          <w:szCs w:val="22"/>
        </w:rPr>
        <w:t>134/R/21-S</w:t>
      </w:r>
    </w:p>
    <w:p w:rsidR="00F1539B" w:rsidRPr="00D16F2E" w:rsidRDefault="00F1539B" w:rsidP="00F1539B">
      <w:pPr>
        <w:rPr>
          <w:sz w:val="22"/>
          <w:szCs w:val="22"/>
        </w:rPr>
      </w:pPr>
    </w:p>
    <w:p w:rsidR="00F1539B" w:rsidRPr="00D16F2E" w:rsidRDefault="00F1539B" w:rsidP="00F1539B">
      <w:pPr>
        <w:rPr>
          <w:sz w:val="22"/>
          <w:szCs w:val="22"/>
        </w:rPr>
      </w:pPr>
      <w:r w:rsidRPr="00E9387F">
        <w:rPr>
          <w:b/>
          <w:sz w:val="22"/>
          <w:szCs w:val="22"/>
        </w:rPr>
        <w:t>Číslo šarže a dátum spotreby:</w:t>
      </w:r>
      <w:r w:rsidRPr="00D16F2E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D16F2E">
        <w:rPr>
          <w:sz w:val="22"/>
          <w:szCs w:val="22"/>
        </w:rPr>
        <w:t xml:space="preserve">vedené priamo na </w:t>
      </w:r>
      <w:r>
        <w:rPr>
          <w:sz w:val="22"/>
          <w:szCs w:val="22"/>
        </w:rPr>
        <w:t>dóze</w:t>
      </w:r>
      <w:r w:rsidRPr="00D16F2E">
        <w:rPr>
          <w:sz w:val="22"/>
          <w:szCs w:val="22"/>
        </w:rPr>
        <w:t>.</w:t>
      </w:r>
    </w:p>
    <w:p w:rsidR="00F1539B" w:rsidRPr="00D16F2E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Pr="00D16F2E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Pr="00D16F2E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1539B" w:rsidRDefault="00F1539B" w:rsidP="00F1539B">
      <w:pPr>
        <w:tabs>
          <w:tab w:val="left" w:pos="851"/>
        </w:tabs>
        <w:rPr>
          <w:sz w:val="18"/>
          <w:szCs w:val="18"/>
        </w:rPr>
      </w:pPr>
    </w:p>
    <w:p w:rsidR="00F1539B" w:rsidRPr="000F3174" w:rsidRDefault="00F1539B" w:rsidP="00F1539B">
      <w:pPr>
        <w:tabs>
          <w:tab w:val="left" w:pos="851"/>
        </w:tabs>
        <w:rPr>
          <w:b/>
          <w:bCs/>
          <w:sz w:val="18"/>
          <w:szCs w:val="18"/>
        </w:rPr>
      </w:pPr>
      <w:r w:rsidRPr="00D16F2E">
        <w:rPr>
          <w:sz w:val="18"/>
          <w:szCs w:val="18"/>
        </w:rPr>
        <w:lastRenderedPageBreak/>
        <w:t xml:space="preserve">Príloha č. </w:t>
      </w:r>
      <w:r>
        <w:rPr>
          <w:sz w:val="18"/>
          <w:szCs w:val="18"/>
        </w:rPr>
        <w:t>2</w:t>
      </w:r>
      <w:r w:rsidRPr="00D16F2E">
        <w:rPr>
          <w:sz w:val="18"/>
          <w:szCs w:val="18"/>
        </w:rPr>
        <w:t xml:space="preserve"> k R</w:t>
      </w:r>
      <w:bookmarkStart w:id="0" w:name="_GoBack"/>
      <w:bookmarkEnd w:id="0"/>
      <w:r w:rsidRPr="00D16F2E">
        <w:rPr>
          <w:sz w:val="18"/>
          <w:szCs w:val="18"/>
        </w:rPr>
        <w:t>ozhodnutiu  č.:</w:t>
      </w:r>
      <w:r w:rsidRPr="00D16F2E">
        <w:rPr>
          <w:bCs/>
          <w:sz w:val="18"/>
          <w:szCs w:val="18"/>
        </w:rPr>
        <w:t xml:space="preserve"> </w:t>
      </w:r>
      <w:r w:rsidRPr="000F3174">
        <w:rPr>
          <w:b/>
          <w:bCs/>
          <w:sz w:val="18"/>
          <w:szCs w:val="18"/>
        </w:rPr>
        <w:t>134/R/21-S</w:t>
      </w:r>
    </w:p>
    <w:p w:rsidR="00F1539B" w:rsidRPr="00D16F2E" w:rsidRDefault="00F1539B" w:rsidP="00F1539B">
      <w:pPr>
        <w:jc w:val="both"/>
        <w:outlineLvl w:val="0"/>
        <w:rPr>
          <w:b/>
          <w:sz w:val="22"/>
          <w:szCs w:val="22"/>
        </w:rPr>
      </w:pPr>
    </w:p>
    <w:p w:rsidR="00F1539B" w:rsidRPr="00D16F2E" w:rsidRDefault="00F1539B" w:rsidP="00F1539B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vonkajší obal = papierová skladačka</w:t>
      </w:r>
    </w:p>
    <w:p w:rsidR="00F1539B" w:rsidRPr="00D16F2E" w:rsidRDefault="00F1539B" w:rsidP="00F1539B">
      <w:pPr>
        <w:jc w:val="center"/>
        <w:rPr>
          <w:sz w:val="22"/>
          <w:szCs w:val="22"/>
        </w:rPr>
      </w:pPr>
    </w:p>
    <w:p w:rsidR="00F1539B" w:rsidRPr="008A4C35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8A4C35">
        <w:rPr>
          <w:b/>
          <w:sz w:val="22"/>
          <w:szCs w:val="22"/>
        </w:rPr>
        <w:t>Názov vet. prípravku:</w:t>
      </w:r>
    </w:p>
    <w:p w:rsidR="00F1539B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D16F2E">
        <w:rPr>
          <w:b/>
          <w:sz w:val="22"/>
          <w:szCs w:val="22"/>
        </w:rPr>
        <w:t>ALAVIS</w:t>
      </w:r>
      <w:r>
        <w:rPr>
          <w:b/>
          <w:sz w:val="22"/>
          <w:szCs w:val="22"/>
          <w:vertAlign w:val="superscript"/>
        </w:rPr>
        <w:t>TM</w:t>
      </w:r>
      <w:r w:rsidRPr="00D16F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Kĺbová výživa</w:t>
      </w:r>
    </w:p>
    <w:p w:rsidR="00F1539B" w:rsidRPr="00E2368B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F1539B" w:rsidRDefault="00F1539B" w:rsidP="00F1539B">
      <w:pPr>
        <w:tabs>
          <w:tab w:val="left" w:pos="2268"/>
          <w:tab w:val="left" w:pos="2552"/>
        </w:tabs>
        <w:spacing w:line="276" w:lineRule="auto"/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Kĺbový veterinárny prípravok</w:t>
      </w:r>
    </w:p>
    <w:p w:rsidR="00F1539B" w:rsidRDefault="00F1539B" w:rsidP="00F1539B">
      <w:pPr>
        <w:tabs>
          <w:tab w:val="left" w:pos="2268"/>
          <w:tab w:val="left" w:pos="2552"/>
        </w:tabs>
        <w:spacing w:line="276" w:lineRule="auto"/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Intenzívna výživa kĺbov</w:t>
      </w:r>
    </w:p>
    <w:p w:rsidR="00F1539B" w:rsidRDefault="00F1539B" w:rsidP="00F1539B">
      <w:pPr>
        <w:tabs>
          <w:tab w:val="left" w:pos="2268"/>
          <w:tab w:val="left" w:pos="2552"/>
        </w:tabs>
        <w:spacing w:line="276" w:lineRule="auto"/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Vhodné predovšetkým pre psy veľký a obrovských plemien.</w:t>
      </w:r>
    </w:p>
    <w:p w:rsidR="00F1539B" w:rsidRDefault="00F1539B" w:rsidP="00F1539B">
      <w:pPr>
        <w:tabs>
          <w:tab w:val="left" w:pos="-142"/>
          <w:tab w:val="left" w:pos="2268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KĹBOVÝ VETERINÁRNY PRÍPRAVOK PRE PSY – GLUKOZAMÍN SULFÁT - CHONDROITÍN SULFÁT</w:t>
      </w:r>
    </w:p>
    <w:p w:rsidR="00F1539B" w:rsidRPr="00E2368B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1539B" w:rsidRDefault="00F1539B" w:rsidP="00F1539B">
      <w:pPr>
        <w:pStyle w:val="Odsekzoznamu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Účinok zahŕňa:</w:t>
      </w:r>
    </w:p>
    <w:p w:rsidR="00F1539B" w:rsidRPr="00120DA5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ochranu a regeneráciu chrupavky</w:t>
      </w:r>
    </w:p>
    <w:p w:rsidR="00F1539B" w:rsidRPr="00120DA5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preventívne ošetrenie kĺbov pri mladých a zdravých jedincoch</w:t>
      </w:r>
    </w:p>
    <w:p w:rsidR="00F1539B" w:rsidRPr="00120DA5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zmiernenie bolesti kĺbov a zlepšenie ich pohyblivosti</w:t>
      </w:r>
    </w:p>
    <w:p w:rsidR="00F1539B" w:rsidRPr="00120DA5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spomalenie až zastavenie ďalšieho poškodzovania kĺbových chrupaviek</w:t>
      </w:r>
    </w:p>
    <w:p w:rsidR="00F1539B" w:rsidRPr="00120DA5" w:rsidRDefault="00F1539B" w:rsidP="00F1539B">
      <w:pPr>
        <w:pStyle w:val="Odsekzoznamu"/>
        <w:numPr>
          <w:ilvl w:val="0"/>
          <w:numId w:val="1"/>
        </w:numPr>
        <w:tabs>
          <w:tab w:val="left" w:pos="426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predĺženie aktívneho veku zvieraťa</w:t>
      </w:r>
    </w:p>
    <w:p w:rsidR="00F1539B" w:rsidRPr="00120DA5" w:rsidRDefault="00F1539B" w:rsidP="00F1539B">
      <w:pPr>
        <w:pStyle w:val="Odsekzoznamu"/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:rsidR="00F1539B" w:rsidRDefault="00F1539B" w:rsidP="00F1539B">
      <w:pPr>
        <w:pStyle w:val="Odsekzoznamu"/>
        <w:tabs>
          <w:tab w:val="left" w:pos="426"/>
          <w:tab w:val="left" w:pos="2268"/>
        </w:tabs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Prípravok podávajte:</w:t>
      </w:r>
    </w:p>
    <w:p w:rsidR="00F1539B" w:rsidRPr="00120DA5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šteňatám a mladým psom, predovšetkým veľkých a obr</w:t>
      </w:r>
      <w:r>
        <w:rPr>
          <w:rFonts w:ascii="Times New Roman" w:hAnsi="Times New Roman"/>
          <w:bCs/>
        </w:rPr>
        <w:t>ích</w:t>
      </w:r>
      <w:r w:rsidRPr="00120DA5">
        <w:rPr>
          <w:rFonts w:ascii="Times New Roman" w:hAnsi="Times New Roman"/>
          <w:bCs/>
        </w:rPr>
        <w:t xml:space="preserve"> plemien</w:t>
      </w:r>
    </w:p>
    <w:p w:rsidR="00F1539B" w:rsidRPr="00120DA5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jedincom s genetickými dispozíciami na ochorenie kĺbov</w:t>
      </w:r>
    </w:p>
    <w:p w:rsidR="00F1539B" w:rsidRPr="00120DA5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jedincom so zvýšenou záťažou pohybového aparátu</w:t>
      </w:r>
    </w:p>
    <w:p w:rsidR="00F1539B" w:rsidRPr="00120DA5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pri dysplázii kĺbov</w:t>
      </w:r>
    </w:p>
    <w:p w:rsidR="00F1539B" w:rsidRPr="00120DA5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pri osteoartróze a osteoporóze</w:t>
      </w:r>
    </w:p>
    <w:p w:rsidR="00F1539B" w:rsidRPr="00120DA5" w:rsidRDefault="00F1539B" w:rsidP="00F1539B">
      <w:pPr>
        <w:pStyle w:val="Odsekzoznamu"/>
        <w:numPr>
          <w:ilvl w:val="0"/>
          <w:numId w:val="2"/>
        </w:numPr>
        <w:tabs>
          <w:tab w:val="left" w:pos="426"/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120DA5">
        <w:rPr>
          <w:rFonts w:ascii="Times New Roman" w:hAnsi="Times New Roman"/>
          <w:bCs/>
        </w:rPr>
        <w:t>starším psom</w:t>
      </w:r>
    </w:p>
    <w:p w:rsidR="00F1539B" w:rsidRPr="00E9387F" w:rsidRDefault="00F1539B" w:rsidP="00F1539B">
      <w:pPr>
        <w:pStyle w:val="Odsekzoznamu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F1539B" w:rsidRPr="00D77D41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D77D41">
        <w:rPr>
          <w:b/>
          <w:sz w:val="22"/>
          <w:szCs w:val="22"/>
        </w:rPr>
        <w:t>Zloženie:</w:t>
      </w:r>
    </w:p>
    <w:p w:rsidR="00F1539B" w:rsidRDefault="00F1539B" w:rsidP="00F1539B">
      <w:pPr>
        <w:tabs>
          <w:tab w:val="left" w:pos="0"/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Účinné látky v 1 tablete:</w:t>
      </w:r>
    </w:p>
    <w:p w:rsidR="00F1539B" w:rsidRDefault="00F1539B" w:rsidP="00F1539B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7D530E">
        <w:rPr>
          <w:sz w:val="22"/>
          <w:szCs w:val="22"/>
        </w:rPr>
        <w:t>Glukozamín sulfát 500 mg, chondroitín sulfát 400 mg</w:t>
      </w:r>
    </w:p>
    <w:p w:rsidR="00F1539B" w:rsidRPr="00E9387F" w:rsidRDefault="00F1539B" w:rsidP="00F1539B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F1539B" w:rsidRPr="00E9387F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E9387F">
        <w:rPr>
          <w:b/>
          <w:sz w:val="22"/>
          <w:szCs w:val="22"/>
        </w:rPr>
        <w:t xml:space="preserve">Držiteľ rozhodnutia o schválení a výrobca: </w:t>
      </w:r>
    </w:p>
    <w:p w:rsidR="00F1539B" w:rsidRPr="00D16F2E" w:rsidRDefault="00F1539B" w:rsidP="00F1539B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D16F2E">
        <w:rPr>
          <w:bCs/>
          <w:sz w:val="22"/>
          <w:szCs w:val="22"/>
        </w:rPr>
        <w:t>Patron ca, s.</w:t>
      </w:r>
      <w:r>
        <w:rPr>
          <w:bCs/>
          <w:sz w:val="22"/>
          <w:szCs w:val="22"/>
        </w:rPr>
        <w:t xml:space="preserve"> </w:t>
      </w:r>
      <w:r w:rsidRPr="00D16F2E">
        <w:rPr>
          <w:bCs/>
          <w:sz w:val="22"/>
          <w:szCs w:val="22"/>
        </w:rPr>
        <w:t>r.</w:t>
      </w:r>
      <w:r>
        <w:rPr>
          <w:bCs/>
          <w:sz w:val="22"/>
          <w:szCs w:val="22"/>
        </w:rPr>
        <w:t xml:space="preserve"> </w:t>
      </w:r>
      <w:r w:rsidRPr="00D16F2E">
        <w:rPr>
          <w:bCs/>
          <w:sz w:val="22"/>
          <w:szCs w:val="22"/>
        </w:rPr>
        <w:t xml:space="preserve">o., </w:t>
      </w:r>
      <w:r>
        <w:rPr>
          <w:bCs/>
          <w:sz w:val="22"/>
          <w:szCs w:val="22"/>
        </w:rPr>
        <w:t>Thámova 402/4, 186 00 Praha 8, Česká republika</w:t>
      </w:r>
      <w:r w:rsidRPr="00D16F2E">
        <w:rPr>
          <w:sz w:val="22"/>
          <w:szCs w:val="22"/>
          <w:shd w:val="clear" w:color="auto" w:fill="FFFFFF"/>
        </w:rPr>
        <w:t>, člen skupiny LightHouse International Inc., 1st. Canadian Place, Ontario M5X 1B5, Kanada</w:t>
      </w:r>
      <w:r w:rsidRPr="00D16F2E">
        <w:rPr>
          <w:sz w:val="22"/>
          <w:szCs w:val="22"/>
        </w:rPr>
        <w:t>.</w:t>
      </w:r>
    </w:p>
    <w:p w:rsidR="00F1539B" w:rsidRPr="00D16F2E" w:rsidRDefault="00F1539B" w:rsidP="00F1539B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D16F2E">
        <w:rPr>
          <w:sz w:val="22"/>
          <w:szCs w:val="22"/>
        </w:rPr>
        <w:t xml:space="preserve">Člen Kanadskej obchodnej </w:t>
      </w:r>
      <w:r>
        <w:rPr>
          <w:sz w:val="22"/>
          <w:szCs w:val="22"/>
        </w:rPr>
        <w:t>komory</w:t>
      </w:r>
      <w:r w:rsidRPr="00D16F2E">
        <w:rPr>
          <w:sz w:val="22"/>
          <w:szCs w:val="22"/>
        </w:rPr>
        <w:t>.</w:t>
      </w:r>
    </w:p>
    <w:p w:rsidR="00F1539B" w:rsidRPr="003C579A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1539B" w:rsidRPr="0077531A" w:rsidRDefault="00F1539B" w:rsidP="00F1539B">
      <w:pPr>
        <w:pStyle w:val="Zkladntext3"/>
        <w:tabs>
          <w:tab w:val="left" w:pos="2268"/>
          <w:tab w:val="left" w:pos="2552"/>
        </w:tabs>
        <w:spacing w:before="0" w:line="240" w:lineRule="auto"/>
        <w:ind w:left="2552" w:hanging="2552"/>
        <w:rPr>
          <w:b/>
          <w:sz w:val="22"/>
          <w:szCs w:val="22"/>
          <w:lang w:val="sk-SK"/>
        </w:rPr>
      </w:pPr>
      <w:r w:rsidRPr="0077531A">
        <w:rPr>
          <w:b/>
          <w:sz w:val="22"/>
          <w:szCs w:val="22"/>
        </w:rPr>
        <w:t>Veľkosť balenia:</w:t>
      </w:r>
    </w:p>
    <w:p w:rsidR="00F1539B" w:rsidRPr="00D16F2E" w:rsidRDefault="00F1539B" w:rsidP="00F1539B">
      <w:pPr>
        <w:pStyle w:val="Zkladntext3"/>
        <w:tabs>
          <w:tab w:val="left" w:pos="2268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  <w:lang w:val="sk-SK"/>
        </w:rPr>
        <w:t>90 tabliet</w:t>
      </w:r>
    </w:p>
    <w:p w:rsidR="00F1539B" w:rsidRPr="003C579A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1539B" w:rsidRPr="0077531A" w:rsidRDefault="00F1539B" w:rsidP="00F1539B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77531A">
        <w:rPr>
          <w:b/>
          <w:sz w:val="22"/>
          <w:szCs w:val="22"/>
        </w:rPr>
        <w:t>Spôsob uchovávania:</w:t>
      </w:r>
      <w:r w:rsidRPr="0077531A">
        <w:rPr>
          <w:b/>
          <w:sz w:val="22"/>
          <w:szCs w:val="22"/>
        </w:rPr>
        <w:tab/>
      </w:r>
    </w:p>
    <w:p w:rsidR="00F1539B" w:rsidRPr="00D16F2E" w:rsidRDefault="00F1539B" w:rsidP="00F1539B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Uchovávajte uzavreté v suchu pri teplote 15 – 30°C. Chráňte pred mrazom! Uchovávajte</w:t>
      </w:r>
      <w:r w:rsidRPr="00D16F2E">
        <w:rPr>
          <w:sz w:val="22"/>
          <w:szCs w:val="22"/>
        </w:rPr>
        <w:t xml:space="preserve"> mimo dohľadu a dosahu detí.</w:t>
      </w:r>
    </w:p>
    <w:p w:rsidR="00F1539B" w:rsidRPr="00D42052" w:rsidRDefault="00F1539B" w:rsidP="00F1539B">
      <w:pPr>
        <w:pStyle w:val="Zkladntext3"/>
        <w:tabs>
          <w:tab w:val="left" w:pos="2268"/>
          <w:tab w:val="left" w:pos="2552"/>
        </w:tabs>
        <w:spacing w:before="0" w:line="240" w:lineRule="auto"/>
        <w:ind w:left="2552" w:hanging="2552"/>
        <w:rPr>
          <w:sz w:val="10"/>
          <w:szCs w:val="10"/>
          <w:lang w:eastAsia="sk-SK"/>
        </w:rPr>
      </w:pPr>
    </w:p>
    <w:p w:rsidR="00F1539B" w:rsidRPr="0077531A" w:rsidRDefault="00F1539B" w:rsidP="00F1539B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b/>
          <w:szCs w:val="22"/>
          <w:lang w:eastAsia="sk-SK"/>
        </w:rPr>
      </w:pPr>
      <w:r w:rsidRPr="0077531A">
        <w:rPr>
          <w:b/>
          <w:szCs w:val="22"/>
          <w:lang w:eastAsia="sk-SK"/>
        </w:rPr>
        <w:t>Označenie:</w:t>
      </w:r>
    </w:p>
    <w:p w:rsidR="00F1539B" w:rsidRPr="00E9387F" w:rsidRDefault="00F1539B" w:rsidP="00F1539B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b/>
          <w:szCs w:val="22"/>
          <w:lang w:eastAsia="sk-SK"/>
        </w:rPr>
      </w:pPr>
      <w:r w:rsidRPr="00E9387F">
        <w:rPr>
          <w:b/>
          <w:szCs w:val="22"/>
          <w:lang w:eastAsia="sk-SK"/>
        </w:rPr>
        <w:t xml:space="preserve">Len pre zvieratá! </w:t>
      </w:r>
    </w:p>
    <w:p w:rsidR="00F1539B" w:rsidRPr="003C579A" w:rsidRDefault="00F1539B" w:rsidP="00F1539B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1539B" w:rsidRPr="00D16F2E" w:rsidRDefault="00F1539B" w:rsidP="00F1539B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D16F2E">
        <w:rPr>
          <w:szCs w:val="22"/>
          <w:lang w:eastAsia="sk-SK"/>
        </w:rPr>
        <w:t>Upozornenie na spôsob nakladania a zneškodnenia nepoužitého veterinárneho prípravku a obalu:</w:t>
      </w:r>
    </w:p>
    <w:p w:rsidR="00F1539B" w:rsidRPr="00D16F2E" w:rsidRDefault="00F1539B" w:rsidP="00F1539B">
      <w:pPr>
        <w:pStyle w:val="Zkladntext2"/>
        <w:tabs>
          <w:tab w:val="left" w:pos="0"/>
          <w:tab w:val="left" w:pos="2268"/>
        </w:tabs>
        <w:jc w:val="both"/>
        <w:rPr>
          <w:szCs w:val="22"/>
          <w:lang w:eastAsia="sk-SK"/>
        </w:rPr>
      </w:pPr>
      <w:r w:rsidRPr="00D16F2E">
        <w:rPr>
          <w:szCs w:val="22"/>
          <w:lang w:eastAsia="sk-SK"/>
        </w:rPr>
        <w:t>Nepoužité a nespotrebované veterinárne prípravky a ich obaly sa likvidujú v zmysle platných právnych predpisov.</w:t>
      </w:r>
    </w:p>
    <w:p w:rsidR="00F1539B" w:rsidRPr="003C579A" w:rsidRDefault="00F1539B" w:rsidP="00F1539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1539B" w:rsidRPr="0077531A" w:rsidRDefault="00F1539B" w:rsidP="00F1539B">
      <w:pPr>
        <w:pStyle w:val="Zkladntext2"/>
        <w:tabs>
          <w:tab w:val="left" w:pos="2700"/>
        </w:tabs>
        <w:rPr>
          <w:b/>
          <w:szCs w:val="22"/>
          <w:lang w:eastAsia="sk-SK"/>
        </w:rPr>
      </w:pPr>
      <w:r w:rsidRPr="0077531A">
        <w:rPr>
          <w:b/>
          <w:szCs w:val="22"/>
          <w:lang w:eastAsia="sk-SK"/>
        </w:rPr>
        <w:t>Bez predpisu veterinárneho lekára.</w:t>
      </w:r>
    </w:p>
    <w:p w:rsidR="00F1539B" w:rsidRDefault="00F1539B" w:rsidP="00F1539B">
      <w:pPr>
        <w:pStyle w:val="Zkladntext2"/>
        <w:tabs>
          <w:tab w:val="left" w:pos="2700"/>
        </w:tabs>
        <w:jc w:val="both"/>
        <w:rPr>
          <w:sz w:val="10"/>
          <w:szCs w:val="10"/>
          <w:lang w:eastAsia="sk-SK"/>
        </w:rPr>
      </w:pPr>
    </w:p>
    <w:p w:rsidR="00F1539B" w:rsidRPr="003C579A" w:rsidRDefault="00F1539B" w:rsidP="00F1539B">
      <w:pPr>
        <w:pStyle w:val="Zkladntext2"/>
        <w:tabs>
          <w:tab w:val="left" w:pos="2700"/>
        </w:tabs>
        <w:jc w:val="both"/>
        <w:rPr>
          <w:sz w:val="10"/>
          <w:szCs w:val="10"/>
          <w:lang w:eastAsia="sk-SK"/>
        </w:rPr>
      </w:pPr>
    </w:p>
    <w:p w:rsidR="00F1539B" w:rsidRPr="00D16F2E" w:rsidRDefault="00F1539B" w:rsidP="00F1539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16F2E">
        <w:rPr>
          <w:sz w:val="22"/>
          <w:szCs w:val="22"/>
        </w:rPr>
        <w:t xml:space="preserve">Veterinárny prípravok je schválený ÚŠKVBL pod číslom </w:t>
      </w:r>
      <w:r>
        <w:rPr>
          <w:sz w:val="22"/>
          <w:szCs w:val="22"/>
        </w:rPr>
        <w:t>134/R/21-S</w:t>
      </w:r>
    </w:p>
    <w:p w:rsidR="00F1539B" w:rsidRPr="00D16F2E" w:rsidRDefault="00F1539B" w:rsidP="00F1539B">
      <w:pPr>
        <w:rPr>
          <w:sz w:val="22"/>
          <w:szCs w:val="22"/>
        </w:rPr>
      </w:pPr>
    </w:p>
    <w:p w:rsidR="00F1539B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LOT</w:t>
      </w:r>
    </w:p>
    <w:p w:rsidR="00F1539B" w:rsidRPr="00D16F2E" w:rsidRDefault="00F1539B" w:rsidP="00F1539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EXP</w:t>
      </w:r>
    </w:p>
    <w:p w:rsidR="007E4308" w:rsidRDefault="007E4308"/>
    <w:sectPr w:rsidR="007E4308" w:rsidSect="00E2368B"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9B" w:rsidRDefault="00F1539B" w:rsidP="00F1539B">
      <w:r>
        <w:separator/>
      </w:r>
    </w:p>
  </w:endnote>
  <w:endnote w:type="continuationSeparator" w:id="0">
    <w:p w:rsidR="00F1539B" w:rsidRDefault="00F1539B" w:rsidP="00F1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B9F" w:rsidRPr="00006A5C" w:rsidRDefault="00F1539B" w:rsidP="00006A5C">
    <w:pPr>
      <w:pStyle w:val="Pta"/>
      <w:jc w:val="right"/>
      <w:rPr>
        <w:sz w:val="18"/>
        <w:szCs w:val="18"/>
      </w:rPr>
    </w:pPr>
    <w:r w:rsidRPr="00006A5C">
      <w:rPr>
        <w:sz w:val="18"/>
        <w:szCs w:val="18"/>
      </w:rPr>
      <w:t xml:space="preserve">Strana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PAGE 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06A5C">
      <w:rPr>
        <w:sz w:val="18"/>
        <w:szCs w:val="18"/>
      </w:rPr>
      <w:fldChar w:fldCharType="end"/>
    </w:r>
    <w:r w:rsidRPr="00006A5C">
      <w:rPr>
        <w:sz w:val="18"/>
        <w:szCs w:val="18"/>
      </w:rPr>
      <w:t xml:space="preserve"> z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NUMPAGES 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06A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9B" w:rsidRDefault="00F1539B" w:rsidP="00F1539B">
      <w:r>
        <w:separator/>
      </w:r>
    </w:p>
  </w:footnote>
  <w:footnote w:type="continuationSeparator" w:id="0">
    <w:p w:rsidR="00F1539B" w:rsidRDefault="00F1539B" w:rsidP="00F1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77CE"/>
    <w:multiLevelType w:val="hybridMultilevel"/>
    <w:tmpl w:val="BDD88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63381"/>
    <w:multiLevelType w:val="hybridMultilevel"/>
    <w:tmpl w:val="2416D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77"/>
    <w:rsid w:val="00533C77"/>
    <w:rsid w:val="007E4308"/>
    <w:rsid w:val="00F1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F1539B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F1539B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F1539B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F1539B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F1539B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F153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53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153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53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15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F1539B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F1539B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F1539B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F1539B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F1539B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F153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53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153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53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15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2022-07-22T06:52:00Z</dcterms:created>
  <dcterms:modified xsi:type="dcterms:W3CDTF">2022-07-22T06:52:00Z</dcterms:modified>
</cp:coreProperties>
</file>