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D3" w:rsidRDefault="006F5FD3" w:rsidP="006F5FD3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6F5FD3" w:rsidRDefault="006F5FD3" w:rsidP="006F5FD3"/>
    <w:p w:rsidR="006F5FD3" w:rsidRDefault="006F5FD3" w:rsidP="006F5FD3">
      <w:pPr>
        <w:ind w:left="0" w:firstLine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6F5FD3" w:rsidRDefault="006F5FD3" w:rsidP="006F5FD3"/>
    <w:p w:rsidR="006F5FD3" w:rsidRDefault="006F5FD3" w:rsidP="006F5FD3">
      <w:r>
        <w:t>API-Bioxal 62 mg/ml,  roztok na použitie v úli</w:t>
      </w:r>
    </w:p>
    <w:p w:rsidR="006F5FD3" w:rsidRDefault="006F5FD3" w:rsidP="006F5FD3">
      <w:pPr>
        <w:ind w:left="0" w:firstLine="0"/>
      </w:pPr>
    </w:p>
    <w:p w:rsidR="006F5FD3" w:rsidRDefault="006F5FD3" w:rsidP="006F5FD3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6F5FD3" w:rsidRDefault="006F5FD3" w:rsidP="006F5FD3"/>
    <w:p w:rsidR="006F5FD3" w:rsidRDefault="006F5FD3" w:rsidP="006F5FD3">
      <w:pPr>
        <w:ind w:left="0" w:firstLine="0"/>
      </w:pPr>
      <w:r>
        <w:t>Každý ml obsahuje:</w:t>
      </w:r>
    </w:p>
    <w:p w:rsidR="006F5FD3" w:rsidRPr="007B2662" w:rsidRDefault="006F5FD3" w:rsidP="006F5FD3">
      <w:pPr>
        <w:ind w:left="0" w:firstLine="0"/>
        <w:rPr>
          <w:b/>
          <w:bCs/>
        </w:rPr>
      </w:pPr>
      <w:r w:rsidRPr="007B2662">
        <w:rPr>
          <w:b/>
          <w:bCs/>
        </w:rPr>
        <w:t>Účinná látka:</w:t>
      </w:r>
    </w:p>
    <w:p w:rsidR="006F5FD3" w:rsidRDefault="006F5FD3" w:rsidP="006F5FD3">
      <w:pPr>
        <w:ind w:left="0" w:firstLine="0"/>
      </w:pPr>
      <w:r>
        <w:t>Dihydrát kyseliny šťaveľovej 62,0 mg (zodpovedá 44,2 mg kyseliny šťaveľovej)</w:t>
      </w:r>
    </w:p>
    <w:p w:rsidR="006F5FD3" w:rsidRDefault="006F5FD3" w:rsidP="006F5FD3">
      <w:pPr>
        <w:ind w:left="0" w:firstLine="0"/>
      </w:pPr>
    </w:p>
    <w:p w:rsidR="006F5FD3" w:rsidRDefault="006F5FD3" w:rsidP="006F5FD3">
      <w:r>
        <w:rPr>
          <w:b/>
        </w:rPr>
        <w:t>Pomocné látky:</w:t>
      </w:r>
    </w:p>
    <w:p w:rsidR="006F5FD3" w:rsidRDefault="006F5FD3" w:rsidP="006F5FD3">
      <w:r>
        <w:t>Úplný zoznam pomocných látok je uvedený v časti 6.1.</w:t>
      </w:r>
    </w:p>
    <w:p w:rsidR="006F5FD3" w:rsidRDefault="006F5FD3" w:rsidP="006F5FD3"/>
    <w:p w:rsidR="006F5FD3" w:rsidRDefault="006F5FD3" w:rsidP="006F5FD3">
      <w:r>
        <w:rPr>
          <w:b/>
        </w:rPr>
        <w:t>3.</w:t>
      </w:r>
      <w:r>
        <w:rPr>
          <w:b/>
        </w:rPr>
        <w:tab/>
        <w:t>LIEKOVÁ FORMA</w:t>
      </w:r>
    </w:p>
    <w:p w:rsidR="006F5FD3" w:rsidRDefault="006F5FD3" w:rsidP="006F5FD3"/>
    <w:p w:rsidR="006F5FD3" w:rsidRDefault="006F5FD3" w:rsidP="006F5FD3">
      <w:r>
        <w:t>Roztok na použitie v úli.</w:t>
      </w:r>
    </w:p>
    <w:p w:rsidR="006F5FD3" w:rsidRDefault="006F5FD3" w:rsidP="006F5FD3">
      <w:r>
        <w:t>Číra, bezfarebná až svetlo žltá kvapalina.</w:t>
      </w:r>
    </w:p>
    <w:p w:rsidR="006F5FD3" w:rsidRDefault="006F5FD3" w:rsidP="006F5FD3"/>
    <w:p w:rsidR="006F5FD3" w:rsidRDefault="006F5FD3" w:rsidP="006F5FD3">
      <w:r>
        <w:rPr>
          <w:b/>
        </w:rPr>
        <w:t>4.</w:t>
      </w:r>
      <w:r>
        <w:rPr>
          <w:b/>
        </w:rPr>
        <w:tab/>
        <w:t>KLINICKÉ   ÚDAJE</w:t>
      </w:r>
    </w:p>
    <w:p w:rsidR="006F5FD3" w:rsidRDefault="006F5FD3" w:rsidP="006F5FD3"/>
    <w:p w:rsidR="006F5FD3" w:rsidRDefault="006F5FD3" w:rsidP="006F5FD3">
      <w:r>
        <w:rPr>
          <w:b/>
        </w:rPr>
        <w:t>4.1</w:t>
      </w:r>
      <w:r>
        <w:rPr>
          <w:b/>
        </w:rPr>
        <w:tab/>
        <w:t>Cieľové druhy</w:t>
      </w:r>
    </w:p>
    <w:p w:rsidR="006F5FD3" w:rsidRDefault="006F5FD3" w:rsidP="006F5FD3"/>
    <w:p w:rsidR="006F5FD3" w:rsidRDefault="006F5FD3" w:rsidP="006F5FD3">
      <w:r>
        <w:t>Včela medonosná (</w:t>
      </w:r>
      <w:r>
        <w:rPr>
          <w:i/>
          <w:iCs/>
        </w:rPr>
        <w:t>Apis mellifera</w:t>
      </w:r>
      <w:r>
        <w:t>).</w:t>
      </w:r>
    </w:p>
    <w:p w:rsidR="006F5FD3" w:rsidRDefault="006F5FD3" w:rsidP="006F5FD3"/>
    <w:p w:rsidR="006F5FD3" w:rsidRDefault="006F5FD3" w:rsidP="006F5FD3"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6F5FD3" w:rsidRDefault="006F5FD3" w:rsidP="006F5FD3"/>
    <w:p w:rsidR="006F5FD3" w:rsidRDefault="006F5FD3" w:rsidP="006F5FD3">
      <w:pPr>
        <w:rPr>
          <w:szCs w:val="22"/>
        </w:rPr>
      </w:pPr>
      <w:r>
        <w:rPr>
          <w:szCs w:val="22"/>
        </w:rPr>
        <w:t xml:space="preserve">Liečba klieštikovitosti spôsobenej </w:t>
      </w:r>
      <w:r w:rsidRPr="007B2662">
        <w:rPr>
          <w:i/>
          <w:iCs/>
          <w:szCs w:val="22"/>
        </w:rPr>
        <w:t>Varroa destructor</w:t>
      </w:r>
      <w:r>
        <w:rPr>
          <w:szCs w:val="22"/>
        </w:rPr>
        <w:t xml:space="preserve"> u včiel medonosných (</w:t>
      </w:r>
      <w:r w:rsidRPr="007B2662">
        <w:rPr>
          <w:i/>
          <w:iCs/>
          <w:szCs w:val="22"/>
        </w:rPr>
        <w:t>Apis mellifera</w:t>
      </w:r>
      <w:r>
        <w:rPr>
          <w:szCs w:val="22"/>
        </w:rPr>
        <w:t>).</w:t>
      </w:r>
    </w:p>
    <w:p w:rsidR="006F5FD3" w:rsidRDefault="006F5FD3" w:rsidP="006F5FD3">
      <w:pPr>
        <w:rPr>
          <w:szCs w:val="22"/>
        </w:rPr>
      </w:pPr>
    </w:p>
    <w:p w:rsidR="006F5FD3" w:rsidRDefault="006F5FD3" w:rsidP="006F5FD3">
      <w:r>
        <w:rPr>
          <w:b/>
        </w:rPr>
        <w:t>4.3</w:t>
      </w:r>
      <w:r>
        <w:rPr>
          <w:b/>
        </w:rPr>
        <w:tab/>
        <w:t>Kontraindikácie</w:t>
      </w:r>
    </w:p>
    <w:p w:rsidR="006F5FD3" w:rsidRDefault="006F5FD3" w:rsidP="006F5FD3"/>
    <w:p w:rsidR="006F5FD3" w:rsidRDefault="006F5FD3" w:rsidP="006F5FD3">
      <w:r>
        <w:t>Nie sú.</w:t>
      </w:r>
    </w:p>
    <w:p w:rsidR="006F5FD3" w:rsidRDefault="006F5FD3" w:rsidP="006F5FD3"/>
    <w:p w:rsidR="006F5FD3" w:rsidRDefault="006F5FD3" w:rsidP="006F5FD3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6F5FD3" w:rsidRDefault="006F5FD3" w:rsidP="006F5FD3"/>
    <w:p w:rsidR="006F5FD3" w:rsidRPr="007B2662" w:rsidRDefault="006F5FD3" w:rsidP="006F5FD3">
      <w:pPr>
        <w:ind w:left="0" w:firstLine="0"/>
        <w:jc w:val="both"/>
        <w:rPr>
          <w:bCs/>
          <w:szCs w:val="22"/>
        </w:rPr>
      </w:pPr>
      <w:r w:rsidRPr="00E21667">
        <w:t xml:space="preserve">Účinnosť </w:t>
      </w:r>
      <w:r>
        <w:t>lieku sa</w:t>
      </w:r>
      <w:r w:rsidRPr="00E21667">
        <w:t xml:space="preserve"> významne znižuje </w:t>
      </w:r>
      <w:r>
        <w:t xml:space="preserve">za </w:t>
      </w:r>
      <w:r w:rsidRPr="00E21667">
        <w:t>prítomnos</w:t>
      </w:r>
      <w:r>
        <w:t>ti</w:t>
      </w:r>
      <w:r w:rsidRPr="00E21667">
        <w:t xml:space="preserve"> plodu. Používanie </w:t>
      </w:r>
      <w:r>
        <w:t>lieku</w:t>
      </w:r>
      <w:r w:rsidRPr="00E21667">
        <w:t xml:space="preserve"> by sa malo obmedziť na </w:t>
      </w:r>
      <w:r>
        <w:t xml:space="preserve">včelstvá </w:t>
      </w:r>
      <w:r w:rsidRPr="00E21667">
        <w:t>bez alebo len s malým množstvom plodu. Ošetrenie by sa preto malo prednostne vykonávať v zime alebo keď sú matky obmedzené v plodovaní  klietkou /izolátorom. Pri letnom ošetrení sa dosiahla naj</w:t>
      </w:r>
      <w:r>
        <w:t>vyššia</w:t>
      </w:r>
      <w:r w:rsidRPr="00E21667">
        <w:t xml:space="preserve"> účinnosť, keď obdobie obmedzenia po umiestnení matky do klietky/izolátora bolo najmenej 25 dní a kolónie ostali bez plodu. Správnu účinnosť je možné dosiahnuť </w:t>
      </w:r>
      <w:r>
        <w:t xml:space="preserve">pri </w:t>
      </w:r>
      <w:r w:rsidRPr="00E21667">
        <w:t>miern</w:t>
      </w:r>
      <w:r>
        <w:t>om</w:t>
      </w:r>
      <w:r w:rsidRPr="00E21667">
        <w:t xml:space="preserve"> alebo stredn</w:t>
      </w:r>
      <w:r>
        <w:t>om</w:t>
      </w:r>
      <w:r w:rsidRPr="00E21667">
        <w:t xml:space="preserve"> napadnut</w:t>
      </w:r>
      <w:r>
        <w:t>í</w:t>
      </w:r>
      <w:r w:rsidRPr="00E21667">
        <w:t xml:space="preserve">. Napriek správnej liečbe nemusia vážne poškodené kolónie prežiť v dôsledku napadnutia klieštikom. Používanie </w:t>
      </w:r>
      <w:r>
        <w:t>lieku</w:t>
      </w:r>
      <w:r w:rsidRPr="00E21667">
        <w:t xml:space="preserve"> sa odporúča ako súčasť programu integrovanej ochrany proti škodcom s pravidelným monitorovaním spádu roztočov</w:t>
      </w:r>
      <w:r w:rsidRPr="00E21667">
        <w:rPr>
          <w:bCs/>
          <w:szCs w:val="22"/>
        </w:rPr>
        <w:t xml:space="preserve"> </w:t>
      </w:r>
      <w:r w:rsidRPr="00E21667">
        <w:t>(pozri časť 4.9).</w:t>
      </w:r>
    </w:p>
    <w:p w:rsidR="006F5FD3" w:rsidRDefault="006F5FD3" w:rsidP="006F5FD3"/>
    <w:p w:rsidR="006F5FD3" w:rsidRDefault="006F5FD3" w:rsidP="006F5FD3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6F5FD3" w:rsidRDefault="006F5FD3" w:rsidP="006F5FD3"/>
    <w:p w:rsidR="006F5FD3" w:rsidRDefault="006F5FD3" w:rsidP="006F5FD3">
      <w:pPr>
        <w:rPr>
          <w:u w:val="single"/>
        </w:rPr>
      </w:pPr>
      <w:r>
        <w:rPr>
          <w:u w:val="single"/>
        </w:rPr>
        <w:t>Osobitné bezpečnostné opatrenia na používanie u zvierat</w:t>
      </w:r>
    </w:p>
    <w:p w:rsidR="006F5FD3" w:rsidRDefault="006F5FD3" w:rsidP="00973625">
      <w:pPr>
        <w:ind w:left="0" w:firstLine="0"/>
        <w:jc w:val="both"/>
      </w:pPr>
      <w:r>
        <w:t>Neprekračujte odporúčanú dávku. Opakované podávanie môže viesť k vážnemu ohrozeniu včelstiev.</w:t>
      </w:r>
    </w:p>
    <w:p w:rsidR="006F5FD3" w:rsidRDefault="006F5FD3" w:rsidP="00973625">
      <w:pPr>
        <w:ind w:left="0" w:firstLine="0"/>
        <w:jc w:val="both"/>
      </w:pPr>
      <w:r>
        <w:t xml:space="preserve">Všetky včelstvá na jednom stanovisku alebo včelíne by sa mali ošetrovať súčasne, aby sa zabránilo opätovnému zamoreniu. </w:t>
      </w:r>
      <w:r>
        <w:rPr>
          <w:szCs w:val="22"/>
        </w:rPr>
        <w:t>Niekoľko dní po ošetrení sa v</w:t>
      </w:r>
      <w:r w:rsidRPr="00512698">
        <w:rPr>
          <w:szCs w:val="22"/>
        </w:rPr>
        <w:t>yhnite</w:t>
      </w:r>
      <w:r>
        <w:rPr>
          <w:szCs w:val="22"/>
        </w:rPr>
        <w:t xml:space="preserve"> </w:t>
      </w:r>
      <w:r w:rsidRPr="00512698">
        <w:rPr>
          <w:szCs w:val="22"/>
        </w:rPr>
        <w:t xml:space="preserve">vyrušovaniu </w:t>
      </w:r>
      <w:r>
        <w:rPr>
          <w:szCs w:val="22"/>
        </w:rPr>
        <w:t>včelstiev.</w:t>
      </w:r>
    </w:p>
    <w:p w:rsidR="006F5FD3" w:rsidRDefault="006F5FD3" w:rsidP="00973625">
      <w:pPr>
        <w:ind w:left="0" w:firstLine="0"/>
        <w:jc w:val="both"/>
      </w:pPr>
      <w:r>
        <w:t xml:space="preserve">Počas liečby zabráňte usadeniu zvyškov lieku na rámikoch, ktoré sa budú používať na produkciu medu. </w:t>
      </w:r>
    </w:p>
    <w:p w:rsidR="006F5FD3" w:rsidRDefault="006F5FD3" w:rsidP="006F5FD3">
      <w:pPr>
        <w:ind w:left="0" w:firstLine="0"/>
      </w:pPr>
    </w:p>
    <w:p w:rsidR="00B16B9A" w:rsidRDefault="006F5FD3" w:rsidP="00B16B9A">
      <w:pPr>
        <w:rPr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:rsidR="006F5FD3" w:rsidRPr="00B16B9A" w:rsidRDefault="006F5FD3" w:rsidP="00B16B9A">
      <w:pPr>
        <w:rPr>
          <w:u w:val="single"/>
        </w:rPr>
      </w:pPr>
      <w:r>
        <w:lastRenderedPageBreak/>
        <w:t>Roztok je kyselina, mohol by spôsobiť vážne podráždenie pokožky, očí a dýchacích ciest.</w:t>
      </w:r>
    </w:p>
    <w:p w:rsidR="006F5FD3" w:rsidRDefault="006F5FD3" w:rsidP="006F5FD3">
      <w:pPr>
        <w:jc w:val="both"/>
      </w:pPr>
      <w:r>
        <w:t>Je potrebné vyhnúť sa priamemu kontaktu s pokožkou a očami alebo vdýchnutiu.</w:t>
      </w:r>
    </w:p>
    <w:p w:rsidR="006F5FD3" w:rsidRDefault="006F5FD3" w:rsidP="006F5FD3">
      <w:pPr>
        <w:ind w:left="0" w:firstLine="0"/>
        <w:jc w:val="both"/>
      </w:pPr>
      <w:r>
        <w:t>Pri manipulácii s roztokom (počas prípravy a aplikácie) noste ochrannú masku vyhovujúcu európskej norme EN149 (typ FFP2), rukavice odolné voči kyselinám a ochranné okuliare. Po aplikácii si umyte ruky a materiál, ktorý bol v kontakte s produktom, mydlom a vodou.</w:t>
      </w:r>
    </w:p>
    <w:p w:rsidR="006F5FD3" w:rsidRDefault="006F5FD3" w:rsidP="006F5FD3">
      <w:pPr>
        <w:ind w:left="0" w:firstLine="0"/>
        <w:jc w:val="both"/>
      </w:pPr>
      <w:r>
        <w:t>V prípade kontaktu s pokožkou, postihnuté miesto dôkladne umyte mydlom a vodou.</w:t>
      </w:r>
    </w:p>
    <w:p w:rsidR="006F5FD3" w:rsidRDefault="006F5FD3" w:rsidP="006F5FD3">
      <w:pPr>
        <w:ind w:left="0" w:firstLine="0"/>
        <w:jc w:val="both"/>
      </w:pPr>
      <w:r>
        <w:t>V prípade kontaktu s očami ich dôkladne vymyte veľkým množstvom čistej tečúcej vody a vyhľadajte lekársku pomoc.</w:t>
      </w:r>
    </w:p>
    <w:p w:rsidR="006F5FD3" w:rsidRDefault="006F5FD3" w:rsidP="006F5FD3">
      <w:pPr>
        <w:ind w:left="0" w:firstLine="0"/>
        <w:jc w:val="both"/>
      </w:pPr>
      <w:r>
        <w:t xml:space="preserve">Nevdychujte. V prípade náhodného vdýchnutia sa nadýchajte čerstvého vzduchu. </w:t>
      </w:r>
      <w:r>
        <w:rPr>
          <w:szCs w:val="22"/>
          <w:lang w:eastAsia="en-US"/>
        </w:rPr>
        <w:t>V prípade ťažkostí s dýchaním</w:t>
      </w:r>
      <w:r>
        <w:t>, okamžite vyhľadajte lekársku pomoc a ukážte obal lekárovi.</w:t>
      </w:r>
    </w:p>
    <w:p w:rsidR="006F5FD3" w:rsidRDefault="006F5FD3" w:rsidP="006F5FD3">
      <w:pPr>
        <w:ind w:left="0" w:firstLine="0"/>
        <w:jc w:val="both"/>
      </w:pPr>
      <w:r>
        <w:t xml:space="preserve">V prípade požitia nevyvolávajte vracanie a vyhľadajte lekársku pomoc a ukážte lekárovi toto upozornenie. </w:t>
      </w:r>
    </w:p>
    <w:p w:rsidR="006F5FD3" w:rsidRDefault="006F5FD3" w:rsidP="006F5FD3">
      <w:pPr>
        <w:jc w:val="both"/>
      </w:pPr>
      <w:r>
        <w:t>Pri manipulácii s liekom nejedzte, nepite ani nefajčite!</w:t>
      </w:r>
    </w:p>
    <w:p w:rsidR="006F5FD3" w:rsidRDefault="006F5FD3" w:rsidP="006F5FD3"/>
    <w:p w:rsidR="006F5FD3" w:rsidRDefault="006F5FD3" w:rsidP="006F5FD3">
      <w:pPr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6F5FD3" w:rsidRDefault="006F5FD3" w:rsidP="006F5FD3"/>
    <w:p w:rsidR="006F5FD3" w:rsidRDefault="006F5FD3" w:rsidP="006F5FD3">
      <w:r>
        <w:t>Ošetrenie môže mierne rozrušiť včelstvo.</w:t>
      </w:r>
    </w:p>
    <w:p w:rsidR="006F5FD3" w:rsidRDefault="006F5FD3" w:rsidP="006F5FD3">
      <w:r>
        <w:t>Po ošetrení liekom možno pozorovať zvýšenú mortalitu dospelých včiel.</w:t>
      </w:r>
    </w:p>
    <w:p w:rsidR="006F5FD3" w:rsidRDefault="006F5FD3" w:rsidP="006F5FD3"/>
    <w:p w:rsidR="006F5FD3" w:rsidRDefault="006F5FD3" w:rsidP="006F5FD3"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6F5FD3" w:rsidRDefault="006F5FD3" w:rsidP="006F5FD3">
      <w:pPr>
        <w:ind w:left="0" w:firstLine="0"/>
      </w:pPr>
    </w:p>
    <w:p w:rsidR="006F5FD3" w:rsidRDefault="006F5FD3" w:rsidP="006F5FD3">
      <w:pPr>
        <w:ind w:left="0" w:firstLine="0"/>
      </w:pPr>
      <w:r>
        <w:t>Neuplatňuje sa.</w:t>
      </w:r>
    </w:p>
    <w:p w:rsidR="006F5FD3" w:rsidRDefault="006F5FD3" w:rsidP="006F5FD3">
      <w:pPr>
        <w:ind w:left="0" w:firstLine="0"/>
      </w:pPr>
    </w:p>
    <w:p w:rsidR="006F5FD3" w:rsidRDefault="006F5FD3" w:rsidP="006F5FD3"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6F5FD3" w:rsidRDefault="006F5FD3" w:rsidP="006F5FD3"/>
    <w:p w:rsidR="006F5FD3" w:rsidRDefault="006F5FD3" w:rsidP="006F5FD3">
      <w:r>
        <w:t>Nepoužívajte súčasne s inými akaricídmi.</w:t>
      </w:r>
    </w:p>
    <w:p w:rsidR="006F5FD3" w:rsidRDefault="006F5FD3" w:rsidP="006F5FD3"/>
    <w:p w:rsidR="006F5FD3" w:rsidRDefault="006F5FD3" w:rsidP="006F5FD3">
      <w:pPr>
        <w:rPr>
          <w:b/>
        </w:rPr>
      </w:pPr>
      <w:r>
        <w:rPr>
          <w:b/>
        </w:rPr>
        <w:t>4.9</w:t>
      </w:r>
      <w:r>
        <w:rPr>
          <w:b/>
        </w:rPr>
        <w:tab/>
        <w:t>Dávkovanie a spôsob podania lieku </w:t>
      </w:r>
    </w:p>
    <w:p w:rsidR="006F5FD3" w:rsidRDefault="006F5FD3" w:rsidP="006F5FD3"/>
    <w:p w:rsidR="006F5FD3" w:rsidRDefault="006F5FD3" w:rsidP="006F5FD3">
      <w:r>
        <w:t>Na použitie v úli sa musí liek používať nasledovne:</w:t>
      </w:r>
    </w:p>
    <w:p w:rsidR="006F5FD3" w:rsidRDefault="006F5FD3" w:rsidP="006F5FD3"/>
    <w:p w:rsidR="006F5FD3" w:rsidRPr="007B2662" w:rsidRDefault="006F5FD3" w:rsidP="006F5FD3">
      <w:pPr>
        <w:rPr>
          <w:u w:val="single"/>
        </w:rPr>
      </w:pPr>
      <w:r w:rsidRPr="007B2662">
        <w:rPr>
          <w:u w:val="single"/>
        </w:rPr>
        <w:t>Dávkovanie a spôsob podávania kvapkaním:</w:t>
      </w:r>
    </w:p>
    <w:p w:rsidR="006F5FD3" w:rsidRDefault="006F5FD3" w:rsidP="003005BF">
      <w:pPr>
        <w:ind w:left="0" w:firstLine="0"/>
        <w:jc w:val="both"/>
      </w:pPr>
      <w:r>
        <w:t>Otvorte primárny obal v správnej ochrannej maske, rukaviciach a okuliaroch.</w:t>
      </w:r>
    </w:p>
    <w:p w:rsidR="006F5FD3" w:rsidRDefault="006F5FD3" w:rsidP="003005BF">
      <w:pPr>
        <w:ind w:left="0" w:firstLine="0"/>
        <w:jc w:val="both"/>
      </w:pPr>
      <w:r>
        <w:t xml:space="preserve">Liečba sa má vykonať jednorazovo. Požadovaná dávka je 5 ml na uličku (medzera medzi hornými latkami rámikov) obsadenú včelami. Liek sa má nanášať pomocou striekačky </w:t>
      </w:r>
      <w:r w:rsidRPr="00F00A1D">
        <w:rPr>
          <w:szCs w:val="22"/>
          <w:lang w:val="it-IT" w:eastAsia="en-US"/>
        </w:rPr>
        <w:t>pozdĺž každej obsadenej uličky</w:t>
      </w:r>
      <w:r>
        <w:t xml:space="preserve">. Maximálna dávka je 50 ml na úľ. </w:t>
      </w:r>
      <w:r w:rsidRPr="00F00A1D">
        <w:rPr>
          <w:szCs w:val="22"/>
          <w:lang w:val="it-IT" w:eastAsia="en-US"/>
        </w:rPr>
        <w:t xml:space="preserve">Odporúčajú sa </w:t>
      </w:r>
      <w:r>
        <w:rPr>
          <w:szCs w:val="22"/>
          <w:lang w:val="it-IT" w:eastAsia="en-US"/>
        </w:rPr>
        <w:t xml:space="preserve">najviac </w:t>
      </w:r>
      <w:r w:rsidRPr="00F00A1D">
        <w:rPr>
          <w:szCs w:val="22"/>
          <w:lang w:val="it-IT" w:eastAsia="en-US"/>
        </w:rPr>
        <w:t xml:space="preserve">dve </w:t>
      </w:r>
      <w:r>
        <w:rPr>
          <w:szCs w:val="22"/>
          <w:lang w:val="it-IT" w:eastAsia="en-US"/>
        </w:rPr>
        <w:t xml:space="preserve">ošetrenia </w:t>
      </w:r>
      <w:r>
        <w:t>ročne (zimná a/alebo jarno-letná sezóna).</w:t>
      </w:r>
    </w:p>
    <w:p w:rsidR="006F5FD3" w:rsidRDefault="006F5FD3" w:rsidP="006F5FD3"/>
    <w:p w:rsidR="006F5FD3" w:rsidRPr="007B2662" w:rsidRDefault="006F5FD3" w:rsidP="006F5FD3">
      <w:pPr>
        <w:rPr>
          <w:u w:val="single"/>
        </w:rPr>
      </w:pPr>
      <w:r w:rsidRPr="007B2662">
        <w:rPr>
          <w:u w:val="single"/>
        </w:rPr>
        <w:t>Program integrovanej ochrany proti škodcom</w:t>
      </w:r>
    </w:p>
    <w:p w:rsidR="006F5FD3" w:rsidRDefault="006F5FD3" w:rsidP="003005BF">
      <w:pPr>
        <w:ind w:left="0" w:firstLine="0"/>
        <w:jc w:val="both"/>
      </w:pPr>
      <w:r>
        <w:t>Účinnosť sa môže medzi včelstvami líšiť v závislosti od podmienok použitia (prítomnosť plodu, teplota, opätovné napadnutie atď.).</w:t>
      </w:r>
      <w:r w:rsidR="003005BF">
        <w:t xml:space="preserve"> </w:t>
      </w:r>
      <w:r>
        <w:t xml:space="preserve">Liek by sa preto mal používať ako prostriedok na ošetrenie okrem iného v rámci programu integrovanej ochrany proti škodcom </w:t>
      </w:r>
      <w:r>
        <w:rPr>
          <w:bCs/>
          <w:szCs w:val="22"/>
        </w:rPr>
        <w:t>s pravidelným monitoringom výskytu resp. sledovaním spádu kliešti</w:t>
      </w:r>
      <w:r w:rsidRPr="007B2662">
        <w:rPr>
          <w:bCs/>
          <w:szCs w:val="22"/>
        </w:rPr>
        <w:t>ka</w:t>
      </w:r>
      <w:r>
        <w:t>. Nepoužívajte súčasne s inými akaricídmi.</w:t>
      </w:r>
    </w:p>
    <w:p w:rsidR="006F5FD3" w:rsidRDefault="006F5FD3" w:rsidP="006F5FD3"/>
    <w:p w:rsidR="006F5FD3" w:rsidRDefault="006F5FD3" w:rsidP="006F5FD3">
      <w:r>
        <w:rPr>
          <w:b/>
        </w:rPr>
        <w:t>4.10</w:t>
      </w:r>
      <w:r>
        <w:rPr>
          <w:b/>
        </w:rPr>
        <w:tab/>
        <w:t>Predávkovanie (príznaky, núdzové postupy, antidotá), ak sú potrebné</w:t>
      </w:r>
    </w:p>
    <w:p w:rsidR="006F5FD3" w:rsidRDefault="006F5FD3" w:rsidP="006F5FD3"/>
    <w:p w:rsidR="006F5FD3" w:rsidRDefault="006F5FD3" w:rsidP="006F5FD3">
      <w:pPr>
        <w:ind w:left="0" w:firstLine="0"/>
      </w:pPr>
      <w:r>
        <w:t>Signifikantne vyššia mortalita včiel sa pozorovala v  úľoch, ktoré dostali trojnásobné dávky lieku (nakvapkaním). Okrem toho pri predávkovaní môže byť znížená schopnosť prezimovania včelstva, môže byť pozorovaná strata kráľovnej a tiež môže byť ovplyvnený jarný vývoj rodín.</w:t>
      </w:r>
    </w:p>
    <w:p w:rsidR="006F5FD3" w:rsidRDefault="006F5FD3" w:rsidP="006F5FD3"/>
    <w:p w:rsidR="006F5FD3" w:rsidRDefault="006F5FD3" w:rsidP="006F5FD3">
      <w:r>
        <w:rPr>
          <w:b/>
        </w:rPr>
        <w:t>4.11</w:t>
      </w:r>
      <w:r>
        <w:rPr>
          <w:b/>
        </w:rPr>
        <w:tab/>
        <w:t>Ochranná (-é)  lehota (-y)</w:t>
      </w:r>
    </w:p>
    <w:p w:rsidR="006F5FD3" w:rsidRDefault="006F5FD3" w:rsidP="006F5FD3"/>
    <w:p w:rsidR="006F5FD3" w:rsidRPr="00F06FF9" w:rsidRDefault="006F5FD3" w:rsidP="006F5FD3">
      <w:pPr>
        <w:rPr>
          <w:szCs w:val="22"/>
          <w:lang w:eastAsia="en-US"/>
        </w:rPr>
      </w:pPr>
      <w:r w:rsidRPr="00F06FF9">
        <w:rPr>
          <w:szCs w:val="22"/>
          <w:lang w:eastAsia="en-US"/>
        </w:rPr>
        <w:t>Med: Bez ochrannej lehoty</w:t>
      </w:r>
      <w:r>
        <w:rPr>
          <w:szCs w:val="22"/>
          <w:lang w:eastAsia="en-US"/>
        </w:rPr>
        <w:t>.</w:t>
      </w:r>
    </w:p>
    <w:p w:rsidR="006F5FD3" w:rsidRDefault="006F5FD3" w:rsidP="006F5FD3">
      <w:pPr>
        <w:rPr>
          <w:szCs w:val="22"/>
        </w:rPr>
      </w:pPr>
      <w:r w:rsidRPr="00F06FF9">
        <w:rPr>
          <w:szCs w:val="22"/>
          <w:lang w:eastAsia="en-US"/>
        </w:rPr>
        <w:t>Nepoužívať v</w:t>
      </w:r>
      <w:r>
        <w:rPr>
          <w:szCs w:val="22"/>
          <w:lang w:eastAsia="en-US"/>
        </w:rPr>
        <w:t> </w:t>
      </w:r>
      <w:r w:rsidRPr="00F06FF9">
        <w:rPr>
          <w:szCs w:val="22"/>
          <w:lang w:eastAsia="en-US"/>
        </w:rPr>
        <w:t>medníkoch</w:t>
      </w:r>
      <w:r>
        <w:rPr>
          <w:szCs w:val="22"/>
          <w:lang w:eastAsia="en-US"/>
        </w:rPr>
        <w:t xml:space="preserve"> alebo</w:t>
      </w:r>
      <w:r w:rsidR="003005BF">
        <w:rPr>
          <w:szCs w:val="22"/>
          <w:lang w:eastAsia="en-US"/>
        </w:rPr>
        <w:t xml:space="preserve"> </w:t>
      </w:r>
      <w:r w:rsidRPr="00F06FF9">
        <w:rPr>
          <w:szCs w:val="22"/>
          <w:lang w:eastAsia="en-US"/>
        </w:rPr>
        <w:t>počas znášky medu.</w:t>
      </w:r>
    </w:p>
    <w:p w:rsidR="006F5FD3" w:rsidRDefault="006F5FD3" w:rsidP="006F5FD3">
      <w:pPr>
        <w:rPr>
          <w:szCs w:val="22"/>
        </w:rPr>
      </w:pPr>
    </w:p>
    <w:p w:rsidR="006F5FD3" w:rsidRDefault="006F5FD3" w:rsidP="006F5FD3"/>
    <w:p w:rsidR="006F5FD3" w:rsidRDefault="006F5FD3" w:rsidP="006F5FD3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 VLASTNOSTI</w:t>
      </w:r>
    </w:p>
    <w:p w:rsidR="006F5FD3" w:rsidRDefault="006F5FD3" w:rsidP="006F5FD3"/>
    <w:p w:rsidR="006F5FD3" w:rsidRDefault="006F5FD3" w:rsidP="006F5FD3">
      <w:pPr>
        <w:ind w:left="0" w:firstLine="0"/>
      </w:pPr>
      <w:r>
        <w:t xml:space="preserve">Farmakoterapeutická skupina: </w:t>
      </w:r>
      <w:r>
        <w:rPr>
          <w:szCs w:val="22"/>
        </w:rPr>
        <w:t>Ektoparazitiká</w:t>
      </w:r>
      <w:r w:rsidRPr="000F5804">
        <w:rPr>
          <w:szCs w:val="22"/>
        </w:rPr>
        <w:t xml:space="preserve"> na </w:t>
      </w:r>
      <w:r>
        <w:rPr>
          <w:szCs w:val="22"/>
        </w:rPr>
        <w:t>lokálne</w:t>
      </w:r>
      <w:r w:rsidRPr="000F5804">
        <w:rPr>
          <w:szCs w:val="22"/>
        </w:rPr>
        <w:t xml:space="preserve"> použitie, </w:t>
      </w:r>
      <w:r>
        <w:rPr>
          <w:szCs w:val="22"/>
        </w:rPr>
        <w:t>vrátane</w:t>
      </w:r>
      <w:r w:rsidRPr="000F5804">
        <w:rPr>
          <w:szCs w:val="22"/>
        </w:rPr>
        <w:t xml:space="preserve"> insekticíd</w:t>
      </w:r>
      <w:r>
        <w:rPr>
          <w:szCs w:val="22"/>
        </w:rPr>
        <w:t>ov</w:t>
      </w:r>
      <w:r w:rsidRPr="000F5804">
        <w:rPr>
          <w:szCs w:val="22"/>
        </w:rPr>
        <w:t>, organické kyseliny,</w:t>
      </w:r>
      <w:r w:rsidR="003005BF">
        <w:rPr>
          <w:szCs w:val="22"/>
        </w:rPr>
        <w:t xml:space="preserve"> </w:t>
      </w:r>
      <w:r>
        <w:t>kyselina šťaveľová.</w:t>
      </w:r>
    </w:p>
    <w:p w:rsidR="006F5FD3" w:rsidRDefault="006F5FD3" w:rsidP="006F5FD3">
      <w:pPr>
        <w:ind w:left="0" w:firstLine="0"/>
      </w:pPr>
      <w:r>
        <w:t>ATCvet kód: QP53AG03.</w:t>
      </w:r>
    </w:p>
    <w:p w:rsidR="006F5FD3" w:rsidRDefault="006F5FD3" w:rsidP="006F5FD3">
      <w:pPr>
        <w:ind w:left="0" w:firstLine="0"/>
      </w:pPr>
    </w:p>
    <w:p w:rsidR="006F5FD3" w:rsidRDefault="006F5FD3" w:rsidP="006F5FD3">
      <w:pPr>
        <w:rPr>
          <w:b/>
        </w:rPr>
      </w:pPr>
      <w:r>
        <w:rPr>
          <w:b/>
        </w:rPr>
        <w:t>5.1 Farmakodynamické vlastnosti</w:t>
      </w:r>
    </w:p>
    <w:p w:rsidR="006F5FD3" w:rsidRDefault="006F5FD3" w:rsidP="006F5FD3"/>
    <w:p w:rsidR="006F5FD3" w:rsidRDefault="006F5FD3" w:rsidP="003005BF">
      <w:pPr>
        <w:ind w:left="0" w:firstLine="0"/>
        <w:jc w:val="both"/>
      </w:pPr>
      <w:r>
        <w:t>Kyselina šťaveľová je vysoko účinná proti roztočom varroa. Štúdie o spôsobe pôsobenia kyseliny šťaveľovej naznačili, že jej nízke pH významne prispieva k akaricídnemu účinku. Ukázalo sa, že kyselina šťaveľová sa sústreďuje na nohách roztočov a okrajoch exoskeletonu, ale žiadna sa nezistila v zažívacom systéme roztočov. Preto sa predpokladá, že na  roztoče účinkuje kyselina kontaktom cez kyslé pH.</w:t>
      </w:r>
    </w:p>
    <w:p w:rsidR="006F5FD3" w:rsidRDefault="006F5FD3" w:rsidP="006F5FD3"/>
    <w:p w:rsidR="006F5FD3" w:rsidRDefault="006F5FD3" w:rsidP="006F5FD3">
      <w:pPr>
        <w:rPr>
          <w:b/>
        </w:rPr>
      </w:pPr>
      <w:r>
        <w:rPr>
          <w:b/>
        </w:rPr>
        <w:t>5.2 Farmakokinetické údaje</w:t>
      </w:r>
    </w:p>
    <w:p w:rsidR="006F5FD3" w:rsidRDefault="006F5FD3" w:rsidP="003005BF">
      <w:pPr>
        <w:jc w:val="both"/>
      </w:pPr>
    </w:p>
    <w:p w:rsidR="006F5FD3" w:rsidRDefault="006F5FD3" w:rsidP="003005BF">
      <w:pPr>
        <w:ind w:left="0" w:firstLine="0"/>
        <w:jc w:val="both"/>
      </w:pPr>
      <w:r>
        <w:t xml:space="preserve">Kyselina šťaveľová, aktívna zložka lieku, je prirodzenou zložkou medu a jej koncentrácia v mede závisí od botanického zdroja. </w:t>
      </w:r>
      <w:r>
        <w:rPr>
          <w:szCs w:val="22"/>
          <w:lang w:eastAsia="en-US"/>
        </w:rPr>
        <w:t xml:space="preserve">Pri dodržaní </w:t>
      </w:r>
      <w:r w:rsidRPr="00F00A1D">
        <w:rPr>
          <w:szCs w:val="22"/>
          <w:lang w:eastAsia="en-US"/>
        </w:rPr>
        <w:t>správneho podávania</w:t>
      </w:r>
      <w:r>
        <w:rPr>
          <w:szCs w:val="22"/>
          <w:lang w:eastAsia="en-US"/>
        </w:rPr>
        <w:t xml:space="preserve"> lieku</w:t>
      </w:r>
      <w:r w:rsidRPr="00F00A1D">
        <w:rPr>
          <w:szCs w:val="22"/>
          <w:lang w:eastAsia="en-US"/>
        </w:rPr>
        <w:t xml:space="preserve"> sa neočakáva zvýšenie </w:t>
      </w:r>
      <w:r>
        <w:rPr>
          <w:szCs w:val="22"/>
          <w:lang w:eastAsia="en-US"/>
        </w:rPr>
        <w:t>reziduí</w:t>
      </w:r>
      <w:r w:rsidRPr="00F00A1D">
        <w:rPr>
          <w:szCs w:val="22"/>
          <w:lang w:eastAsia="en-US"/>
        </w:rPr>
        <w:t xml:space="preserve"> kyseliny šťaveľovej nad prirodzený obsah </w:t>
      </w:r>
      <w:r>
        <w:rPr>
          <w:szCs w:val="22"/>
          <w:lang w:eastAsia="en-US"/>
        </w:rPr>
        <w:t xml:space="preserve">v </w:t>
      </w:r>
      <w:r w:rsidRPr="00F00A1D">
        <w:rPr>
          <w:szCs w:val="22"/>
          <w:lang w:eastAsia="en-US"/>
        </w:rPr>
        <w:t>med</w:t>
      </w:r>
      <w:r>
        <w:rPr>
          <w:szCs w:val="22"/>
          <w:lang w:eastAsia="en-US"/>
        </w:rPr>
        <w:t>e</w:t>
      </w:r>
      <w:r>
        <w:t>. Po ošetrení liekom sa kyselina šťaveľová distribuuje do anatomických štruktúr včiel medonosných, kde jej koncentrácie dočasne stúpajú. Kyselina šťaveľová bola zistená v zažívacom trakte a hemolymfe včiel.</w:t>
      </w:r>
    </w:p>
    <w:p w:rsidR="006F5FD3" w:rsidRDefault="006F5FD3" w:rsidP="006F5FD3"/>
    <w:p w:rsidR="006F5FD3" w:rsidRDefault="006F5FD3" w:rsidP="006F5FD3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6F5FD3" w:rsidRDefault="006F5FD3" w:rsidP="006F5FD3"/>
    <w:p w:rsidR="006F5FD3" w:rsidRDefault="006F5FD3" w:rsidP="006F5FD3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6F5FD3" w:rsidRDefault="006F5FD3" w:rsidP="006F5FD3"/>
    <w:p w:rsidR="006F5FD3" w:rsidRDefault="006F5FD3" w:rsidP="006F5FD3">
      <w:r>
        <w:t>Glycerol</w:t>
      </w:r>
    </w:p>
    <w:p w:rsidR="006F5FD3" w:rsidRDefault="006F5FD3" w:rsidP="006F5FD3">
      <w:r>
        <w:t>Voda, filtrovaná</w:t>
      </w:r>
    </w:p>
    <w:p w:rsidR="006F5FD3" w:rsidRDefault="006F5FD3" w:rsidP="006F5FD3"/>
    <w:p w:rsidR="006F5FD3" w:rsidRDefault="006F5FD3" w:rsidP="006F5FD3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>Závažné inkompatibility</w:t>
      </w:r>
    </w:p>
    <w:p w:rsidR="006F5FD3" w:rsidRDefault="006F5FD3" w:rsidP="006F5FD3"/>
    <w:p w:rsidR="006F5FD3" w:rsidRDefault="006F5FD3" w:rsidP="006F5FD3">
      <w:pPr>
        <w:ind w:left="0" w:firstLine="0"/>
      </w:pPr>
      <w:r>
        <w:t>Z dôvodu chýbania štúdií kompatibility, sa tento veterinárny liek nesmie miešať s inými veterinárnymi liekmi.</w:t>
      </w:r>
    </w:p>
    <w:p w:rsidR="006F5FD3" w:rsidRDefault="006F5FD3" w:rsidP="006F5FD3"/>
    <w:p w:rsidR="006F5FD3" w:rsidRDefault="006F5FD3" w:rsidP="006F5FD3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6F5FD3" w:rsidRDefault="006F5FD3" w:rsidP="006F5FD3">
      <w:pPr>
        <w:rPr>
          <w:bCs/>
        </w:rPr>
      </w:pPr>
    </w:p>
    <w:p w:rsidR="006F5FD3" w:rsidRDefault="006F5FD3" w:rsidP="006F5FD3">
      <w:r w:rsidRPr="003854E8">
        <w:rPr>
          <w:szCs w:val="22"/>
        </w:rPr>
        <w:t>Čas použiteľnosti</w:t>
      </w:r>
      <w:r>
        <w:t xml:space="preserve"> veterinárneho lieku zabaleného v neporušenom  obale: 3 roky.</w:t>
      </w:r>
    </w:p>
    <w:p w:rsidR="006F5FD3" w:rsidRDefault="006F5FD3" w:rsidP="006F5FD3">
      <w:r w:rsidRPr="003854E8">
        <w:rPr>
          <w:szCs w:val="22"/>
        </w:rPr>
        <w:t>Čas použiteľnosti</w:t>
      </w:r>
      <w:r>
        <w:t xml:space="preserve">  po prvom otvorení vnútorného obalu: </w:t>
      </w:r>
      <w:r w:rsidR="006717C5">
        <w:t>12</w:t>
      </w:r>
      <w:r>
        <w:t xml:space="preserve"> mesiac</w:t>
      </w:r>
      <w:r w:rsidR="006717C5">
        <w:t>ov</w:t>
      </w:r>
      <w:r>
        <w:t>.</w:t>
      </w:r>
    </w:p>
    <w:p w:rsidR="006F5FD3" w:rsidRDefault="006F5FD3" w:rsidP="006F5FD3"/>
    <w:p w:rsidR="006F5FD3" w:rsidRDefault="006F5FD3" w:rsidP="006F5FD3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6F5FD3" w:rsidRDefault="006F5FD3" w:rsidP="006F5FD3">
      <w:pPr>
        <w:rPr>
          <w:bCs/>
        </w:rPr>
      </w:pPr>
    </w:p>
    <w:p w:rsidR="006F5FD3" w:rsidRDefault="009E548D" w:rsidP="006F5FD3">
      <w:r>
        <w:rPr>
          <w:rFonts w:eastAsia="SimSun"/>
          <w:szCs w:val="22"/>
          <w:lang w:val="es-ES" w:eastAsia="zh-CN"/>
        </w:rPr>
        <w:t>Neuchovávať</w:t>
      </w:r>
      <w:r>
        <w:t xml:space="preserve"> </w:t>
      </w:r>
      <w:r w:rsidR="006F5FD3">
        <w:t>v chladničke alebo mrazničke.</w:t>
      </w:r>
    </w:p>
    <w:p w:rsidR="006F5FD3" w:rsidRDefault="006F5FD3" w:rsidP="006F5FD3">
      <w:r>
        <w:t>Uchovávať v pôvodnom obale.</w:t>
      </w:r>
    </w:p>
    <w:p w:rsidR="006F5FD3" w:rsidRDefault="006F5FD3" w:rsidP="006F5FD3">
      <w:r>
        <w:t>Originálne balenie uchovávať dôkladne uzatvorené na ochranu pred svetlom a vlhkosťou.</w:t>
      </w:r>
    </w:p>
    <w:p w:rsidR="006F5FD3" w:rsidRDefault="006F5FD3" w:rsidP="006F5FD3">
      <w:r>
        <w:t>Skladovať mimo potravín.</w:t>
      </w:r>
    </w:p>
    <w:p w:rsidR="006F5FD3" w:rsidRDefault="006F5FD3" w:rsidP="006F5FD3"/>
    <w:p w:rsidR="006F5FD3" w:rsidRDefault="006F5FD3" w:rsidP="006F5FD3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6F5FD3" w:rsidRDefault="006F5FD3" w:rsidP="006F5FD3">
      <w:pPr>
        <w:rPr>
          <w:bCs/>
        </w:rPr>
      </w:pPr>
    </w:p>
    <w:p w:rsidR="006F5FD3" w:rsidRDefault="006F5FD3" w:rsidP="006F5FD3">
      <w:pPr>
        <w:rPr>
          <w:bCs/>
        </w:rPr>
      </w:pPr>
      <w:r>
        <w:rPr>
          <w:bCs/>
        </w:rPr>
        <w:t xml:space="preserve">500 ml fľaša: Biele nepriehľadné fľaše z polyetylénu s vysokou hustotou s detským bezpečnostným     </w:t>
      </w:r>
    </w:p>
    <w:p w:rsidR="006F5FD3" w:rsidRDefault="006F5FD3" w:rsidP="006F5FD3">
      <w:pPr>
        <w:rPr>
          <w:bCs/>
        </w:rPr>
      </w:pPr>
      <w:r>
        <w:rPr>
          <w:bCs/>
        </w:rPr>
        <w:t xml:space="preserve">                      skrutkovacím uzáverom a záručnou pečaťou;</w:t>
      </w:r>
    </w:p>
    <w:p w:rsidR="006F5FD3" w:rsidRDefault="006F5FD3" w:rsidP="006F5FD3">
      <w:pPr>
        <w:rPr>
          <w:bCs/>
        </w:rPr>
      </w:pPr>
      <w:r>
        <w:rPr>
          <w:bCs/>
        </w:rPr>
        <w:t xml:space="preserve">5 l nádoba:    Biele nepriehľadné nádoby z polyetylénu s vysokou hustotou, so skrutkovacím uzáverom       </w:t>
      </w:r>
    </w:p>
    <w:p w:rsidR="006F5FD3" w:rsidRDefault="006F5FD3" w:rsidP="006F5FD3">
      <w:pPr>
        <w:rPr>
          <w:bCs/>
        </w:rPr>
      </w:pPr>
      <w:r>
        <w:rPr>
          <w:bCs/>
        </w:rPr>
        <w:t xml:space="preserve">                      a záručnou pečaťou;</w:t>
      </w:r>
    </w:p>
    <w:p w:rsidR="006F5FD3" w:rsidRDefault="006F5FD3" w:rsidP="002256E7">
      <w:pPr>
        <w:rPr>
          <w:bCs/>
        </w:rPr>
      </w:pPr>
      <w:r>
        <w:rPr>
          <w:bCs/>
        </w:rPr>
        <w:t>5 l nádoba typu bag-in-box: nepriehľadné</w:t>
      </w:r>
      <w:r>
        <w:rPr>
          <w:b/>
          <w:bCs/>
          <w:color w:val="FF0000"/>
        </w:rPr>
        <w:t xml:space="preserve"> </w:t>
      </w:r>
      <w:r>
        <w:rPr>
          <w:bCs/>
        </w:rPr>
        <w:t xml:space="preserve">vrecko z polyetylénu s nízkou hustotou v </w:t>
      </w:r>
      <w:r w:rsidR="003005BF">
        <w:rPr>
          <w:bCs/>
        </w:rPr>
        <w:t>kartónovej</w:t>
      </w:r>
      <w:r w:rsidR="002256E7">
        <w:rPr>
          <w:bCs/>
        </w:rPr>
        <w:t xml:space="preserve"> krabici,  </w:t>
      </w:r>
      <w:r>
        <w:rPr>
          <w:bCs/>
        </w:rPr>
        <w:t>(</w:t>
      </w:r>
      <w:r w:rsidRPr="00322302">
        <w:rPr>
          <w:bCs/>
        </w:rPr>
        <w:t>Ecopack</w:t>
      </w:r>
      <w:r>
        <w:rPr>
          <w:bCs/>
        </w:rPr>
        <w:t xml:space="preserve">) </w:t>
      </w:r>
    </w:p>
    <w:p w:rsidR="006F5FD3" w:rsidRDefault="006F5FD3" w:rsidP="006F5FD3">
      <w:r>
        <w:lastRenderedPageBreak/>
        <w:t>Nie všetky veľkosti balenia sa musia uvádzať na trh.</w:t>
      </w:r>
    </w:p>
    <w:p w:rsidR="006F5FD3" w:rsidRDefault="006F5FD3" w:rsidP="006F5FD3">
      <w:pPr>
        <w:rPr>
          <w:bCs/>
        </w:rPr>
      </w:pPr>
    </w:p>
    <w:p w:rsidR="006F5FD3" w:rsidRDefault="006F5FD3" w:rsidP="006F5FD3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6F5FD3" w:rsidRDefault="006F5FD3" w:rsidP="006F5FD3">
      <w:pPr>
        <w:rPr>
          <w:bCs/>
        </w:rPr>
      </w:pPr>
    </w:p>
    <w:p w:rsidR="006F5FD3" w:rsidRDefault="006F5FD3" w:rsidP="006F5FD3">
      <w:pPr>
        <w:ind w:left="0" w:firstLine="0"/>
        <w:rPr>
          <w:b/>
          <w:bCs/>
        </w:rPr>
      </w:pPr>
      <w:r>
        <w:t>Každý nepoužitý veterinárny liek alebo odpadové materiály z tohto veterinárneho lieku musia byť zlikvidované v súlade s  miestnymi požiadavkami.</w:t>
      </w:r>
    </w:p>
    <w:p w:rsidR="006F5FD3" w:rsidRDefault="006F5FD3" w:rsidP="006F5FD3">
      <w:pPr>
        <w:rPr>
          <w:bCs/>
        </w:rPr>
      </w:pPr>
    </w:p>
    <w:p w:rsidR="006F5FD3" w:rsidRDefault="006F5FD3" w:rsidP="006F5FD3">
      <w:pPr>
        <w:ind w:left="0" w:firstLine="0"/>
        <w:rPr>
          <w:b/>
          <w:bCs/>
        </w:rPr>
      </w:pPr>
      <w:r>
        <w:t>API-Bioxal nesmie kontaminovať vodné toky, pretože môže byť nebezpečný pre ryby a iné vodné organizmy.</w:t>
      </w:r>
    </w:p>
    <w:p w:rsidR="006F5FD3" w:rsidRDefault="006F5FD3" w:rsidP="006F5FD3">
      <w:pPr>
        <w:rPr>
          <w:bCs/>
        </w:rPr>
      </w:pPr>
    </w:p>
    <w:p w:rsidR="006F5FD3" w:rsidRDefault="006F5FD3" w:rsidP="006F5FD3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6F5FD3" w:rsidRDefault="006F5FD3" w:rsidP="006F5FD3"/>
    <w:p w:rsidR="006F5FD3" w:rsidRDefault="006F5FD3" w:rsidP="006F5FD3">
      <w:pPr>
        <w:rPr>
          <w:bCs/>
        </w:rPr>
      </w:pPr>
      <w:r>
        <w:rPr>
          <w:bCs/>
        </w:rPr>
        <w:t>CHEMICALS LAIF S.p.A.</w:t>
      </w:r>
    </w:p>
    <w:p w:rsidR="006F5FD3" w:rsidRDefault="006F5FD3" w:rsidP="006F5FD3">
      <w:pPr>
        <w:rPr>
          <w:bCs/>
        </w:rPr>
      </w:pPr>
      <w:r>
        <w:rPr>
          <w:bCs/>
        </w:rPr>
        <w:t>Viale dell’Artigianato 13</w:t>
      </w:r>
    </w:p>
    <w:p w:rsidR="006F5FD3" w:rsidRDefault="006F5FD3" w:rsidP="006F5FD3">
      <w:pPr>
        <w:rPr>
          <w:bCs/>
        </w:rPr>
      </w:pPr>
      <w:r>
        <w:rPr>
          <w:bCs/>
        </w:rPr>
        <w:t>35010 Vigonza (PD)</w:t>
      </w:r>
    </w:p>
    <w:p w:rsidR="006F5FD3" w:rsidRDefault="006F5FD3" w:rsidP="006F5FD3">
      <w:pPr>
        <w:rPr>
          <w:bCs/>
        </w:rPr>
      </w:pPr>
      <w:r>
        <w:rPr>
          <w:bCs/>
        </w:rPr>
        <w:t>Taliansko</w:t>
      </w:r>
    </w:p>
    <w:p w:rsidR="006F5FD3" w:rsidRDefault="006F5FD3" w:rsidP="006F5FD3">
      <w:pPr>
        <w:rPr>
          <w:bCs/>
        </w:rPr>
      </w:pPr>
    </w:p>
    <w:p w:rsidR="006F5FD3" w:rsidRDefault="006F5FD3" w:rsidP="006F5FD3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</w:p>
    <w:p w:rsidR="006F5FD3" w:rsidRDefault="006F5FD3" w:rsidP="006F5FD3">
      <w:pPr>
        <w:rPr>
          <w:bCs/>
        </w:rPr>
      </w:pPr>
    </w:p>
    <w:p w:rsidR="006F5FD3" w:rsidRPr="002256E7" w:rsidRDefault="002256E7" w:rsidP="002256E7">
      <w:pPr>
        <w:ind w:left="0" w:firstLine="0"/>
        <w:rPr>
          <w:szCs w:val="22"/>
          <w:lang w:val="it-IT" w:eastAsia="sv-SE"/>
        </w:rPr>
      </w:pPr>
      <w:r>
        <w:rPr>
          <w:szCs w:val="22"/>
          <w:lang w:val="it-IT" w:eastAsia="sv-SE"/>
        </w:rPr>
        <w:t>96/015/MR/21-S</w:t>
      </w:r>
    </w:p>
    <w:p w:rsidR="006F5FD3" w:rsidRDefault="006F5FD3" w:rsidP="006F5FD3">
      <w:pPr>
        <w:rPr>
          <w:bCs/>
        </w:rPr>
      </w:pPr>
    </w:p>
    <w:p w:rsidR="006F5FD3" w:rsidRDefault="006F5FD3" w:rsidP="006F5FD3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 PRVEJ REGISTRÁCIE/PREDĹŽENIA REGISTRÁCIE</w:t>
      </w:r>
    </w:p>
    <w:p w:rsidR="00AC4C77" w:rsidRDefault="00AC4C77" w:rsidP="006F5FD3">
      <w:pPr>
        <w:rPr>
          <w:b/>
          <w:bCs/>
        </w:rPr>
      </w:pPr>
    </w:p>
    <w:p w:rsidR="00A527A2" w:rsidRDefault="00A527A2" w:rsidP="00A527A2">
      <w:pPr>
        <w:keepNext/>
        <w:tabs>
          <w:tab w:val="left" w:pos="567"/>
        </w:tabs>
        <w:rPr>
          <w:bCs/>
          <w:szCs w:val="22"/>
        </w:rPr>
      </w:pPr>
      <w:bookmarkStart w:id="0" w:name="_GoBack"/>
      <w:r>
        <w:rPr>
          <w:bCs/>
          <w:szCs w:val="22"/>
        </w:rPr>
        <w:t>Dátum prvej registrácie:</w:t>
      </w:r>
      <w:r>
        <w:rPr>
          <w:bCs/>
          <w:szCs w:val="22"/>
        </w:rPr>
        <w:t xml:space="preserve"> 06/05/2021</w:t>
      </w:r>
    </w:p>
    <w:bookmarkEnd w:id="0"/>
    <w:p w:rsidR="006F5FD3" w:rsidRDefault="006F5FD3" w:rsidP="006F5FD3">
      <w:pPr>
        <w:rPr>
          <w:b/>
          <w:bCs/>
        </w:rPr>
      </w:pPr>
    </w:p>
    <w:p w:rsidR="006F5FD3" w:rsidRDefault="006F5FD3" w:rsidP="00AC4C77">
      <w:pPr>
        <w:ind w:left="0" w:firstLine="0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AC4C77" w:rsidRDefault="00AC4C77" w:rsidP="00AC4C77">
      <w:pPr>
        <w:ind w:left="0" w:firstLine="0"/>
        <w:rPr>
          <w:b/>
          <w:bCs/>
        </w:rPr>
      </w:pPr>
    </w:p>
    <w:p w:rsidR="006F5FD3" w:rsidRDefault="006F5FD3" w:rsidP="006F5FD3"/>
    <w:p w:rsidR="006F5FD3" w:rsidRDefault="006F5FD3" w:rsidP="006F5FD3">
      <w:pPr>
        <w:ind w:left="0" w:firstLine="0"/>
        <w:rPr>
          <w:bCs/>
        </w:rPr>
      </w:pPr>
    </w:p>
    <w:p w:rsidR="006F5FD3" w:rsidRDefault="006F5FD3" w:rsidP="006F5FD3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6F5FD3" w:rsidRDefault="006F5FD3" w:rsidP="006F5FD3">
      <w:pPr>
        <w:rPr>
          <w:bCs/>
        </w:rPr>
      </w:pPr>
    </w:p>
    <w:p w:rsidR="006F5FD3" w:rsidRDefault="006F5FD3" w:rsidP="006F5FD3">
      <w:pPr>
        <w:ind w:left="0" w:firstLine="0"/>
      </w:pPr>
    </w:p>
    <w:p w:rsidR="006F5FD3" w:rsidRDefault="006F5FD3" w:rsidP="006F5FD3">
      <w:pPr>
        <w:rPr>
          <w:bCs/>
        </w:rPr>
      </w:pPr>
    </w:p>
    <w:p w:rsidR="006F5FD3" w:rsidRDefault="006F5FD3" w:rsidP="006F5FD3">
      <w:pPr>
        <w:ind w:left="0" w:firstLine="0"/>
      </w:pPr>
      <w:r>
        <w:rPr>
          <w:b/>
          <w:bCs/>
        </w:rPr>
        <w:br w:type="page"/>
      </w:r>
    </w:p>
    <w:p w:rsidR="003005BF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u w:val="single"/>
          <w:lang w:eastAsia="sv-SE"/>
        </w:rPr>
      </w:pPr>
      <w:r>
        <w:rPr>
          <w:rFonts w:eastAsia="SimSun"/>
          <w:b/>
          <w:szCs w:val="22"/>
          <w:lang w:eastAsia="zh-CN"/>
        </w:rPr>
        <w:lastRenderedPageBreak/>
        <w:t xml:space="preserve">ÚDAJE, KTORÉ MAJÚ BYŤ UVEDENÉ NA VNÚTORNOM OBALE </w:t>
      </w:r>
      <w:r>
        <w:rPr>
          <w:b/>
          <w:szCs w:val="22"/>
          <w:lang w:eastAsia="sv-SE"/>
        </w:rPr>
        <w:t xml:space="preserve">– </w:t>
      </w:r>
      <w:r>
        <w:rPr>
          <w:b/>
          <w:szCs w:val="22"/>
          <w:u w:val="single"/>
          <w:lang w:eastAsia="sv-SE"/>
        </w:rPr>
        <w:t xml:space="preserve">KOMBINOVANÝ </w:t>
      </w:r>
    </w:p>
    <w:p w:rsidR="006F5FD3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>
        <w:rPr>
          <w:b/>
          <w:szCs w:val="22"/>
          <w:u w:val="single"/>
          <w:lang w:eastAsia="sv-SE"/>
        </w:rPr>
        <w:t>OBAL A PÍSOMNÁ INFORMÁCIA PRE POUŽÍVATEĽOV</w:t>
      </w:r>
    </w:p>
    <w:p w:rsidR="006F5FD3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eastAsia="SimSun"/>
          <w:b/>
          <w:szCs w:val="22"/>
          <w:lang w:eastAsia="zh-CN"/>
        </w:rPr>
      </w:pPr>
    </w:p>
    <w:p w:rsidR="006F5FD3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  <w:lang w:eastAsia="sv-SE"/>
        </w:rPr>
      </w:pPr>
      <w:r>
        <w:rPr>
          <w:b/>
          <w:szCs w:val="22"/>
          <w:lang w:eastAsia="sv-SE"/>
        </w:rPr>
        <w:t>{DRUH/TYP}</w:t>
      </w:r>
    </w:p>
    <w:p w:rsidR="006F5FD3" w:rsidRDefault="006F5FD3" w:rsidP="006F5FD3">
      <w:pPr>
        <w:ind w:left="0" w:firstLine="0"/>
        <w:rPr>
          <w:b/>
          <w:szCs w:val="22"/>
          <w:lang w:eastAsia="sv-SE"/>
        </w:rPr>
      </w:pPr>
    </w:p>
    <w:p w:rsidR="006F5FD3" w:rsidRDefault="006F5FD3" w:rsidP="006F5FD3">
      <w:pPr>
        <w:ind w:left="0" w:firstLine="0"/>
        <w:rPr>
          <w:szCs w:val="22"/>
          <w:lang w:eastAsia="sv-SE"/>
        </w:rPr>
      </w:pPr>
    </w:p>
    <w:p w:rsidR="006F5FD3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color w:val="000000"/>
          <w:szCs w:val="22"/>
          <w:lang w:eastAsia="sv-SE"/>
        </w:rPr>
      </w:pPr>
      <w:r>
        <w:rPr>
          <w:b/>
          <w:color w:val="000000"/>
          <w:szCs w:val="22"/>
          <w:lang w:eastAsia="sv-SE"/>
        </w:rPr>
        <w:t>1.</w:t>
      </w:r>
      <w:r>
        <w:rPr>
          <w:b/>
          <w:color w:val="000000"/>
          <w:szCs w:val="22"/>
          <w:lang w:eastAsia="sv-SE"/>
        </w:rPr>
        <w:tab/>
        <w:t>Názov a adresa držiteľa rozhodnutia o registrácii a držiteľa povolenia na výrobu zodpovedného za uvoľnenie šarže, ak nie sú identickí</w:t>
      </w:r>
    </w:p>
    <w:p w:rsidR="006F5FD3" w:rsidRDefault="006F5FD3" w:rsidP="006F5FD3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sv-SE"/>
        </w:rPr>
      </w:pPr>
    </w:p>
    <w:p w:rsidR="006F5FD3" w:rsidRDefault="006F5FD3" w:rsidP="006F5FD3">
      <w:pPr>
        <w:ind w:left="0" w:firstLine="0"/>
        <w:rPr>
          <w:rFonts w:eastAsia="SimSun"/>
          <w:bCs/>
          <w:szCs w:val="22"/>
          <w:lang w:eastAsia="zh-CN"/>
        </w:rPr>
      </w:pPr>
      <w:r>
        <w:rPr>
          <w:rFonts w:eastAsia="SimSun"/>
          <w:szCs w:val="22"/>
          <w:u w:val="single"/>
          <w:lang w:eastAsia="zh-CN"/>
        </w:rPr>
        <w:t>Držiteľ rozhodnutia o registrácii</w:t>
      </w:r>
      <w:r>
        <w:rPr>
          <w:rFonts w:eastAsia="SimSun"/>
          <w:bCs/>
          <w:szCs w:val="22"/>
          <w:lang w:eastAsia="zh-CN"/>
        </w:rPr>
        <w:t>:</w:t>
      </w:r>
    </w:p>
    <w:p w:rsidR="006F5FD3" w:rsidRDefault="006F5FD3" w:rsidP="006F5FD3">
      <w:pPr>
        <w:ind w:left="0" w:firstLine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CHEMICALS LAIF S.p.A., Viale dell’Artigianato 13, 35010 Vigonza (PD), Taliansko</w:t>
      </w:r>
    </w:p>
    <w:p w:rsidR="006F5FD3" w:rsidRDefault="006F5FD3" w:rsidP="006F5FD3">
      <w:pPr>
        <w:ind w:left="0" w:firstLine="0"/>
        <w:rPr>
          <w:rFonts w:eastAsia="SimSun"/>
          <w:b/>
          <w:bCs/>
          <w:szCs w:val="22"/>
          <w:u w:val="single"/>
          <w:lang w:eastAsia="zh-CN"/>
        </w:rPr>
      </w:pPr>
    </w:p>
    <w:p w:rsidR="006F5FD3" w:rsidRDefault="006F5FD3" w:rsidP="006F5FD3">
      <w:pPr>
        <w:ind w:left="0" w:firstLine="0"/>
        <w:rPr>
          <w:rFonts w:eastAsia="SimSun"/>
          <w:b/>
          <w:bCs/>
          <w:szCs w:val="22"/>
          <w:lang w:eastAsia="zh-CN"/>
        </w:rPr>
      </w:pPr>
      <w:r>
        <w:rPr>
          <w:rFonts w:eastAsia="SimSun"/>
          <w:szCs w:val="22"/>
          <w:u w:val="single"/>
          <w:lang w:eastAsia="zh-CN"/>
        </w:rPr>
        <w:t>Výrobca zodpovedný za uvoľnenie šarže:</w:t>
      </w:r>
    </w:p>
    <w:p w:rsidR="006F5FD3" w:rsidRDefault="006F5FD3" w:rsidP="006F5FD3">
      <w:pPr>
        <w:ind w:left="0" w:firstLine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CHEMIFARMA S.p.A., Via Don Eugenio Servadei 16, 471</w:t>
      </w:r>
      <w:r w:rsidR="006717C5">
        <w:rPr>
          <w:rFonts w:eastAsia="SimSun"/>
          <w:szCs w:val="22"/>
          <w:lang w:eastAsia="zh-CN"/>
        </w:rPr>
        <w:t>22</w:t>
      </w:r>
      <w:r>
        <w:rPr>
          <w:rFonts w:eastAsia="SimSun"/>
          <w:szCs w:val="22"/>
          <w:lang w:eastAsia="zh-CN"/>
        </w:rPr>
        <w:t xml:space="preserve"> Forlì (FC), Taliansko</w:t>
      </w:r>
    </w:p>
    <w:p w:rsidR="006F5FD3" w:rsidRDefault="00B16B9A" w:rsidP="00B16B9A">
      <w:pPr>
        <w:tabs>
          <w:tab w:val="left" w:pos="1152"/>
        </w:tabs>
        <w:ind w:left="0" w:firstLine="0"/>
        <w:rPr>
          <w:szCs w:val="22"/>
          <w:lang w:eastAsia="sv-SE"/>
        </w:rPr>
      </w:pPr>
      <w:r>
        <w:rPr>
          <w:szCs w:val="22"/>
          <w:lang w:eastAsia="sv-SE"/>
        </w:rPr>
        <w:tab/>
      </w:r>
    </w:p>
    <w:p w:rsidR="006F5FD3" w:rsidRDefault="006F5FD3" w:rsidP="006F5FD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sv-SE"/>
        </w:rPr>
      </w:pPr>
      <w:r>
        <w:rPr>
          <w:b/>
          <w:bCs/>
          <w:szCs w:val="22"/>
          <w:lang w:eastAsia="sv-SE"/>
        </w:rPr>
        <w:t>2.</w:t>
      </w:r>
      <w:r>
        <w:rPr>
          <w:b/>
          <w:bCs/>
          <w:szCs w:val="22"/>
          <w:lang w:eastAsia="sv-SE"/>
        </w:rPr>
        <w:tab/>
        <w:t>Názov veterinárneho lieku</w:t>
      </w:r>
    </w:p>
    <w:p w:rsidR="006F5FD3" w:rsidRDefault="006F5FD3" w:rsidP="006F5FD3">
      <w:pPr>
        <w:keepNext/>
        <w:keepLines/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  <w:u w:val="single"/>
          <w:lang w:eastAsia="sv-SE"/>
        </w:rPr>
      </w:pPr>
    </w:p>
    <w:p w:rsidR="006F5FD3" w:rsidRDefault="006F5FD3" w:rsidP="006F5FD3">
      <w:pPr>
        <w:ind w:left="0" w:firstLine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 xml:space="preserve">API-Bioxal 62 mg/ml, </w:t>
      </w:r>
      <w:r>
        <w:t>roztok na použitie v úli</w:t>
      </w:r>
    </w:p>
    <w:p w:rsidR="006F5FD3" w:rsidRDefault="006F5FD3" w:rsidP="006F5FD3">
      <w:pPr>
        <w:ind w:left="0" w:firstLine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Dihydrát kyseliny šťaveľovej.</w:t>
      </w:r>
    </w:p>
    <w:p w:rsidR="006F5FD3" w:rsidRDefault="006F5FD3" w:rsidP="006F5FD3">
      <w:pPr>
        <w:ind w:left="0" w:firstLine="0"/>
        <w:rPr>
          <w:rFonts w:eastAsia="SimSun"/>
          <w:szCs w:val="22"/>
          <w:lang w:eastAsia="zh-CN"/>
        </w:rPr>
      </w:pPr>
    </w:p>
    <w:p w:rsidR="006F5FD3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szCs w:val="22"/>
          <w:lang w:eastAsia="sv-SE"/>
        </w:rPr>
      </w:pPr>
      <w:r>
        <w:rPr>
          <w:b/>
          <w:szCs w:val="22"/>
          <w:lang w:eastAsia="sv-SE"/>
        </w:rPr>
        <w:t>3.</w:t>
      </w:r>
      <w:r>
        <w:rPr>
          <w:b/>
          <w:szCs w:val="22"/>
          <w:lang w:eastAsia="sv-SE"/>
        </w:rPr>
        <w:tab/>
        <w:t>Obsah účinnej látky (-ok) a inej látky (-ok)</w:t>
      </w:r>
    </w:p>
    <w:p w:rsidR="006F5FD3" w:rsidRDefault="006F5FD3" w:rsidP="006F5FD3">
      <w:pPr>
        <w:ind w:left="0" w:firstLine="0"/>
        <w:rPr>
          <w:szCs w:val="22"/>
          <w:lang w:eastAsia="sv-SE"/>
        </w:rPr>
      </w:pPr>
    </w:p>
    <w:p w:rsidR="006F5FD3" w:rsidRDefault="006F5FD3" w:rsidP="006F5FD3">
      <w:pPr>
        <w:ind w:left="0" w:firstLine="0"/>
        <w:rPr>
          <w:szCs w:val="22"/>
          <w:lang w:eastAsia="sv-SE"/>
        </w:rPr>
      </w:pPr>
      <w:r>
        <w:rPr>
          <w:szCs w:val="22"/>
          <w:lang w:eastAsia="sv-SE"/>
        </w:rPr>
        <w:t>Každý ml obsahuje:</w:t>
      </w:r>
    </w:p>
    <w:p w:rsidR="006F5FD3" w:rsidRPr="007B2662" w:rsidRDefault="006F5FD3" w:rsidP="006F5FD3">
      <w:pPr>
        <w:ind w:left="0" w:firstLine="0"/>
        <w:rPr>
          <w:b/>
          <w:bCs/>
          <w:szCs w:val="22"/>
          <w:lang w:eastAsia="sv-SE"/>
        </w:rPr>
      </w:pPr>
      <w:r w:rsidRPr="007B2662">
        <w:rPr>
          <w:b/>
          <w:bCs/>
          <w:szCs w:val="22"/>
          <w:lang w:eastAsia="sv-SE"/>
        </w:rPr>
        <w:t>Účinná látka:</w:t>
      </w:r>
    </w:p>
    <w:p w:rsidR="006F5FD3" w:rsidRDefault="006F5FD3" w:rsidP="006F5FD3">
      <w:pPr>
        <w:ind w:left="0" w:firstLine="0"/>
        <w:rPr>
          <w:szCs w:val="22"/>
          <w:lang w:eastAsia="sv-SE"/>
        </w:rPr>
      </w:pPr>
      <w:r>
        <w:rPr>
          <w:szCs w:val="22"/>
          <w:lang w:eastAsia="sv-SE"/>
        </w:rPr>
        <w:t>Dihydrát kyseliny šťaveľovej 62,0 mg (zodpovedá 44,2 mg kyseliny šťaveľovej)</w:t>
      </w:r>
    </w:p>
    <w:p w:rsidR="006F5FD3" w:rsidRDefault="006F5FD3" w:rsidP="006F5FD3">
      <w:pPr>
        <w:ind w:left="0" w:firstLine="0"/>
        <w:rPr>
          <w:szCs w:val="22"/>
          <w:lang w:eastAsia="sv-SE"/>
        </w:rPr>
      </w:pPr>
    </w:p>
    <w:p w:rsidR="006F5FD3" w:rsidRPr="007B2662" w:rsidRDefault="006F5FD3" w:rsidP="006F5FD3">
      <w:pPr>
        <w:ind w:left="0" w:firstLine="0"/>
        <w:rPr>
          <w:b/>
          <w:bCs/>
          <w:szCs w:val="22"/>
          <w:lang w:eastAsia="sv-SE"/>
        </w:rPr>
      </w:pPr>
      <w:r w:rsidRPr="007B2662">
        <w:rPr>
          <w:b/>
          <w:bCs/>
          <w:szCs w:val="22"/>
          <w:lang w:eastAsia="sv-SE"/>
        </w:rPr>
        <w:t>Pomocné látky:</w:t>
      </w:r>
    </w:p>
    <w:p w:rsidR="006F5FD3" w:rsidRDefault="006F5FD3" w:rsidP="006F5FD3">
      <w:pPr>
        <w:ind w:left="0" w:firstLine="0"/>
        <w:rPr>
          <w:szCs w:val="22"/>
          <w:lang w:eastAsia="sv-SE"/>
        </w:rPr>
      </w:pPr>
      <w:r>
        <w:rPr>
          <w:szCs w:val="22"/>
          <w:lang w:eastAsia="sv-SE"/>
        </w:rPr>
        <w:t>Glycerol; Voda, filtrovaná.</w:t>
      </w:r>
    </w:p>
    <w:p w:rsidR="006F5FD3" w:rsidRDefault="006F5FD3" w:rsidP="006F5FD3">
      <w:pPr>
        <w:ind w:left="0" w:firstLine="0"/>
        <w:rPr>
          <w:szCs w:val="22"/>
          <w:lang w:eastAsia="sv-SE"/>
        </w:rPr>
      </w:pPr>
    </w:p>
    <w:p w:rsidR="006F5FD3" w:rsidRPr="00F06FF9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sv-SE"/>
        </w:rPr>
      </w:pPr>
      <w:r w:rsidRPr="00F06FF9">
        <w:rPr>
          <w:b/>
          <w:bCs/>
          <w:szCs w:val="22"/>
          <w:lang w:eastAsia="sv-SE"/>
        </w:rPr>
        <w:t>4.</w:t>
      </w:r>
      <w:r w:rsidRPr="00F06FF9">
        <w:rPr>
          <w:b/>
          <w:bCs/>
          <w:szCs w:val="22"/>
          <w:lang w:eastAsia="sv-SE"/>
        </w:rPr>
        <w:tab/>
        <w:t>Lieková forma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eastAsia="sv-SE"/>
        </w:rPr>
      </w:pP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  <w:r w:rsidRPr="00F06FF9">
        <w:rPr>
          <w:szCs w:val="22"/>
          <w:lang w:val="es-ES" w:eastAsia="sv-SE"/>
        </w:rPr>
        <w:t xml:space="preserve">Roztok na </w:t>
      </w:r>
      <w:r>
        <w:rPr>
          <w:szCs w:val="22"/>
          <w:lang w:val="es-ES" w:eastAsia="sv-SE"/>
        </w:rPr>
        <w:t>použitie</w:t>
      </w:r>
      <w:r w:rsidRPr="00F06FF9">
        <w:rPr>
          <w:szCs w:val="22"/>
          <w:lang w:val="es-ES" w:eastAsia="sv-SE"/>
        </w:rPr>
        <w:t xml:space="preserve"> v ú</w:t>
      </w:r>
      <w:r>
        <w:rPr>
          <w:szCs w:val="22"/>
          <w:lang w:val="es-ES" w:eastAsia="sv-SE"/>
        </w:rPr>
        <w:t>li</w:t>
      </w:r>
      <w:r w:rsidRPr="00F06FF9">
        <w:rPr>
          <w:szCs w:val="22"/>
          <w:lang w:val="es-ES" w:eastAsia="sv-SE"/>
        </w:rPr>
        <w:t>.</w:t>
      </w:r>
      <w:r>
        <w:rPr>
          <w:szCs w:val="22"/>
          <w:lang w:val="es-ES" w:eastAsia="sv-SE"/>
        </w:rPr>
        <w:t xml:space="preserve"> </w:t>
      </w:r>
      <w:r w:rsidRPr="00F06FF9">
        <w:rPr>
          <w:szCs w:val="22"/>
          <w:lang w:val="es-ES" w:eastAsia="sv-SE"/>
        </w:rPr>
        <w:t>Číra, bezfarebná až svetlo žltá tekutina</w:t>
      </w:r>
      <w:r>
        <w:rPr>
          <w:szCs w:val="22"/>
          <w:lang w:val="es-ES" w:eastAsia="sv-SE"/>
        </w:rPr>
        <w:t>.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>5.</w:t>
      </w:r>
      <w:r w:rsidRPr="00F06FF9">
        <w:rPr>
          <w:b/>
          <w:bCs/>
          <w:szCs w:val="22"/>
          <w:lang w:val="es-ES" w:eastAsia="sv-SE"/>
        </w:rPr>
        <w:tab/>
        <w:t>Veľkosť balenia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  <w:r w:rsidRPr="00F06FF9">
        <w:rPr>
          <w:szCs w:val="22"/>
          <w:lang w:val="es-ES" w:eastAsia="sv-SE"/>
        </w:rPr>
        <w:t>500 ml fľaša</w:t>
      </w:r>
    </w:p>
    <w:p w:rsidR="006F5FD3" w:rsidRPr="00322302" w:rsidRDefault="006F5FD3" w:rsidP="006F5FD3">
      <w:pPr>
        <w:ind w:left="0" w:firstLine="0"/>
        <w:rPr>
          <w:szCs w:val="22"/>
          <w:highlight w:val="darkGray"/>
          <w:lang w:val="es-ES" w:eastAsia="sv-SE"/>
        </w:rPr>
      </w:pPr>
      <w:r w:rsidRPr="00322302">
        <w:rPr>
          <w:szCs w:val="22"/>
          <w:highlight w:val="darkGray"/>
          <w:lang w:val="es-ES" w:eastAsia="sv-SE"/>
        </w:rPr>
        <w:t xml:space="preserve">5 l  nádoba </w:t>
      </w:r>
    </w:p>
    <w:p w:rsidR="006F5FD3" w:rsidRPr="00322302" w:rsidRDefault="006F5FD3" w:rsidP="006F5FD3">
      <w:pPr>
        <w:ind w:left="0" w:firstLine="0"/>
        <w:rPr>
          <w:szCs w:val="22"/>
          <w:lang w:val="es-ES" w:eastAsia="sv-SE"/>
        </w:rPr>
      </w:pPr>
      <w:r w:rsidRPr="00322302">
        <w:rPr>
          <w:szCs w:val="22"/>
          <w:highlight w:val="darkGray"/>
          <w:lang w:val="es-ES" w:eastAsia="sv-SE"/>
        </w:rPr>
        <w:t xml:space="preserve">5 l  vrecko v krabici </w:t>
      </w:r>
      <w:r>
        <w:rPr>
          <w:szCs w:val="22"/>
          <w:highlight w:val="darkGray"/>
          <w:lang w:val="es-ES" w:eastAsia="sv-SE"/>
        </w:rPr>
        <w:t xml:space="preserve"> </w:t>
      </w:r>
      <w:r w:rsidRPr="00322302">
        <w:rPr>
          <w:szCs w:val="22"/>
          <w:highlight w:val="darkGray"/>
          <w:lang w:val="es-ES" w:eastAsia="sv-SE"/>
        </w:rPr>
        <w:t>(E</w:t>
      </w:r>
      <w:r>
        <w:rPr>
          <w:szCs w:val="22"/>
          <w:highlight w:val="darkGray"/>
          <w:lang w:val="es-ES" w:eastAsia="sv-SE"/>
        </w:rPr>
        <w:t>c</w:t>
      </w:r>
      <w:r w:rsidRPr="00322302">
        <w:rPr>
          <w:szCs w:val="22"/>
          <w:highlight w:val="darkGray"/>
          <w:lang w:val="es-ES" w:eastAsia="sv-SE"/>
        </w:rPr>
        <w:t xml:space="preserve">opack) </w:t>
      </w: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</w:p>
    <w:p w:rsidR="006F5FD3" w:rsidRPr="00F06FF9" w:rsidRDefault="006F5FD3" w:rsidP="006F5FD3">
      <w:pPr>
        <w:tabs>
          <w:tab w:val="left" w:pos="567"/>
        </w:tabs>
        <w:ind w:left="0" w:firstLine="0"/>
        <w:rPr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 xml:space="preserve">6. </w:t>
      </w:r>
      <w:r w:rsidRPr="00F06FF9">
        <w:rPr>
          <w:b/>
          <w:bCs/>
          <w:szCs w:val="22"/>
          <w:lang w:val="es-ES" w:eastAsia="sv-SE"/>
        </w:rPr>
        <w:tab/>
        <w:t>Indikácia (Indikácie)</w:t>
      </w: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  <w:r>
        <w:rPr>
          <w:szCs w:val="22"/>
          <w:lang w:val="es-ES" w:eastAsia="sv-SE"/>
        </w:rPr>
        <w:t>L</w:t>
      </w:r>
      <w:r w:rsidRPr="00F06FF9">
        <w:rPr>
          <w:szCs w:val="22"/>
          <w:lang w:val="es-ES" w:eastAsia="sv-SE"/>
        </w:rPr>
        <w:t>iečb</w:t>
      </w:r>
      <w:r>
        <w:rPr>
          <w:szCs w:val="22"/>
          <w:lang w:val="es-ES" w:eastAsia="sv-SE"/>
        </w:rPr>
        <w:t>a</w:t>
      </w:r>
      <w:r w:rsidRPr="00F06FF9">
        <w:rPr>
          <w:szCs w:val="22"/>
          <w:lang w:val="es-ES" w:eastAsia="sv-SE"/>
        </w:rPr>
        <w:t xml:space="preserve"> klieštikovitosti spôsobenej </w:t>
      </w:r>
      <w:r w:rsidRPr="007B2662">
        <w:rPr>
          <w:i/>
          <w:iCs/>
          <w:szCs w:val="22"/>
          <w:lang w:val="es-ES" w:eastAsia="sv-SE"/>
        </w:rPr>
        <w:t>Varroa destructor</w:t>
      </w:r>
      <w:r w:rsidRPr="00F06FF9">
        <w:rPr>
          <w:szCs w:val="22"/>
          <w:lang w:val="es-ES" w:eastAsia="sv-SE"/>
        </w:rPr>
        <w:t xml:space="preserve"> u včiel medonosných (</w:t>
      </w:r>
      <w:r w:rsidRPr="007B2662">
        <w:rPr>
          <w:i/>
          <w:iCs/>
          <w:szCs w:val="22"/>
          <w:lang w:val="es-ES" w:eastAsia="sv-SE"/>
        </w:rPr>
        <w:t>Apis mellifera</w:t>
      </w:r>
      <w:r w:rsidRPr="00F06FF9">
        <w:rPr>
          <w:szCs w:val="22"/>
          <w:lang w:val="es-ES" w:eastAsia="sv-SE"/>
        </w:rPr>
        <w:t>).</w:t>
      </w: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</w:p>
    <w:p w:rsidR="006F5FD3" w:rsidRPr="00F06FF9" w:rsidRDefault="006F5FD3" w:rsidP="006F5FD3">
      <w:pPr>
        <w:tabs>
          <w:tab w:val="left" w:pos="567"/>
        </w:tabs>
        <w:ind w:left="0" w:firstLine="0"/>
        <w:rPr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 xml:space="preserve">7. </w:t>
      </w:r>
      <w:r w:rsidRPr="00F06FF9">
        <w:rPr>
          <w:b/>
          <w:bCs/>
          <w:szCs w:val="22"/>
          <w:lang w:val="es-ES" w:eastAsia="sv-SE"/>
        </w:rPr>
        <w:tab/>
        <w:t>Kontraindikácie</w:t>
      </w: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  <w:r w:rsidRPr="00F06FF9">
        <w:rPr>
          <w:szCs w:val="22"/>
          <w:lang w:val="es-ES" w:eastAsia="sv-SE"/>
        </w:rPr>
        <w:t>Nie sú.</w:t>
      </w:r>
    </w:p>
    <w:p w:rsidR="006F5FD3" w:rsidRPr="00F06FF9" w:rsidRDefault="006F5FD3" w:rsidP="006F5FD3">
      <w:pPr>
        <w:autoSpaceDE w:val="0"/>
        <w:autoSpaceDN w:val="0"/>
        <w:adjustRightInd w:val="0"/>
        <w:ind w:left="0" w:firstLine="0"/>
        <w:rPr>
          <w:color w:val="000000"/>
          <w:szCs w:val="22"/>
          <w:lang w:val="es-ES" w:eastAsia="sv-SE"/>
        </w:rPr>
      </w:pPr>
    </w:p>
    <w:p w:rsidR="006F5FD3" w:rsidRPr="00F06FF9" w:rsidRDefault="006F5FD3" w:rsidP="006F5FD3">
      <w:pPr>
        <w:tabs>
          <w:tab w:val="left" w:pos="567"/>
        </w:tabs>
        <w:autoSpaceDE w:val="0"/>
        <w:autoSpaceDN w:val="0"/>
        <w:adjustRightInd w:val="0"/>
        <w:ind w:left="930" w:hanging="930"/>
        <w:rPr>
          <w:color w:val="000000"/>
          <w:szCs w:val="22"/>
          <w:lang w:val="es-ES" w:eastAsia="sv-SE"/>
        </w:rPr>
      </w:pPr>
      <w:r w:rsidRPr="00F06FF9">
        <w:rPr>
          <w:b/>
          <w:bCs/>
          <w:color w:val="000000"/>
          <w:szCs w:val="22"/>
          <w:lang w:val="es-ES" w:eastAsia="sv-SE"/>
        </w:rPr>
        <w:t xml:space="preserve">8. </w:t>
      </w:r>
      <w:r w:rsidRPr="00F06FF9">
        <w:rPr>
          <w:b/>
          <w:bCs/>
          <w:color w:val="000000"/>
          <w:szCs w:val="22"/>
          <w:lang w:val="es-ES" w:eastAsia="sv-SE"/>
        </w:rPr>
        <w:tab/>
        <w:t xml:space="preserve">Nežiaduce účinky </w:t>
      </w:r>
    </w:p>
    <w:p w:rsidR="006F5FD3" w:rsidRPr="00F06FF9" w:rsidRDefault="006F5FD3" w:rsidP="006F5FD3">
      <w:pPr>
        <w:ind w:left="0" w:firstLine="0"/>
        <w:rPr>
          <w:rFonts w:eastAsia="SimSun"/>
          <w:bCs/>
          <w:szCs w:val="22"/>
          <w:lang w:val="es-ES" w:eastAsia="zh-CN"/>
        </w:rPr>
      </w:pPr>
    </w:p>
    <w:p w:rsidR="006F5FD3" w:rsidRPr="007B2662" w:rsidRDefault="006F5FD3" w:rsidP="003005BF">
      <w:pPr>
        <w:ind w:left="0" w:firstLine="0"/>
        <w:jc w:val="both"/>
        <w:rPr>
          <w:rFonts w:eastAsia="SimSun"/>
          <w:szCs w:val="22"/>
          <w:lang w:val="es-ES" w:eastAsia="zh-CN"/>
        </w:rPr>
      </w:pPr>
      <w:r w:rsidRPr="00F00A1D">
        <w:rPr>
          <w:bCs/>
          <w:szCs w:val="22"/>
          <w:lang w:val="it-IT" w:eastAsia="en-US"/>
        </w:rPr>
        <w:t xml:space="preserve">Počas liečby môže byť </w:t>
      </w:r>
      <w:r>
        <w:rPr>
          <w:bCs/>
          <w:szCs w:val="22"/>
          <w:lang w:val="it-IT" w:eastAsia="en-US"/>
        </w:rPr>
        <w:t xml:space="preserve">včelstvo </w:t>
      </w:r>
      <w:r w:rsidRPr="00F00A1D">
        <w:rPr>
          <w:bCs/>
          <w:szCs w:val="22"/>
          <w:lang w:val="it-IT" w:eastAsia="en-US"/>
        </w:rPr>
        <w:t>mierne rozrušen</w:t>
      </w:r>
      <w:r>
        <w:rPr>
          <w:bCs/>
          <w:szCs w:val="22"/>
          <w:lang w:val="it-IT" w:eastAsia="en-US"/>
        </w:rPr>
        <w:t>é</w:t>
      </w:r>
      <w:r w:rsidRPr="00F06FF9">
        <w:rPr>
          <w:rFonts w:eastAsia="SimSun"/>
          <w:szCs w:val="22"/>
          <w:lang w:val="es-ES" w:eastAsia="zh-CN"/>
        </w:rPr>
        <w:t xml:space="preserve">. Po ošetrení </w:t>
      </w:r>
      <w:r>
        <w:rPr>
          <w:rFonts w:eastAsia="SimSun"/>
          <w:szCs w:val="22"/>
          <w:lang w:val="es-ES" w:eastAsia="zh-CN"/>
        </w:rPr>
        <w:t>liekom</w:t>
      </w:r>
      <w:r w:rsidRPr="00F06FF9">
        <w:rPr>
          <w:rFonts w:eastAsia="SimSun"/>
          <w:szCs w:val="22"/>
          <w:lang w:val="es-ES" w:eastAsia="zh-CN"/>
        </w:rPr>
        <w:t xml:space="preserve"> možno pozorovať zvýšenú úmrtnosť dospelých včiel.</w:t>
      </w:r>
      <w:r>
        <w:rPr>
          <w:rFonts w:eastAsia="SimSun"/>
          <w:szCs w:val="22"/>
          <w:lang w:val="es-ES" w:eastAsia="zh-CN"/>
        </w:rPr>
        <w:t xml:space="preserve"> </w:t>
      </w:r>
      <w:r w:rsidRPr="00F06FF9">
        <w:rPr>
          <w:rFonts w:eastAsia="SimSun"/>
          <w:szCs w:val="22"/>
          <w:lang w:val="es-ES" w:eastAsia="zh-CN"/>
        </w:rPr>
        <w:t>Ak zistíte akékoľvek nežiaduce účinky, aj tie, ktoré nie sú uvedené na tejto etikete, alebo si myslíte, že liek je neúčinný, informujte vášho veterinárneho lekára.</w:t>
      </w:r>
      <w:r>
        <w:rPr>
          <w:rFonts w:eastAsia="SimSun"/>
          <w:szCs w:val="22"/>
          <w:lang w:val="es-ES" w:eastAsia="zh-CN"/>
        </w:rPr>
        <w:t xml:space="preserve"> </w:t>
      </w:r>
      <w:r w:rsidRPr="00F06FF9">
        <w:rPr>
          <w:rFonts w:eastAsia="SimSun"/>
          <w:szCs w:val="22"/>
          <w:lang w:val="es-ES" w:eastAsia="zh-CN"/>
        </w:rPr>
        <w:t>Prípadne nežiaduce účinky môžete nahlásiť národnej kompetentnej autorite www.uskvbl.sk.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iCs/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>9.</w:t>
      </w:r>
      <w:r w:rsidRPr="00F06FF9">
        <w:rPr>
          <w:b/>
          <w:bCs/>
          <w:szCs w:val="22"/>
          <w:lang w:val="es-ES" w:eastAsia="sv-SE"/>
        </w:rPr>
        <w:tab/>
        <w:t>Cieľové druhy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  <w:r w:rsidRPr="00F06FF9">
        <w:rPr>
          <w:szCs w:val="22"/>
          <w:lang w:val="es-ES" w:eastAsia="sv-SE"/>
        </w:rPr>
        <w:t>Včela medonosná  (</w:t>
      </w:r>
      <w:r w:rsidRPr="00F06FF9">
        <w:rPr>
          <w:i/>
          <w:iCs/>
          <w:szCs w:val="22"/>
          <w:lang w:val="es-ES" w:eastAsia="sv-SE"/>
        </w:rPr>
        <w:t>Apis mellifera</w:t>
      </w:r>
      <w:r w:rsidRPr="00F06FF9">
        <w:rPr>
          <w:szCs w:val="22"/>
          <w:lang w:val="es-ES" w:eastAsia="sv-SE"/>
        </w:rPr>
        <w:t>).</w:t>
      </w:r>
    </w:p>
    <w:p w:rsidR="006F5FD3" w:rsidRPr="00F06FF9" w:rsidRDefault="006F5FD3" w:rsidP="006F5FD3">
      <w:pPr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  <w:lang w:val="es-ES" w:eastAsia="sv-SE"/>
        </w:rPr>
      </w:pPr>
    </w:p>
    <w:p w:rsidR="006F5FD3" w:rsidRPr="00F06FF9" w:rsidRDefault="006F5FD3" w:rsidP="006F5FD3">
      <w:pPr>
        <w:tabs>
          <w:tab w:val="left" w:pos="567"/>
        </w:tabs>
        <w:ind w:left="0" w:firstLine="0"/>
        <w:rPr>
          <w:i/>
          <w:iCs/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 xml:space="preserve">10. </w:t>
      </w:r>
      <w:r w:rsidRPr="00F06FF9">
        <w:rPr>
          <w:b/>
          <w:bCs/>
          <w:szCs w:val="22"/>
          <w:lang w:val="es-ES" w:eastAsia="sv-SE"/>
        </w:rPr>
        <w:tab/>
      </w:r>
      <w:r w:rsidRPr="00F06FF9">
        <w:rPr>
          <w:rFonts w:eastAsia="SimSun"/>
          <w:b/>
          <w:bCs/>
          <w:szCs w:val="22"/>
          <w:lang w:val="es-ES" w:eastAsia="zh-CN"/>
        </w:rPr>
        <w:t>Dávkovanie pre každý druh, cesta(-y) a spôsob podania lieku</w:t>
      </w:r>
      <w:r w:rsidRPr="00F06FF9">
        <w:rPr>
          <w:b/>
          <w:bCs/>
          <w:szCs w:val="22"/>
          <w:lang w:val="es-ES" w:eastAsia="sv-SE"/>
        </w:rPr>
        <w:t xml:space="preserve"> 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  <w:r>
        <w:rPr>
          <w:szCs w:val="22"/>
          <w:lang w:val="es-ES" w:eastAsia="sv-SE"/>
        </w:rPr>
        <w:t>Na použitie</w:t>
      </w:r>
      <w:r w:rsidRPr="00F06FF9">
        <w:rPr>
          <w:szCs w:val="22"/>
          <w:lang w:val="es-ES" w:eastAsia="sv-SE"/>
        </w:rPr>
        <w:t xml:space="preserve"> v úli sa </w:t>
      </w:r>
      <w:r>
        <w:rPr>
          <w:szCs w:val="22"/>
          <w:lang w:val="es-ES" w:eastAsia="sv-SE"/>
        </w:rPr>
        <w:t>musí liek</w:t>
      </w:r>
      <w:r w:rsidRPr="00F06FF9">
        <w:rPr>
          <w:szCs w:val="22"/>
          <w:lang w:val="es-ES" w:eastAsia="sv-SE"/>
        </w:rPr>
        <w:t xml:space="preserve"> používať nasledovne</w:t>
      </w:r>
      <w:r>
        <w:rPr>
          <w:szCs w:val="22"/>
          <w:lang w:val="es-ES" w:eastAsia="sv-SE"/>
        </w:rPr>
        <w:t>:</w:t>
      </w:r>
    </w:p>
    <w:p w:rsidR="006F5FD3" w:rsidRPr="00937B69" w:rsidRDefault="006F5FD3" w:rsidP="006F5FD3">
      <w:pPr>
        <w:ind w:left="0" w:firstLine="0"/>
        <w:rPr>
          <w:szCs w:val="22"/>
          <w:u w:val="single"/>
          <w:lang w:val="es-ES" w:eastAsia="sv-SE"/>
        </w:rPr>
      </w:pPr>
      <w:r w:rsidRPr="00937B69">
        <w:rPr>
          <w:szCs w:val="22"/>
          <w:u w:val="single"/>
          <w:lang w:val="es-ES" w:eastAsia="sv-SE"/>
        </w:rPr>
        <w:t>Dávkovanie a spôsob podávania kvapkaním v plodisku:</w:t>
      </w:r>
    </w:p>
    <w:p w:rsidR="006F5FD3" w:rsidRPr="00F06FF9" w:rsidRDefault="006F5FD3" w:rsidP="003005BF">
      <w:pPr>
        <w:ind w:left="0" w:firstLine="0"/>
        <w:jc w:val="both"/>
        <w:rPr>
          <w:szCs w:val="22"/>
          <w:lang w:val="es-ES" w:eastAsia="sv-SE"/>
        </w:rPr>
      </w:pPr>
      <w:r w:rsidRPr="00F06FF9">
        <w:rPr>
          <w:szCs w:val="22"/>
          <w:lang w:val="es-ES" w:eastAsia="sv-SE"/>
        </w:rPr>
        <w:t>Otvorte primárny obal v správnej ochrannej maske, rukaviciach a okuliaroch.</w:t>
      </w:r>
      <w:r>
        <w:rPr>
          <w:szCs w:val="22"/>
          <w:lang w:val="es-ES" w:eastAsia="sv-SE"/>
        </w:rPr>
        <w:t xml:space="preserve"> </w:t>
      </w:r>
      <w:r w:rsidRPr="00F06FF9">
        <w:rPr>
          <w:szCs w:val="22"/>
          <w:lang w:val="es-ES" w:eastAsia="sv-SE"/>
        </w:rPr>
        <w:t>Liečba sa má vykonať jednorazovo. Požadovaná dávka je 5 ml na uličku (medzera medzi hornými la</w:t>
      </w:r>
      <w:r>
        <w:rPr>
          <w:szCs w:val="22"/>
          <w:lang w:val="es-ES" w:eastAsia="sv-SE"/>
        </w:rPr>
        <w:t>t</w:t>
      </w:r>
      <w:r w:rsidRPr="00F06FF9">
        <w:rPr>
          <w:szCs w:val="22"/>
          <w:lang w:val="es-ES" w:eastAsia="sv-SE"/>
        </w:rPr>
        <w:t xml:space="preserve">kami rámikov) obsadenú včelami. </w:t>
      </w:r>
      <w:r>
        <w:rPr>
          <w:szCs w:val="22"/>
          <w:lang w:val="es-ES" w:eastAsia="sv-SE"/>
        </w:rPr>
        <w:t>Liek</w:t>
      </w:r>
      <w:r w:rsidRPr="00F06FF9">
        <w:rPr>
          <w:szCs w:val="22"/>
          <w:lang w:val="es-ES" w:eastAsia="sv-SE"/>
        </w:rPr>
        <w:t xml:space="preserve"> sa má </w:t>
      </w:r>
      <w:r>
        <w:rPr>
          <w:szCs w:val="22"/>
          <w:lang w:val="es-ES" w:eastAsia="sv-SE"/>
        </w:rPr>
        <w:t>nanášať</w:t>
      </w:r>
      <w:r w:rsidRPr="00F06FF9">
        <w:rPr>
          <w:szCs w:val="22"/>
          <w:lang w:val="es-ES" w:eastAsia="sv-SE"/>
        </w:rPr>
        <w:t xml:space="preserve"> pomocou striekačky po</w:t>
      </w:r>
      <w:r>
        <w:rPr>
          <w:szCs w:val="22"/>
          <w:lang w:val="es-ES" w:eastAsia="sv-SE"/>
        </w:rPr>
        <w:t>zdĺž</w:t>
      </w:r>
      <w:r w:rsidRPr="00F06FF9">
        <w:rPr>
          <w:szCs w:val="22"/>
          <w:lang w:val="es-ES" w:eastAsia="sv-SE"/>
        </w:rPr>
        <w:t xml:space="preserve"> každej</w:t>
      </w:r>
      <w:r>
        <w:rPr>
          <w:szCs w:val="22"/>
          <w:lang w:val="es-ES" w:eastAsia="sv-SE"/>
        </w:rPr>
        <w:t xml:space="preserve"> obsadenej</w:t>
      </w:r>
      <w:r w:rsidRPr="00F06FF9">
        <w:rPr>
          <w:szCs w:val="22"/>
          <w:lang w:val="es-ES" w:eastAsia="sv-SE"/>
        </w:rPr>
        <w:t xml:space="preserve"> uličky. Maximálna dávka je 50 ml na úľ. </w:t>
      </w:r>
      <w:r w:rsidRPr="00F00A1D">
        <w:rPr>
          <w:szCs w:val="22"/>
          <w:lang w:val="it-IT" w:eastAsia="en-US"/>
        </w:rPr>
        <w:t xml:space="preserve">Odporúčajú sa </w:t>
      </w:r>
      <w:r>
        <w:rPr>
          <w:szCs w:val="22"/>
          <w:lang w:val="it-IT" w:eastAsia="en-US"/>
        </w:rPr>
        <w:t>najviac</w:t>
      </w:r>
      <w:r w:rsidRPr="00F06FF9">
        <w:rPr>
          <w:szCs w:val="22"/>
          <w:lang w:val="es-ES" w:eastAsia="sv-SE"/>
        </w:rPr>
        <w:t xml:space="preserve"> dve ošetrenia ročne (zimná a/alebo jarno-letná).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tabs>
          <w:tab w:val="left" w:pos="567"/>
        </w:tabs>
        <w:ind w:left="0" w:firstLine="0"/>
        <w:rPr>
          <w:i/>
          <w:iCs/>
          <w:szCs w:val="22"/>
          <w:lang w:val="es-ES" w:eastAsia="sv-SE"/>
        </w:rPr>
      </w:pPr>
      <w:r>
        <w:rPr>
          <w:b/>
          <w:bCs/>
          <w:szCs w:val="22"/>
          <w:lang w:val="sv-SE" w:eastAsia="sv-SE"/>
        </w:rPr>
        <w:t xml:space="preserve">11. </w:t>
      </w:r>
      <w:r>
        <w:rPr>
          <w:b/>
          <w:bCs/>
          <w:szCs w:val="22"/>
          <w:lang w:val="sv-SE" w:eastAsia="sv-SE"/>
        </w:rPr>
        <w:tab/>
        <w:t>Pokyn o správnom podaní</w:t>
      </w: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</w:p>
    <w:p w:rsidR="006F5FD3" w:rsidRDefault="006F5FD3" w:rsidP="006F5FD3">
      <w:pPr>
        <w:ind w:left="0" w:firstLine="0"/>
        <w:rPr>
          <w:bCs/>
          <w:szCs w:val="22"/>
        </w:rPr>
      </w:pPr>
      <w:r w:rsidRPr="00F06FF9">
        <w:rPr>
          <w:szCs w:val="22"/>
          <w:u w:val="single"/>
          <w:lang w:val="es-ES" w:eastAsia="sv-SE"/>
        </w:rPr>
        <w:t>Program integrovanej ochrany proti škodcom:</w:t>
      </w:r>
      <w:r w:rsidRPr="00F06FF9">
        <w:rPr>
          <w:bCs/>
          <w:szCs w:val="22"/>
          <w:lang w:val="es-ES"/>
        </w:rPr>
        <w:t xml:space="preserve"> </w:t>
      </w:r>
    </w:p>
    <w:p w:rsidR="006F5FD3" w:rsidRPr="00F06FF9" w:rsidRDefault="006F5FD3" w:rsidP="003005BF">
      <w:pPr>
        <w:ind w:left="0" w:firstLine="0"/>
        <w:jc w:val="both"/>
        <w:rPr>
          <w:szCs w:val="22"/>
          <w:u w:val="single"/>
          <w:lang w:eastAsia="sv-SE"/>
        </w:rPr>
      </w:pPr>
      <w:r>
        <w:rPr>
          <w:bCs/>
          <w:szCs w:val="22"/>
        </w:rPr>
        <w:t>Účinnosť sa môže medzi včelstvami líšiť v závislosti od podmienok použitia(prítomnosť plodu, teploty, opätovné napadnutie atď.). Liek by sa preto mal používať ako prostriedok na ošetrenie okrem iného v rámci programu integrovanej ochrany proti škodcom</w:t>
      </w:r>
      <w:r w:rsidR="003005BF">
        <w:rPr>
          <w:bCs/>
          <w:szCs w:val="22"/>
        </w:rPr>
        <w:t xml:space="preserve"> </w:t>
      </w:r>
      <w:r>
        <w:rPr>
          <w:bCs/>
          <w:szCs w:val="22"/>
        </w:rPr>
        <w:t>s pravidelným monitoringom výskytu resp. sledovaním spádu kliešti</w:t>
      </w:r>
      <w:r w:rsidRPr="007B2662">
        <w:rPr>
          <w:bCs/>
          <w:szCs w:val="22"/>
        </w:rPr>
        <w:t>ka.</w:t>
      </w:r>
      <w:r w:rsidRPr="007B2662">
        <w:rPr>
          <w:szCs w:val="22"/>
          <w:lang w:eastAsia="sv-SE"/>
        </w:rPr>
        <w:t xml:space="preserve"> Nepoužívajte súčasne s inými akaricídmi.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eastAsia="sv-SE"/>
        </w:rPr>
      </w:pPr>
    </w:p>
    <w:p w:rsidR="006F5FD3" w:rsidRPr="00F06FF9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iCs/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 xml:space="preserve">12. </w:t>
      </w:r>
      <w:r w:rsidRPr="00F06FF9">
        <w:rPr>
          <w:b/>
          <w:bCs/>
          <w:szCs w:val="22"/>
          <w:lang w:val="es-ES" w:eastAsia="sv-SE"/>
        </w:rPr>
        <w:tab/>
        <w:t>Ochranná lehota (-y)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  <w:r w:rsidRPr="00F06FF9">
        <w:rPr>
          <w:szCs w:val="22"/>
          <w:u w:val="single"/>
          <w:lang w:val="es-ES" w:eastAsia="sv-SE"/>
        </w:rPr>
        <w:t>Ochranná lehota</w:t>
      </w:r>
      <w:r w:rsidRPr="00F06FF9">
        <w:rPr>
          <w:szCs w:val="22"/>
          <w:lang w:val="es-ES" w:eastAsia="sv-SE"/>
        </w:rPr>
        <w:t xml:space="preserve">: </w:t>
      </w:r>
    </w:p>
    <w:p w:rsidR="006F5FD3" w:rsidRPr="00F06FF9" w:rsidRDefault="006F5FD3" w:rsidP="006F5FD3">
      <w:pPr>
        <w:rPr>
          <w:szCs w:val="22"/>
          <w:lang w:val="es-ES" w:eastAsia="en-US"/>
        </w:rPr>
      </w:pPr>
      <w:r w:rsidRPr="00F06FF9">
        <w:rPr>
          <w:szCs w:val="22"/>
          <w:lang w:val="es-ES" w:eastAsia="en-US"/>
        </w:rPr>
        <w:t>Med: Bez ochrannej lehoty</w:t>
      </w:r>
      <w:r>
        <w:rPr>
          <w:szCs w:val="22"/>
          <w:lang w:val="es-ES" w:eastAsia="en-US"/>
        </w:rPr>
        <w:t xml:space="preserve">. </w:t>
      </w:r>
      <w:r w:rsidRPr="00F06FF9">
        <w:rPr>
          <w:szCs w:val="22"/>
          <w:lang w:val="es-ES" w:eastAsia="en-US"/>
        </w:rPr>
        <w:t>Nepoužívať v medníkoch</w:t>
      </w:r>
      <w:r>
        <w:rPr>
          <w:szCs w:val="22"/>
          <w:lang w:val="es-ES" w:eastAsia="en-US"/>
        </w:rPr>
        <w:t xml:space="preserve"> alebo</w:t>
      </w:r>
      <w:r w:rsidRPr="00F06FF9">
        <w:rPr>
          <w:szCs w:val="22"/>
          <w:lang w:val="es-ES" w:eastAsia="en-US"/>
        </w:rPr>
        <w:t xml:space="preserve"> počas znášky medu</w:t>
      </w:r>
      <w:r>
        <w:rPr>
          <w:szCs w:val="22"/>
          <w:lang w:val="es-ES" w:eastAsia="en-US"/>
        </w:rPr>
        <w:t>.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iCs/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>13.</w:t>
      </w:r>
      <w:r w:rsidRPr="00F06FF9">
        <w:rPr>
          <w:b/>
          <w:bCs/>
          <w:szCs w:val="22"/>
          <w:lang w:val="es-ES" w:eastAsia="sv-SE"/>
        </w:rPr>
        <w:tab/>
        <w:t>Osobitné bezpečnostné opatrenia na uchovávanie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7B2662" w:rsidRDefault="009E548D" w:rsidP="003005BF">
      <w:pPr>
        <w:ind w:left="0" w:firstLine="0"/>
        <w:jc w:val="both"/>
        <w:rPr>
          <w:rFonts w:eastAsia="SimSun"/>
          <w:szCs w:val="22"/>
          <w:lang w:val="es-ES" w:eastAsia="zh-CN"/>
        </w:rPr>
      </w:pPr>
      <w:r>
        <w:rPr>
          <w:rFonts w:eastAsia="SimSun"/>
          <w:szCs w:val="22"/>
          <w:lang w:val="es-ES" w:eastAsia="zh-CN"/>
        </w:rPr>
        <w:t>Neuchovávať</w:t>
      </w:r>
      <w:r w:rsidR="006F5FD3" w:rsidRPr="00F06FF9">
        <w:rPr>
          <w:rFonts w:eastAsia="SimSun"/>
          <w:szCs w:val="22"/>
          <w:lang w:val="es-ES" w:eastAsia="zh-CN"/>
        </w:rPr>
        <w:t xml:space="preserve"> v chladničke alebo mrazničke.</w:t>
      </w:r>
      <w:r w:rsidR="006F5FD3">
        <w:rPr>
          <w:rFonts w:eastAsia="SimSun"/>
          <w:szCs w:val="22"/>
          <w:lang w:val="es-ES" w:eastAsia="zh-CN"/>
        </w:rPr>
        <w:t xml:space="preserve"> </w:t>
      </w:r>
      <w:r w:rsidR="006F5FD3" w:rsidRPr="00F06FF9">
        <w:rPr>
          <w:rFonts w:eastAsia="SimSun"/>
          <w:szCs w:val="22"/>
          <w:lang w:val="es-ES" w:eastAsia="zh-CN"/>
        </w:rPr>
        <w:t>Uchovávať v pôvodnom obale.</w:t>
      </w:r>
      <w:r w:rsidR="006F5FD3">
        <w:rPr>
          <w:rFonts w:eastAsia="SimSun"/>
          <w:szCs w:val="22"/>
          <w:lang w:val="es-ES" w:eastAsia="zh-CN"/>
        </w:rPr>
        <w:t xml:space="preserve"> </w:t>
      </w:r>
      <w:r w:rsidR="006F5FD3" w:rsidRPr="00F06FF9">
        <w:rPr>
          <w:szCs w:val="22"/>
          <w:lang w:val="es-ES" w:eastAsia="sv-SE"/>
        </w:rPr>
        <w:t>Originálne balenie uchováva</w:t>
      </w:r>
      <w:r w:rsidR="006F5FD3">
        <w:rPr>
          <w:szCs w:val="22"/>
          <w:lang w:val="es-ES" w:eastAsia="sv-SE"/>
        </w:rPr>
        <w:t>ť</w:t>
      </w:r>
      <w:r w:rsidR="006F5FD3" w:rsidRPr="00F06FF9">
        <w:rPr>
          <w:szCs w:val="22"/>
          <w:lang w:val="es-ES" w:eastAsia="sv-SE"/>
        </w:rPr>
        <w:t xml:space="preserve"> dôkladne uzatvorené na ochranu pred svetlom a vlhkosťou. Sklad</w:t>
      </w:r>
      <w:r w:rsidR="006F5FD3">
        <w:rPr>
          <w:szCs w:val="22"/>
          <w:lang w:val="es-ES" w:eastAsia="sv-SE"/>
        </w:rPr>
        <w:t>ovať</w:t>
      </w:r>
      <w:r w:rsidR="006F5FD3" w:rsidRPr="00F06FF9">
        <w:rPr>
          <w:szCs w:val="22"/>
          <w:lang w:val="es-ES" w:eastAsia="sv-SE"/>
        </w:rPr>
        <w:t xml:space="preserve"> mimo potravín.</w:t>
      </w:r>
      <w:r w:rsidR="006F5FD3">
        <w:rPr>
          <w:szCs w:val="22"/>
          <w:lang w:val="es-ES" w:eastAsia="sv-SE"/>
        </w:rPr>
        <w:t xml:space="preserve"> </w:t>
      </w:r>
      <w:bookmarkStart w:id="1" w:name="_Hlk64376944"/>
      <w:r w:rsidR="006F5FD3" w:rsidRPr="00F06FF9">
        <w:rPr>
          <w:rFonts w:eastAsia="SimSun"/>
          <w:szCs w:val="22"/>
          <w:lang w:val="es-ES" w:eastAsia="zh-CN"/>
        </w:rPr>
        <w:t xml:space="preserve">Nepoužívať tento veterinárny liek po dátume exspirácie uvedenom na </w:t>
      </w:r>
      <w:r w:rsidR="006F5FD3">
        <w:rPr>
          <w:rFonts w:eastAsia="SimSun"/>
          <w:szCs w:val="22"/>
          <w:lang w:val="es-ES" w:eastAsia="zh-CN"/>
        </w:rPr>
        <w:t>obale</w:t>
      </w:r>
      <w:r w:rsidR="006F5FD3" w:rsidRPr="00F06FF9">
        <w:rPr>
          <w:rFonts w:eastAsia="SimSun"/>
          <w:szCs w:val="22"/>
          <w:lang w:val="es-ES" w:eastAsia="zh-CN"/>
        </w:rPr>
        <w:t xml:space="preserve"> po EXP. Dátum exspirácie sa vzťahuje na posledný deň v uvedenom mesiaci.</w:t>
      </w:r>
    </w:p>
    <w:bookmarkEnd w:id="1"/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tabs>
          <w:tab w:val="left" w:pos="567"/>
        </w:tabs>
        <w:ind w:left="0" w:firstLine="0"/>
        <w:rPr>
          <w:i/>
          <w:iCs/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>14.</w:t>
      </w:r>
      <w:r w:rsidRPr="00F06FF9">
        <w:rPr>
          <w:b/>
          <w:bCs/>
          <w:szCs w:val="22"/>
          <w:lang w:val="es-ES" w:eastAsia="sv-SE"/>
        </w:rPr>
        <w:tab/>
        <w:t>Osobitné upozornenie (upozornenia)</w:t>
      </w:r>
    </w:p>
    <w:p w:rsidR="006F5FD3" w:rsidRPr="00F06FF9" w:rsidRDefault="006F5FD3" w:rsidP="006F5FD3">
      <w:pPr>
        <w:autoSpaceDE w:val="0"/>
        <w:autoSpaceDN w:val="0"/>
        <w:adjustRightInd w:val="0"/>
        <w:ind w:left="0" w:firstLine="0"/>
        <w:rPr>
          <w:color w:val="000000"/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  <w:r w:rsidRPr="00F06FF9">
        <w:rPr>
          <w:rFonts w:eastAsia="SimSun"/>
          <w:szCs w:val="22"/>
          <w:u w:val="single"/>
          <w:lang w:val="es-ES" w:eastAsia="zh-CN"/>
        </w:rPr>
        <w:t>Osobitné bezpečnostné opatrenia pre každý cieľový druh</w:t>
      </w:r>
      <w:r w:rsidRPr="00F06FF9">
        <w:rPr>
          <w:rFonts w:eastAsia="SimSun"/>
          <w:szCs w:val="22"/>
          <w:lang w:val="es-ES" w:eastAsia="zh-CN"/>
        </w:rPr>
        <w:t xml:space="preserve">: </w:t>
      </w:r>
    </w:p>
    <w:p w:rsidR="006F5FD3" w:rsidRPr="00F06FF9" w:rsidRDefault="006F5FD3" w:rsidP="003005BF">
      <w:pPr>
        <w:ind w:left="0" w:firstLine="0"/>
        <w:jc w:val="both"/>
        <w:rPr>
          <w:rFonts w:eastAsia="SimSun"/>
          <w:szCs w:val="22"/>
          <w:lang w:val="es-ES" w:eastAsia="zh-CN"/>
        </w:rPr>
      </w:pPr>
      <w:bookmarkStart w:id="2" w:name="_Hlk64369549"/>
      <w:r w:rsidRPr="00F06FF9">
        <w:rPr>
          <w:rFonts w:eastAsia="SimSun"/>
          <w:szCs w:val="22"/>
          <w:lang w:val="es-ES" w:eastAsia="zh-CN"/>
        </w:rPr>
        <w:t xml:space="preserve">Účinnosť </w:t>
      </w:r>
      <w:r>
        <w:rPr>
          <w:rFonts w:eastAsia="SimSun"/>
          <w:szCs w:val="22"/>
          <w:lang w:val="es-ES" w:eastAsia="zh-CN"/>
        </w:rPr>
        <w:t>lieku sa</w:t>
      </w:r>
      <w:r w:rsidRPr="00F06FF9">
        <w:rPr>
          <w:rFonts w:eastAsia="SimSun"/>
          <w:szCs w:val="22"/>
          <w:lang w:val="es-ES" w:eastAsia="zh-CN"/>
        </w:rPr>
        <w:t xml:space="preserve"> významne znižuje</w:t>
      </w:r>
      <w:r>
        <w:rPr>
          <w:rFonts w:eastAsia="SimSun"/>
          <w:szCs w:val="22"/>
          <w:lang w:val="es-ES" w:eastAsia="zh-CN"/>
        </w:rPr>
        <w:t xml:space="preserve"> za</w:t>
      </w:r>
      <w:r w:rsidRPr="00F06FF9">
        <w:rPr>
          <w:rFonts w:eastAsia="SimSun"/>
          <w:szCs w:val="22"/>
          <w:lang w:val="es-ES" w:eastAsia="zh-CN"/>
        </w:rPr>
        <w:t xml:space="preserve"> prítomno</w:t>
      </w:r>
      <w:r>
        <w:rPr>
          <w:rFonts w:eastAsia="SimSun"/>
          <w:szCs w:val="22"/>
          <w:lang w:val="es-ES" w:eastAsia="zh-CN"/>
        </w:rPr>
        <w:t>ti</w:t>
      </w:r>
      <w:r w:rsidRPr="00F06FF9">
        <w:rPr>
          <w:rFonts w:eastAsia="SimSun"/>
          <w:szCs w:val="22"/>
          <w:lang w:val="es-ES" w:eastAsia="zh-CN"/>
        </w:rPr>
        <w:t xml:space="preserve"> plodu. Používanie </w:t>
      </w:r>
      <w:r>
        <w:rPr>
          <w:rFonts w:eastAsia="SimSun"/>
          <w:szCs w:val="22"/>
          <w:lang w:val="es-ES" w:eastAsia="zh-CN"/>
        </w:rPr>
        <w:t>lieku</w:t>
      </w:r>
      <w:r w:rsidRPr="00F06FF9">
        <w:rPr>
          <w:rFonts w:eastAsia="SimSun"/>
          <w:szCs w:val="22"/>
          <w:lang w:val="es-ES" w:eastAsia="zh-CN"/>
        </w:rPr>
        <w:t xml:space="preserve"> by sa malo obmedziť na </w:t>
      </w:r>
      <w:r>
        <w:rPr>
          <w:rFonts w:eastAsia="SimSun"/>
          <w:szCs w:val="22"/>
          <w:lang w:val="es-ES" w:eastAsia="zh-CN"/>
        </w:rPr>
        <w:t>včelstvá</w:t>
      </w:r>
      <w:r w:rsidRPr="00F06FF9">
        <w:rPr>
          <w:rFonts w:eastAsia="SimSun"/>
          <w:szCs w:val="22"/>
          <w:lang w:val="es-ES" w:eastAsia="zh-CN"/>
        </w:rPr>
        <w:t xml:space="preserve"> bez alebo len s malým množstvom plodu. Ošetrenie by sa preto malo prednostne vykonávať v zime alebo keď sú matky </w:t>
      </w:r>
      <w:r w:rsidR="003005BF">
        <w:rPr>
          <w:rFonts w:eastAsia="SimSun"/>
          <w:szCs w:val="22"/>
          <w:lang w:val="es-ES" w:eastAsia="zh-CN"/>
        </w:rPr>
        <w:t>obmedzené v plodovaní  klietkou</w:t>
      </w:r>
      <w:r w:rsidRPr="00F06FF9">
        <w:rPr>
          <w:rFonts w:eastAsia="SimSun"/>
          <w:szCs w:val="22"/>
          <w:lang w:val="es-ES" w:eastAsia="zh-CN"/>
        </w:rPr>
        <w:t>/izolátorom. Pri letnom ošetrení sa dosiahla naj</w:t>
      </w:r>
      <w:r>
        <w:rPr>
          <w:rFonts w:eastAsia="SimSun"/>
          <w:szCs w:val="22"/>
          <w:lang w:val="es-ES" w:eastAsia="zh-CN"/>
        </w:rPr>
        <w:t>vyššia</w:t>
      </w:r>
      <w:r w:rsidRPr="00F06FF9">
        <w:rPr>
          <w:rFonts w:eastAsia="SimSun"/>
          <w:szCs w:val="22"/>
          <w:lang w:val="es-ES" w:eastAsia="zh-CN"/>
        </w:rPr>
        <w:t xml:space="preserve"> účinnosť, keď obdobie obmedzenia po umiestnení matky do klietky/izolátora bolo najmenej 25 dní a kolónie ostali bez plodu. Správnu účinnosť je možné dosiahnuť </w:t>
      </w:r>
      <w:r>
        <w:rPr>
          <w:rFonts w:eastAsia="SimSun"/>
          <w:szCs w:val="22"/>
          <w:lang w:val="es-ES" w:eastAsia="zh-CN"/>
        </w:rPr>
        <w:t xml:space="preserve">pri </w:t>
      </w:r>
      <w:r w:rsidRPr="00F06FF9">
        <w:rPr>
          <w:rFonts w:eastAsia="SimSun"/>
          <w:szCs w:val="22"/>
          <w:lang w:val="es-ES" w:eastAsia="zh-CN"/>
        </w:rPr>
        <w:t>miern</w:t>
      </w:r>
      <w:r>
        <w:rPr>
          <w:rFonts w:eastAsia="SimSun"/>
          <w:szCs w:val="22"/>
          <w:lang w:val="es-ES" w:eastAsia="zh-CN"/>
        </w:rPr>
        <w:t>om</w:t>
      </w:r>
      <w:r w:rsidRPr="00F06FF9">
        <w:rPr>
          <w:rFonts w:eastAsia="SimSun"/>
          <w:szCs w:val="22"/>
          <w:lang w:val="es-ES" w:eastAsia="zh-CN"/>
        </w:rPr>
        <w:t xml:space="preserve"> alebo stredn</w:t>
      </w:r>
      <w:r>
        <w:rPr>
          <w:rFonts w:eastAsia="SimSun"/>
          <w:szCs w:val="22"/>
          <w:lang w:val="es-ES" w:eastAsia="zh-CN"/>
        </w:rPr>
        <w:t>om</w:t>
      </w:r>
      <w:r w:rsidRPr="00F06FF9">
        <w:rPr>
          <w:rFonts w:eastAsia="SimSun"/>
          <w:szCs w:val="22"/>
          <w:lang w:val="es-ES" w:eastAsia="zh-CN"/>
        </w:rPr>
        <w:t xml:space="preserve"> napadnut</w:t>
      </w:r>
      <w:r>
        <w:rPr>
          <w:rFonts w:eastAsia="SimSun"/>
          <w:szCs w:val="22"/>
          <w:lang w:val="es-ES" w:eastAsia="zh-CN"/>
        </w:rPr>
        <w:t>í</w:t>
      </w:r>
      <w:r w:rsidRPr="00F06FF9">
        <w:rPr>
          <w:rFonts w:eastAsia="SimSun"/>
          <w:szCs w:val="22"/>
          <w:lang w:val="es-ES" w:eastAsia="zh-CN"/>
        </w:rPr>
        <w:t>.</w:t>
      </w:r>
      <w:r>
        <w:rPr>
          <w:rFonts w:eastAsia="SimSun"/>
          <w:szCs w:val="22"/>
          <w:lang w:val="es-ES" w:eastAsia="zh-CN"/>
        </w:rPr>
        <w:t xml:space="preserve"> </w:t>
      </w:r>
      <w:r w:rsidRPr="00F06FF9">
        <w:rPr>
          <w:rFonts w:eastAsia="SimSun"/>
          <w:szCs w:val="22"/>
          <w:lang w:val="es-ES" w:eastAsia="zh-CN"/>
        </w:rPr>
        <w:t xml:space="preserve">Napriek správnej liečbe nemusia vážne poškodené kolónie prežiť v dôsledku napadnutia klieštikom. Používanie </w:t>
      </w:r>
      <w:r>
        <w:rPr>
          <w:rFonts w:eastAsia="SimSun"/>
          <w:szCs w:val="22"/>
          <w:lang w:val="es-ES" w:eastAsia="zh-CN"/>
        </w:rPr>
        <w:t>lieku</w:t>
      </w:r>
      <w:r w:rsidRPr="00F06FF9">
        <w:rPr>
          <w:rFonts w:eastAsia="SimSun"/>
          <w:szCs w:val="22"/>
          <w:lang w:val="es-ES" w:eastAsia="zh-CN"/>
        </w:rPr>
        <w:t xml:space="preserve"> sa odporúča ako súčasť programu integrovanej ochrany proti škodcom s pravidelným monitorovaním spádu roztočov.</w:t>
      </w:r>
    </w:p>
    <w:bookmarkEnd w:id="2"/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  <w:r w:rsidRPr="00F06FF9">
        <w:rPr>
          <w:rFonts w:eastAsia="SimSun"/>
          <w:szCs w:val="22"/>
          <w:u w:val="single"/>
          <w:lang w:val="es-ES" w:eastAsia="zh-CN"/>
        </w:rPr>
        <w:t>Osobitné bezpečnostné opatrenia na používanie u zvierat</w:t>
      </w:r>
      <w:r w:rsidRPr="00F06FF9">
        <w:rPr>
          <w:rFonts w:eastAsia="SimSun"/>
          <w:szCs w:val="22"/>
          <w:lang w:val="es-ES" w:eastAsia="zh-CN"/>
        </w:rPr>
        <w:t>:</w:t>
      </w:r>
    </w:p>
    <w:p w:rsidR="006F5FD3" w:rsidRPr="00F06FF9" w:rsidRDefault="006F5FD3" w:rsidP="003005BF">
      <w:pPr>
        <w:ind w:left="0" w:firstLine="0"/>
        <w:jc w:val="both"/>
        <w:rPr>
          <w:szCs w:val="22"/>
          <w:lang w:val="es-ES" w:eastAsia="sv-SE"/>
        </w:rPr>
      </w:pPr>
      <w:r w:rsidRPr="00F06FF9">
        <w:rPr>
          <w:szCs w:val="22"/>
          <w:lang w:val="es-ES" w:eastAsia="sv-SE"/>
        </w:rPr>
        <w:t xml:space="preserve">Neprekračujte odporúčanú dávku. Opakované podávanie môže viesť k vážnemu </w:t>
      </w:r>
      <w:r>
        <w:rPr>
          <w:szCs w:val="22"/>
          <w:lang w:val="es-ES" w:eastAsia="sv-SE"/>
        </w:rPr>
        <w:t>ohrozeniu včelstiev</w:t>
      </w:r>
      <w:r w:rsidRPr="00F06FF9">
        <w:rPr>
          <w:szCs w:val="22"/>
          <w:lang w:val="es-ES" w:eastAsia="sv-SE"/>
        </w:rPr>
        <w:t xml:space="preserve">. Všetky včelstvá na </w:t>
      </w:r>
      <w:r>
        <w:rPr>
          <w:szCs w:val="22"/>
          <w:lang w:val="es-ES" w:eastAsia="sv-SE"/>
        </w:rPr>
        <w:t xml:space="preserve">jednom </w:t>
      </w:r>
      <w:r w:rsidRPr="00F06FF9">
        <w:rPr>
          <w:szCs w:val="22"/>
          <w:lang w:val="es-ES" w:eastAsia="sv-SE"/>
        </w:rPr>
        <w:t>stanovi</w:t>
      </w:r>
      <w:r>
        <w:rPr>
          <w:szCs w:val="22"/>
          <w:lang w:val="es-ES" w:eastAsia="sv-SE"/>
        </w:rPr>
        <w:t>sku</w:t>
      </w:r>
      <w:r w:rsidRPr="00F06FF9">
        <w:rPr>
          <w:szCs w:val="22"/>
          <w:lang w:val="es-ES" w:eastAsia="sv-SE"/>
        </w:rPr>
        <w:t xml:space="preserve">/včelíne </w:t>
      </w:r>
      <w:r>
        <w:rPr>
          <w:szCs w:val="22"/>
          <w:lang w:val="es-ES" w:eastAsia="sv-SE"/>
        </w:rPr>
        <w:t xml:space="preserve">by sa mali </w:t>
      </w:r>
      <w:r w:rsidRPr="00F06FF9">
        <w:rPr>
          <w:szCs w:val="22"/>
          <w:lang w:val="es-ES" w:eastAsia="sv-SE"/>
        </w:rPr>
        <w:t xml:space="preserve">ošetrovať súčasne, aby sa zabránilo </w:t>
      </w:r>
      <w:r>
        <w:rPr>
          <w:szCs w:val="22"/>
          <w:lang w:val="es-ES" w:eastAsia="sv-SE"/>
        </w:rPr>
        <w:t>opätovnému zamoreniu</w:t>
      </w:r>
      <w:r w:rsidRPr="00F06FF9">
        <w:rPr>
          <w:szCs w:val="22"/>
          <w:lang w:val="es-ES" w:eastAsia="sv-SE"/>
        </w:rPr>
        <w:t xml:space="preserve">. </w:t>
      </w:r>
      <w:r>
        <w:rPr>
          <w:szCs w:val="22"/>
        </w:rPr>
        <w:t>Niekoľko dní po ošetrení sa v</w:t>
      </w:r>
      <w:r w:rsidRPr="00512698">
        <w:rPr>
          <w:szCs w:val="22"/>
        </w:rPr>
        <w:t>yhnite</w:t>
      </w:r>
      <w:r>
        <w:rPr>
          <w:szCs w:val="22"/>
        </w:rPr>
        <w:t xml:space="preserve"> </w:t>
      </w:r>
      <w:r w:rsidRPr="00512698">
        <w:rPr>
          <w:szCs w:val="22"/>
        </w:rPr>
        <w:t xml:space="preserve">vyrušovaniu </w:t>
      </w:r>
      <w:r>
        <w:rPr>
          <w:szCs w:val="22"/>
        </w:rPr>
        <w:t>včelstiev</w:t>
      </w:r>
      <w:r w:rsidRPr="00F06FF9">
        <w:rPr>
          <w:szCs w:val="22"/>
          <w:lang w:val="es-ES" w:eastAsia="sv-SE"/>
        </w:rPr>
        <w:t xml:space="preserve">. </w:t>
      </w:r>
      <w:r>
        <w:t>Počas liečby zabráňte  usadeniu zvyškov lieku na rámikoch, ktoré sa budú používať na produkciu medu</w:t>
      </w:r>
      <w:r w:rsidR="003005BF">
        <w:t>.</w:t>
      </w:r>
      <w:r w:rsidRPr="00F06FF9" w:rsidDel="00810812">
        <w:rPr>
          <w:szCs w:val="22"/>
          <w:lang w:val="es-ES" w:eastAsia="sv-SE"/>
        </w:rPr>
        <w:t xml:space="preserve"> </w:t>
      </w:r>
    </w:p>
    <w:p w:rsidR="003005BF" w:rsidRDefault="003005BF" w:rsidP="006F5FD3">
      <w:pPr>
        <w:ind w:left="0" w:firstLine="0"/>
        <w:rPr>
          <w:rFonts w:eastAsia="SimSun"/>
          <w:szCs w:val="22"/>
          <w:u w:val="single"/>
          <w:lang w:val="es-ES" w:eastAsia="zh-CN"/>
        </w:rPr>
      </w:pP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  <w:r w:rsidRPr="00F06FF9">
        <w:rPr>
          <w:rFonts w:eastAsia="SimSun"/>
          <w:szCs w:val="22"/>
          <w:u w:val="single"/>
          <w:lang w:val="es-ES" w:eastAsia="zh-CN"/>
        </w:rPr>
        <w:t>Osobitné bezpečnostné opatrenia, ktoré má urobiť osoba podávajúca liek zvieratám</w:t>
      </w:r>
      <w:r w:rsidRPr="00F06FF9">
        <w:rPr>
          <w:rFonts w:eastAsia="SimSun"/>
          <w:szCs w:val="22"/>
          <w:lang w:val="es-ES" w:eastAsia="zh-CN"/>
        </w:rPr>
        <w:t>:</w:t>
      </w:r>
    </w:p>
    <w:p w:rsidR="006F5FD3" w:rsidRPr="00F06FF9" w:rsidRDefault="006F5FD3" w:rsidP="003005BF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val="es-ES" w:eastAsia="sv-SE"/>
        </w:rPr>
      </w:pPr>
      <w:r w:rsidRPr="00F06FF9">
        <w:rPr>
          <w:color w:val="000000"/>
          <w:szCs w:val="22"/>
          <w:lang w:val="es-ES" w:eastAsia="sv-SE"/>
        </w:rPr>
        <w:lastRenderedPageBreak/>
        <w:t>Roztok je kyselina, ktorý by mohol spôsobiť vážne podráždenie pokožky, očí a dýchacích ciest.</w:t>
      </w:r>
      <w:r>
        <w:rPr>
          <w:color w:val="000000"/>
          <w:szCs w:val="22"/>
          <w:lang w:val="es-ES" w:eastAsia="sv-SE"/>
        </w:rPr>
        <w:t xml:space="preserve"> </w:t>
      </w:r>
      <w:r w:rsidRPr="00F06FF9">
        <w:rPr>
          <w:color w:val="000000"/>
          <w:szCs w:val="22"/>
          <w:lang w:val="es-ES" w:eastAsia="sv-SE"/>
        </w:rPr>
        <w:t xml:space="preserve">Je potrebné </w:t>
      </w:r>
      <w:r>
        <w:rPr>
          <w:color w:val="000000"/>
          <w:szCs w:val="22"/>
          <w:lang w:val="es-ES" w:eastAsia="sv-SE"/>
        </w:rPr>
        <w:t>vyhnúť sa</w:t>
      </w:r>
      <w:r w:rsidRPr="00F06FF9">
        <w:rPr>
          <w:color w:val="000000"/>
          <w:szCs w:val="22"/>
          <w:lang w:val="es-ES" w:eastAsia="sv-SE"/>
        </w:rPr>
        <w:t xml:space="preserve"> priamemu kontaktu s pokožkou a očami alebo vdýchnutiu. Pri manipulácii s roztokom (počas </w:t>
      </w:r>
      <w:r>
        <w:rPr>
          <w:color w:val="000000"/>
          <w:szCs w:val="22"/>
          <w:lang w:val="es-ES" w:eastAsia="sv-SE"/>
        </w:rPr>
        <w:t>prí</w:t>
      </w:r>
      <w:r w:rsidRPr="00F06FF9">
        <w:rPr>
          <w:color w:val="000000"/>
          <w:szCs w:val="22"/>
          <w:lang w:val="es-ES" w:eastAsia="sv-SE"/>
        </w:rPr>
        <w:t xml:space="preserve">pravy a </w:t>
      </w:r>
      <w:r>
        <w:rPr>
          <w:color w:val="000000"/>
          <w:szCs w:val="22"/>
          <w:lang w:val="es-ES" w:eastAsia="sv-SE"/>
        </w:rPr>
        <w:t>aplikácie</w:t>
      </w:r>
      <w:r w:rsidRPr="00F06FF9">
        <w:rPr>
          <w:color w:val="000000"/>
          <w:szCs w:val="22"/>
          <w:lang w:val="es-ES" w:eastAsia="sv-SE"/>
        </w:rPr>
        <w:t xml:space="preserve">) noste ochrannú masku zodpovedajúcu európskej norme EN149 (typ FFP2), rukavice odolné voči kyselinám a ochranné okuliare. Po aplikácii si umyť ruky a materiál, ktorý bol v kontakte s </w:t>
      </w:r>
      <w:r>
        <w:rPr>
          <w:color w:val="000000"/>
          <w:szCs w:val="22"/>
          <w:lang w:val="es-ES" w:eastAsia="sv-SE"/>
        </w:rPr>
        <w:t>liekom</w:t>
      </w:r>
      <w:r w:rsidRPr="00F06FF9">
        <w:rPr>
          <w:color w:val="000000"/>
          <w:szCs w:val="22"/>
          <w:lang w:val="es-ES" w:eastAsia="sv-SE"/>
        </w:rPr>
        <w:t xml:space="preserve">, mydlom a vodou. V prípade kontaktu s pokožkou, postihnuté miesto dôkladne umyte mydlom a vodou. V prípade kontaktu s očami je potrebné oči dôkladne umyť veľkým množstvom čistej tečúcej vody a vyhľadať lekársku pomoc. Nevdychujte. V prípade náhodného </w:t>
      </w:r>
      <w:r>
        <w:rPr>
          <w:color w:val="000000"/>
          <w:szCs w:val="22"/>
          <w:lang w:val="es-ES" w:eastAsia="sv-SE"/>
        </w:rPr>
        <w:t>vdýchnutia</w:t>
      </w:r>
      <w:r w:rsidRPr="00F06FF9">
        <w:rPr>
          <w:color w:val="000000"/>
          <w:szCs w:val="22"/>
          <w:lang w:val="es-ES" w:eastAsia="sv-SE"/>
        </w:rPr>
        <w:t xml:space="preserve"> sa nadýchajte čerstvého vzduchu. V prípade ťažkostí s dýchaním, okamžite vyhľadajte lekársku pomoc a ukážte </w:t>
      </w:r>
      <w:r>
        <w:rPr>
          <w:color w:val="000000"/>
          <w:szCs w:val="22"/>
          <w:lang w:val="es-ES" w:eastAsia="sv-SE"/>
        </w:rPr>
        <w:t>obal lekárovi</w:t>
      </w:r>
      <w:r w:rsidRPr="00F06FF9">
        <w:rPr>
          <w:color w:val="000000"/>
          <w:szCs w:val="22"/>
          <w:lang w:val="es-ES" w:eastAsia="sv-SE"/>
        </w:rPr>
        <w:t xml:space="preserve">. </w:t>
      </w:r>
      <w:r>
        <w:t>V prípade požitia</w:t>
      </w:r>
      <w:r w:rsidRPr="00F06FF9">
        <w:rPr>
          <w:color w:val="000000"/>
          <w:szCs w:val="22"/>
          <w:lang w:val="es-ES" w:eastAsia="sv-SE"/>
        </w:rPr>
        <w:t xml:space="preserve"> nevyvolávajte vracanie a vyhľadajte lekársku pomoc a ukážte lekárovi toto</w:t>
      </w:r>
      <w:r w:rsidR="003005BF">
        <w:rPr>
          <w:color w:val="000000"/>
          <w:szCs w:val="22"/>
          <w:lang w:val="es-ES" w:eastAsia="sv-SE"/>
        </w:rPr>
        <w:t xml:space="preserve"> </w:t>
      </w:r>
      <w:r>
        <w:rPr>
          <w:color w:val="000000"/>
          <w:szCs w:val="22"/>
          <w:lang w:val="es-ES" w:eastAsia="sv-SE"/>
        </w:rPr>
        <w:t>upozornenie</w:t>
      </w:r>
      <w:r w:rsidRPr="00F06FF9">
        <w:rPr>
          <w:color w:val="000000"/>
          <w:szCs w:val="22"/>
          <w:lang w:val="es-ES" w:eastAsia="sv-SE"/>
        </w:rPr>
        <w:t>. Pri manipulácii s výrobkom nejedzte, nepite ani nefajčite.</w:t>
      </w:r>
    </w:p>
    <w:p w:rsidR="006F5FD3" w:rsidRPr="00F06FF9" w:rsidRDefault="006F5FD3" w:rsidP="006F5FD3">
      <w:pPr>
        <w:autoSpaceDE w:val="0"/>
        <w:autoSpaceDN w:val="0"/>
        <w:adjustRightInd w:val="0"/>
        <w:ind w:left="0" w:firstLine="0"/>
        <w:rPr>
          <w:color w:val="000000"/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  <w:r w:rsidRPr="00F06FF9">
        <w:rPr>
          <w:rFonts w:eastAsia="SimSun"/>
          <w:szCs w:val="22"/>
          <w:u w:val="single"/>
          <w:lang w:val="es-ES" w:eastAsia="zh-CN"/>
        </w:rPr>
        <w:t>Liekové interakcie a iné formy vzájomného pôsobenia</w:t>
      </w:r>
      <w:r w:rsidRPr="00F06FF9">
        <w:rPr>
          <w:rFonts w:eastAsia="SimSun"/>
          <w:szCs w:val="22"/>
          <w:lang w:val="es-ES" w:eastAsia="zh-CN"/>
        </w:rPr>
        <w:t>:</w:t>
      </w: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  <w:r w:rsidRPr="00F06FF9">
        <w:rPr>
          <w:rFonts w:eastAsia="SimSun"/>
          <w:szCs w:val="22"/>
          <w:lang w:val="es-ES" w:eastAsia="zh-CN"/>
        </w:rPr>
        <w:t>Nepoužívať súčasne s inými akaricídmi.</w:t>
      </w: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  <w:r w:rsidRPr="00F06FF9">
        <w:rPr>
          <w:rFonts w:eastAsia="SimSun"/>
          <w:szCs w:val="22"/>
          <w:u w:val="single"/>
          <w:lang w:val="es-ES" w:eastAsia="zh-CN"/>
        </w:rPr>
        <w:t>Predávkovanie (príznaky, núdzové postupy, antidotá)</w:t>
      </w:r>
      <w:r w:rsidRPr="00F06FF9">
        <w:rPr>
          <w:rFonts w:eastAsia="SimSun"/>
          <w:szCs w:val="22"/>
          <w:lang w:val="es-ES" w:eastAsia="zh-CN"/>
        </w:rPr>
        <w:t>:</w:t>
      </w: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  <w:r w:rsidRPr="00F06FF9">
        <w:rPr>
          <w:rFonts w:eastAsia="SimSun"/>
          <w:szCs w:val="22"/>
          <w:lang w:val="es-ES" w:eastAsia="zh-CN"/>
        </w:rPr>
        <w:t>Signifikantne vyššia mortalita včiel</w:t>
      </w:r>
      <w:r w:rsidRPr="00810812">
        <w:t xml:space="preserve"> </w:t>
      </w:r>
      <w:r>
        <w:t>sa pozorovala v  úľoch, ktoré dostali trojnásobné dávky lieku (nakvapkaním)</w:t>
      </w:r>
      <w:r w:rsidRPr="00F06FF9">
        <w:rPr>
          <w:rFonts w:eastAsia="SimSun"/>
          <w:szCs w:val="22"/>
          <w:lang w:val="es-ES" w:eastAsia="zh-CN"/>
        </w:rPr>
        <w:t xml:space="preserve">. Okrem toho pri predávkovaní môže byť znížená schopnosť prezimovania </w:t>
      </w:r>
      <w:r>
        <w:rPr>
          <w:rFonts w:eastAsia="SimSun"/>
          <w:szCs w:val="22"/>
          <w:lang w:val="es-ES" w:eastAsia="zh-CN"/>
        </w:rPr>
        <w:t>včelstiev</w:t>
      </w:r>
      <w:r w:rsidRPr="00F06FF9">
        <w:rPr>
          <w:rFonts w:eastAsia="SimSun"/>
          <w:szCs w:val="22"/>
          <w:lang w:val="es-ES" w:eastAsia="zh-CN"/>
        </w:rPr>
        <w:t xml:space="preserve">, môže dôjsť k strate </w:t>
      </w:r>
      <w:r>
        <w:rPr>
          <w:rFonts w:eastAsia="SimSun"/>
          <w:szCs w:val="22"/>
          <w:lang w:val="es-ES" w:eastAsia="zh-CN"/>
        </w:rPr>
        <w:t>kráľovnej</w:t>
      </w:r>
      <w:r w:rsidRPr="00F06FF9">
        <w:rPr>
          <w:rFonts w:eastAsia="SimSun"/>
          <w:szCs w:val="22"/>
          <w:lang w:val="es-ES" w:eastAsia="zh-CN"/>
        </w:rPr>
        <w:t xml:space="preserve"> a tiež môže byť ovplyvnený jarný vývoj</w:t>
      </w:r>
      <w:r>
        <w:rPr>
          <w:rFonts w:eastAsia="SimSun"/>
          <w:szCs w:val="22"/>
          <w:lang w:val="es-ES" w:eastAsia="zh-CN"/>
        </w:rPr>
        <w:t xml:space="preserve"> rodín</w:t>
      </w:r>
      <w:r w:rsidRPr="00F06FF9">
        <w:rPr>
          <w:rFonts w:eastAsia="SimSun"/>
          <w:szCs w:val="22"/>
          <w:lang w:val="es-ES" w:eastAsia="zh-CN"/>
        </w:rPr>
        <w:t xml:space="preserve">. </w:t>
      </w: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  <w:r w:rsidRPr="00F06FF9">
        <w:rPr>
          <w:rFonts w:eastAsia="SimSun"/>
          <w:bCs/>
          <w:szCs w:val="22"/>
          <w:u w:val="single"/>
          <w:lang w:val="es-ES" w:eastAsia="zh-CN"/>
        </w:rPr>
        <w:t>Inkompatibility</w:t>
      </w:r>
      <w:r w:rsidRPr="00F06FF9">
        <w:rPr>
          <w:rFonts w:eastAsia="SimSun"/>
          <w:szCs w:val="22"/>
          <w:lang w:val="es-ES" w:eastAsia="zh-CN"/>
        </w:rPr>
        <w:t>:</w:t>
      </w: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  <w:r w:rsidRPr="00F06FF9">
        <w:rPr>
          <w:szCs w:val="22"/>
          <w:lang w:val="es-ES" w:eastAsia="sv-SE"/>
        </w:rPr>
        <w:t>Z dôvodu chýbania štúdií kompatibility, sa tento veterinárny liek nesmie miešať s inými veterinárnymi liekmi.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rFonts w:eastAsia="SimSun"/>
          <w:b/>
          <w:bCs/>
          <w:szCs w:val="22"/>
          <w:lang w:val="es-ES" w:eastAsia="zh-CN"/>
        </w:rPr>
      </w:pPr>
      <w:r w:rsidRPr="00F06FF9">
        <w:rPr>
          <w:b/>
          <w:bCs/>
          <w:szCs w:val="22"/>
          <w:lang w:val="es-ES" w:eastAsia="sv-SE"/>
        </w:rPr>
        <w:t xml:space="preserve">15. </w:t>
      </w:r>
      <w:r w:rsidRPr="00F06FF9">
        <w:rPr>
          <w:b/>
          <w:bCs/>
          <w:szCs w:val="22"/>
          <w:lang w:val="es-ES" w:eastAsia="sv-SE"/>
        </w:rPr>
        <w:tab/>
      </w:r>
      <w:r w:rsidRPr="00F06FF9">
        <w:rPr>
          <w:rFonts w:eastAsia="SimSun"/>
          <w:b/>
          <w:bCs/>
          <w:szCs w:val="22"/>
          <w:lang w:val="es-ES" w:eastAsia="zh-CN"/>
        </w:rPr>
        <w:t>Osobitné bezpečnostné opatrenia na zneškodnenie nepoužitého lieku(-ov) alebo odpadového materiálu, v prípade potreby</w:t>
      </w:r>
    </w:p>
    <w:p w:rsidR="006F5FD3" w:rsidRPr="00F06FF9" w:rsidRDefault="006F5FD3" w:rsidP="006F5FD3">
      <w:pPr>
        <w:autoSpaceDE w:val="0"/>
        <w:autoSpaceDN w:val="0"/>
        <w:adjustRightInd w:val="0"/>
        <w:ind w:left="0" w:firstLine="0"/>
        <w:rPr>
          <w:color w:val="000000"/>
          <w:szCs w:val="22"/>
          <w:lang w:val="es-ES" w:eastAsia="sv-SE"/>
        </w:rPr>
      </w:pPr>
    </w:p>
    <w:p w:rsidR="006F5FD3" w:rsidRPr="00F06FF9" w:rsidRDefault="006F5FD3" w:rsidP="006F5FD3">
      <w:pPr>
        <w:autoSpaceDE w:val="0"/>
        <w:autoSpaceDN w:val="0"/>
        <w:adjustRightInd w:val="0"/>
        <w:ind w:left="0" w:firstLine="0"/>
        <w:rPr>
          <w:color w:val="000000"/>
          <w:szCs w:val="22"/>
          <w:lang w:val="es-ES" w:eastAsia="sv-SE"/>
        </w:rPr>
      </w:pPr>
      <w:r w:rsidRPr="00F06FF9">
        <w:rPr>
          <w:color w:val="000000"/>
          <w:szCs w:val="22"/>
          <w:lang w:val="es-ES" w:eastAsia="sv-SE"/>
        </w:rPr>
        <w:t>Každý nepoužitý veterinárny liek alebo odpadové materiály z tohto veterinárneho lieku musia byť zlikvidované v súlade s miestnymi požiadavkami.</w:t>
      </w:r>
      <w:r>
        <w:rPr>
          <w:color w:val="000000"/>
          <w:szCs w:val="22"/>
          <w:lang w:val="es-ES" w:eastAsia="sv-SE"/>
        </w:rPr>
        <w:t xml:space="preserve"> </w:t>
      </w:r>
      <w:r w:rsidRPr="00F06FF9">
        <w:rPr>
          <w:color w:val="000000"/>
          <w:szCs w:val="22"/>
          <w:lang w:val="es-ES" w:eastAsia="sv-SE"/>
        </w:rPr>
        <w:t>API-Bioxal nesmie kontaminovať vodné toky, pretože môže byť nebezpečný pre ryby a iné vodné organizmy.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tabs>
          <w:tab w:val="left" w:pos="567"/>
        </w:tabs>
        <w:ind w:left="0" w:firstLine="0"/>
        <w:rPr>
          <w:i/>
          <w:iCs/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>16.</w:t>
      </w:r>
      <w:r w:rsidRPr="00F06FF9">
        <w:rPr>
          <w:b/>
          <w:bCs/>
          <w:szCs w:val="22"/>
          <w:lang w:val="es-ES" w:eastAsia="sv-SE"/>
        </w:rPr>
        <w:tab/>
        <w:t>Dátum posledného schválenia textu na etikete</w:t>
      </w: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tabs>
          <w:tab w:val="left" w:pos="567"/>
        </w:tabs>
        <w:ind w:left="0" w:firstLine="0"/>
        <w:rPr>
          <w:i/>
          <w:iCs/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 xml:space="preserve">17. </w:t>
      </w:r>
      <w:r w:rsidRPr="00F06FF9">
        <w:rPr>
          <w:b/>
          <w:bCs/>
          <w:szCs w:val="22"/>
          <w:lang w:val="es-ES" w:eastAsia="sv-SE"/>
        </w:rPr>
        <w:tab/>
        <w:t>Ďalšie informácie</w:t>
      </w: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</w:p>
    <w:p w:rsidR="006F5FD3" w:rsidRPr="00F06FF9" w:rsidRDefault="006F5FD3" w:rsidP="006F5FD3">
      <w:pPr>
        <w:ind w:left="0" w:firstLine="0"/>
        <w:rPr>
          <w:szCs w:val="22"/>
          <w:lang w:val="it-IT" w:eastAsia="sv-SE"/>
        </w:rPr>
      </w:pPr>
      <w:r w:rsidRPr="00F06FF9">
        <w:rPr>
          <w:szCs w:val="22"/>
          <w:lang w:val="es-ES" w:eastAsia="sv-SE"/>
        </w:rPr>
        <w:t xml:space="preserve">500 ml fľaša, 5 l nádoba, 5 l </w:t>
      </w:r>
      <w:r>
        <w:rPr>
          <w:szCs w:val="22"/>
          <w:lang w:val="es-ES" w:eastAsia="sv-SE"/>
        </w:rPr>
        <w:t>vrecko v krabici</w:t>
      </w:r>
      <w:r w:rsidR="003005BF">
        <w:rPr>
          <w:szCs w:val="22"/>
          <w:lang w:val="es-ES" w:eastAsia="sv-SE"/>
        </w:rPr>
        <w:t xml:space="preserve"> </w:t>
      </w:r>
      <w:r w:rsidRPr="00F06FF9">
        <w:rPr>
          <w:szCs w:val="22"/>
          <w:lang w:val="es-ES" w:eastAsia="sv-SE"/>
        </w:rPr>
        <w:t>(E</w:t>
      </w:r>
      <w:r>
        <w:rPr>
          <w:szCs w:val="22"/>
          <w:lang w:val="es-ES" w:eastAsia="sv-SE"/>
        </w:rPr>
        <w:t>co</w:t>
      </w:r>
      <w:r w:rsidRPr="00F06FF9">
        <w:rPr>
          <w:szCs w:val="22"/>
          <w:lang w:val="es-ES" w:eastAsia="sv-SE"/>
        </w:rPr>
        <w:t xml:space="preserve">pack). </w:t>
      </w:r>
      <w:r w:rsidRPr="00F06FF9">
        <w:rPr>
          <w:szCs w:val="22"/>
          <w:lang w:val="it-IT" w:eastAsia="sv-SE"/>
        </w:rPr>
        <w:t>Nie všetky veľkosti balenia</w:t>
      </w:r>
      <w:r>
        <w:rPr>
          <w:szCs w:val="22"/>
          <w:lang w:val="it-IT" w:eastAsia="sv-SE"/>
        </w:rPr>
        <w:t xml:space="preserve"> sa</w:t>
      </w:r>
      <w:r w:rsidRPr="00F06FF9">
        <w:rPr>
          <w:szCs w:val="22"/>
          <w:lang w:val="it-IT" w:eastAsia="sv-SE"/>
        </w:rPr>
        <w:t xml:space="preserve"> musia </w:t>
      </w:r>
      <w:r>
        <w:rPr>
          <w:szCs w:val="22"/>
          <w:lang w:val="it-IT" w:eastAsia="sv-SE"/>
        </w:rPr>
        <w:t xml:space="preserve">uvádzať </w:t>
      </w:r>
      <w:r w:rsidRPr="00F06FF9">
        <w:rPr>
          <w:szCs w:val="22"/>
          <w:lang w:val="it-IT" w:eastAsia="sv-SE"/>
        </w:rPr>
        <w:t>na trh.</w:t>
      </w:r>
    </w:p>
    <w:p w:rsidR="006F5FD3" w:rsidRDefault="006F5FD3" w:rsidP="006F5FD3">
      <w:pPr>
        <w:ind w:left="0" w:firstLine="0"/>
        <w:rPr>
          <w:rFonts w:eastAsia="SimSun"/>
          <w:szCs w:val="22"/>
          <w:lang w:val="it-IT" w:eastAsia="zh-CN"/>
        </w:rPr>
      </w:pPr>
      <w:r w:rsidRPr="00F06FF9">
        <w:rPr>
          <w:rFonts w:eastAsia="SimSun"/>
          <w:szCs w:val="22"/>
          <w:lang w:val="it-IT" w:eastAsia="zh-CN"/>
        </w:rPr>
        <w:t>Ak potrebujete ďalšie informácie o tomto veterinárnom lieku, kontaktujte držiteľa rozhodnutia o registrácii.</w:t>
      </w: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it-IT" w:eastAsia="zh-CN"/>
        </w:rPr>
      </w:pPr>
    </w:p>
    <w:p w:rsidR="006F5FD3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Cs w:val="22"/>
          <w:lang w:val="sv-SE" w:eastAsia="sv-SE"/>
        </w:rPr>
      </w:pPr>
      <w:r>
        <w:rPr>
          <w:b/>
          <w:szCs w:val="22"/>
          <w:lang w:val="sv-SE" w:eastAsia="sv-SE"/>
        </w:rPr>
        <w:t>18.</w:t>
      </w:r>
      <w:r>
        <w:rPr>
          <w:b/>
          <w:szCs w:val="22"/>
          <w:lang w:val="sv-SE" w:eastAsia="sv-SE"/>
        </w:rPr>
        <w:tab/>
      </w:r>
      <w:r>
        <w:rPr>
          <w:rFonts w:eastAsia="SimSun"/>
          <w:b/>
          <w:bCs/>
          <w:szCs w:val="22"/>
          <w:lang w:val="sv-SE" w:eastAsia="zh-CN"/>
        </w:rPr>
        <w:t xml:space="preserve">Označenie „Len pre zvieratá“ a podmienky alebo obmedzenia týkajúce sa dodávky a použitia, ak sa uplatňujú </w:t>
      </w:r>
    </w:p>
    <w:p w:rsidR="006F5FD3" w:rsidRDefault="006F5FD3" w:rsidP="006F5FD3">
      <w:pPr>
        <w:ind w:left="0" w:firstLine="0"/>
        <w:rPr>
          <w:szCs w:val="22"/>
          <w:lang w:val="sv-SE" w:eastAsia="sv-SE"/>
        </w:rPr>
      </w:pPr>
    </w:p>
    <w:p w:rsidR="006F5FD3" w:rsidRPr="00B3166D" w:rsidRDefault="006F5FD3" w:rsidP="006F5FD3">
      <w:pPr>
        <w:ind w:left="0" w:firstLine="0"/>
        <w:rPr>
          <w:rFonts w:eastAsia="SimSun"/>
          <w:b/>
          <w:bCs/>
          <w:szCs w:val="22"/>
          <w:lang w:val="sv-SE" w:eastAsia="zh-CN"/>
        </w:rPr>
      </w:pPr>
      <w:r w:rsidRPr="00B3166D">
        <w:rPr>
          <w:rFonts w:eastAsia="SimSun"/>
          <w:b/>
          <w:bCs/>
          <w:szCs w:val="22"/>
          <w:lang w:val="sv-SE" w:eastAsia="zh-CN"/>
        </w:rPr>
        <w:t xml:space="preserve">Len pre zvieratá. </w:t>
      </w:r>
    </w:p>
    <w:p w:rsidR="006F5FD3" w:rsidRDefault="006F5FD3" w:rsidP="006F5FD3">
      <w:pPr>
        <w:ind w:left="0" w:firstLine="0"/>
        <w:rPr>
          <w:szCs w:val="22"/>
          <w:lang w:val="sv-SE" w:eastAsia="sv-SE"/>
        </w:rPr>
      </w:pPr>
    </w:p>
    <w:p w:rsidR="006F5FD3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val="sv-SE" w:eastAsia="sv-SE"/>
        </w:rPr>
      </w:pPr>
      <w:r>
        <w:rPr>
          <w:b/>
          <w:szCs w:val="22"/>
          <w:lang w:val="sv-SE" w:eastAsia="sv-SE"/>
        </w:rPr>
        <w:t>19.</w:t>
      </w:r>
      <w:r>
        <w:rPr>
          <w:b/>
          <w:szCs w:val="22"/>
          <w:lang w:val="sv-SE" w:eastAsia="sv-SE"/>
        </w:rPr>
        <w:tab/>
        <w:t>Označenie “Uchovávať mimo dohľadu a dosahu detí”</w:t>
      </w:r>
    </w:p>
    <w:p w:rsidR="006F5FD3" w:rsidRDefault="006F5FD3" w:rsidP="006F5FD3">
      <w:pPr>
        <w:ind w:left="0" w:firstLine="0"/>
        <w:rPr>
          <w:i/>
          <w:iCs/>
          <w:szCs w:val="22"/>
          <w:lang w:val="sv-SE" w:eastAsia="sv-SE"/>
        </w:rPr>
      </w:pPr>
    </w:p>
    <w:p w:rsidR="006F5FD3" w:rsidRPr="00F06FF9" w:rsidRDefault="006F5FD3" w:rsidP="006F5FD3">
      <w:pPr>
        <w:ind w:left="0" w:firstLine="0"/>
        <w:rPr>
          <w:rFonts w:eastAsia="SimSun"/>
          <w:szCs w:val="22"/>
          <w:lang w:val="es-ES" w:eastAsia="zh-CN"/>
        </w:rPr>
      </w:pPr>
      <w:r w:rsidRPr="00F06FF9">
        <w:rPr>
          <w:rFonts w:eastAsia="SimSun"/>
          <w:szCs w:val="22"/>
          <w:lang w:val="es-ES" w:eastAsia="zh-CN"/>
        </w:rPr>
        <w:t>Uchovávať mimo dohľadu a dosahu detí.</w:t>
      </w:r>
    </w:p>
    <w:p w:rsidR="006F5FD3" w:rsidRPr="00F06FF9" w:rsidRDefault="006F5FD3" w:rsidP="006F5FD3">
      <w:pPr>
        <w:ind w:left="0" w:firstLine="0"/>
        <w:rPr>
          <w:i/>
          <w:iCs/>
          <w:szCs w:val="22"/>
          <w:lang w:val="es-ES" w:eastAsia="sv-SE"/>
        </w:rPr>
      </w:pPr>
    </w:p>
    <w:p w:rsidR="006F5FD3" w:rsidRPr="00F06FF9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Cs w:val="22"/>
          <w:lang w:val="es-ES" w:eastAsia="sv-SE"/>
        </w:rPr>
      </w:pPr>
      <w:r w:rsidRPr="00F06FF9">
        <w:rPr>
          <w:b/>
          <w:bCs/>
          <w:szCs w:val="22"/>
          <w:lang w:val="es-ES" w:eastAsia="sv-SE"/>
        </w:rPr>
        <w:t>20.</w:t>
      </w:r>
      <w:r w:rsidRPr="00F06FF9">
        <w:rPr>
          <w:b/>
          <w:bCs/>
          <w:szCs w:val="22"/>
          <w:lang w:val="es-ES" w:eastAsia="sv-SE"/>
        </w:rPr>
        <w:tab/>
        <w:t>Dátum exspirácie</w:t>
      </w:r>
    </w:p>
    <w:p w:rsidR="006F5FD3" w:rsidRPr="00F06FF9" w:rsidRDefault="006F5FD3" w:rsidP="006F5FD3">
      <w:pPr>
        <w:ind w:left="0" w:firstLine="0"/>
        <w:rPr>
          <w:szCs w:val="22"/>
          <w:lang w:val="es-ES" w:eastAsia="sv-SE"/>
        </w:rPr>
      </w:pPr>
    </w:p>
    <w:p w:rsidR="006F5FD3" w:rsidRPr="007B2662" w:rsidRDefault="006F5FD3" w:rsidP="006F5FD3">
      <w:pPr>
        <w:ind w:left="0" w:firstLine="0"/>
        <w:rPr>
          <w:rFonts w:eastAsia="SimSun"/>
          <w:b/>
          <w:bCs/>
          <w:szCs w:val="22"/>
          <w:lang w:val="es-ES" w:eastAsia="zh-CN"/>
        </w:rPr>
      </w:pPr>
      <w:r w:rsidRPr="00F06FF9">
        <w:rPr>
          <w:rFonts w:eastAsia="SimSun"/>
          <w:szCs w:val="22"/>
          <w:lang w:val="es-ES" w:eastAsia="zh-CN"/>
        </w:rPr>
        <w:t>EXP:</w:t>
      </w:r>
      <w:r w:rsidRPr="00F06FF9">
        <w:rPr>
          <w:rFonts w:eastAsia="SimSun"/>
          <w:b/>
          <w:bCs/>
          <w:szCs w:val="22"/>
          <w:lang w:val="es-ES" w:eastAsia="zh-CN"/>
        </w:rPr>
        <w:t xml:space="preserve"> </w:t>
      </w:r>
      <w:r w:rsidRPr="00F06FF9">
        <w:rPr>
          <w:rFonts w:eastAsia="SimSun"/>
          <w:szCs w:val="22"/>
          <w:lang w:val="es-ES" w:eastAsia="zh-CN"/>
        </w:rPr>
        <w:t>{mesiac/rok}</w:t>
      </w:r>
    </w:p>
    <w:p w:rsidR="006F5FD3" w:rsidRDefault="006F5FD3" w:rsidP="006F5FD3">
      <w:pPr>
        <w:ind w:left="0" w:firstLine="0"/>
        <w:rPr>
          <w:rFonts w:eastAsia="SimSun"/>
          <w:szCs w:val="22"/>
          <w:lang w:val="it-IT" w:eastAsia="zh-CN"/>
        </w:rPr>
      </w:pPr>
      <w:r>
        <w:rPr>
          <w:rFonts w:eastAsia="SimSun"/>
          <w:szCs w:val="22"/>
          <w:lang w:val="it-IT" w:eastAsia="zh-CN"/>
        </w:rPr>
        <w:t>Čas použiteľnosti po prvom otvorení obalu:</w:t>
      </w:r>
      <w:r>
        <w:t xml:space="preserve"> </w:t>
      </w:r>
      <w:r w:rsidR="006D0199">
        <w:rPr>
          <w:rFonts w:eastAsia="SimSun"/>
          <w:szCs w:val="22"/>
          <w:lang w:val="it-IT" w:eastAsia="zh-CN"/>
        </w:rPr>
        <w:t>12 mesiacov</w:t>
      </w:r>
      <w:r>
        <w:rPr>
          <w:rFonts w:eastAsia="SimSun"/>
          <w:szCs w:val="22"/>
          <w:lang w:val="it-IT" w:eastAsia="zh-CN"/>
        </w:rPr>
        <w:t>.</w:t>
      </w:r>
    </w:p>
    <w:p w:rsidR="006F5FD3" w:rsidRDefault="006F5FD3" w:rsidP="006F5FD3">
      <w:pPr>
        <w:ind w:left="0" w:firstLine="0"/>
        <w:rPr>
          <w:i/>
          <w:iCs/>
          <w:szCs w:val="22"/>
          <w:lang w:val="it-IT" w:eastAsia="sv-SE"/>
        </w:rPr>
      </w:pPr>
    </w:p>
    <w:p w:rsidR="006F5FD3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Cs w:val="22"/>
          <w:lang w:val="it-IT" w:eastAsia="sv-SE"/>
        </w:rPr>
      </w:pPr>
      <w:r>
        <w:rPr>
          <w:b/>
          <w:bCs/>
          <w:szCs w:val="22"/>
          <w:lang w:val="it-IT" w:eastAsia="sv-SE"/>
        </w:rPr>
        <w:lastRenderedPageBreak/>
        <w:t>21.</w:t>
      </w:r>
      <w:r>
        <w:rPr>
          <w:b/>
          <w:bCs/>
          <w:szCs w:val="22"/>
          <w:lang w:val="it-IT" w:eastAsia="sv-SE"/>
        </w:rPr>
        <w:tab/>
        <w:t xml:space="preserve">Registračné číslo </w:t>
      </w:r>
    </w:p>
    <w:p w:rsidR="006F5FD3" w:rsidRDefault="006F5FD3" w:rsidP="006F5FD3">
      <w:pPr>
        <w:autoSpaceDE w:val="0"/>
        <w:autoSpaceDN w:val="0"/>
        <w:adjustRightInd w:val="0"/>
        <w:ind w:left="0" w:firstLine="0"/>
        <w:rPr>
          <w:color w:val="000000"/>
          <w:szCs w:val="22"/>
          <w:lang w:val="it-IT" w:eastAsia="sv-SE"/>
        </w:rPr>
      </w:pPr>
    </w:p>
    <w:p w:rsidR="006F5FD3" w:rsidRDefault="002256E7" w:rsidP="006F5FD3">
      <w:pPr>
        <w:ind w:left="0" w:firstLine="0"/>
        <w:rPr>
          <w:szCs w:val="22"/>
          <w:lang w:val="it-IT" w:eastAsia="sv-SE"/>
        </w:rPr>
      </w:pPr>
      <w:r>
        <w:rPr>
          <w:szCs w:val="22"/>
          <w:lang w:val="it-IT" w:eastAsia="sv-SE"/>
        </w:rPr>
        <w:t>96/015/MR/21-S</w:t>
      </w:r>
    </w:p>
    <w:p w:rsidR="006F5FD3" w:rsidRDefault="006F5FD3" w:rsidP="006F5FD3">
      <w:pPr>
        <w:ind w:left="0" w:firstLine="0"/>
        <w:rPr>
          <w:szCs w:val="22"/>
          <w:lang w:val="it-IT" w:eastAsia="sv-SE"/>
        </w:rPr>
      </w:pPr>
    </w:p>
    <w:p w:rsidR="006F5FD3" w:rsidRDefault="006F5FD3" w:rsidP="006F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val="it-IT" w:eastAsia="sv-SE"/>
        </w:rPr>
      </w:pPr>
      <w:r>
        <w:rPr>
          <w:b/>
          <w:bCs/>
          <w:szCs w:val="22"/>
          <w:lang w:val="it-IT" w:eastAsia="sv-SE"/>
        </w:rPr>
        <w:t>22. Číslo výrobnej šarže</w:t>
      </w:r>
    </w:p>
    <w:p w:rsidR="006F5FD3" w:rsidRDefault="006F5FD3" w:rsidP="006F5FD3">
      <w:pPr>
        <w:autoSpaceDE w:val="0"/>
        <w:autoSpaceDN w:val="0"/>
        <w:adjustRightInd w:val="0"/>
        <w:ind w:left="0" w:firstLine="0"/>
        <w:rPr>
          <w:color w:val="000000"/>
          <w:szCs w:val="22"/>
          <w:lang w:val="it-IT" w:eastAsia="sv-SE"/>
        </w:rPr>
      </w:pPr>
    </w:p>
    <w:p w:rsidR="006F5FD3" w:rsidRDefault="006F5FD3" w:rsidP="006F5FD3">
      <w:pPr>
        <w:ind w:left="0" w:firstLine="0"/>
        <w:rPr>
          <w:rFonts w:eastAsia="SimSun"/>
          <w:szCs w:val="22"/>
          <w:lang w:val="en-GB" w:eastAsia="zh-CN"/>
        </w:rPr>
      </w:pPr>
      <w:r>
        <w:rPr>
          <w:szCs w:val="22"/>
          <w:lang w:val="sv-SE" w:eastAsia="sv-SE"/>
        </w:rPr>
        <w:t>Lot: {číslo}</w:t>
      </w:r>
    </w:p>
    <w:p w:rsidR="00DE4F9B" w:rsidRDefault="00DE4F9B"/>
    <w:sectPr w:rsidR="00DE4F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8C" w:rsidRDefault="0094418C" w:rsidP="000E6085">
      <w:r>
        <w:separator/>
      </w:r>
    </w:p>
  </w:endnote>
  <w:endnote w:type="continuationSeparator" w:id="0">
    <w:p w:rsidR="0094418C" w:rsidRDefault="0094418C" w:rsidP="000E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578164"/>
      <w:docPartObj>
        <w:docPartGallery w:val="Page Numbers (Bottom of Page)"/>
        <w:docPartUnique/>
      </w:docPartObj>
    </w:sdtPr>
    <w:sdtEndPr/>
    <w:sdtContent>
      <w:p w:rsidR="000E6085" w:rsidRDefault="000E60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7A2">
          <w:rPr>
            <w:noProof/>
          </w:rPr>
          <w:t>4</w:t>
        </w:r>
        <w:r>
          <w:fldChar w:fldCharType="end"/>
        </w:r>
      </w:p>
    </w:sdtContent>
  </w:sdt>
  <w:p w:rsidR="000E6085" w:rsidRDefault="000E60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8C" w:rsidRDefault="0094418C" w:rsidP="000E6085">
      <w:r>
        <w:separator/>
      </w:r>
    </w:p>
  </w:footnote>
  <w:footnote w:type="continuationSeparator" w:id="0">
    <w:p w:rsidR="0094418C" w:rsidRDefault="0094418C" w:rsidP="000E6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CE"/>
    <w:rsid w:val="00051E07"/>
    <w:rsid w:val="000E6085"/>
    <w:rsid w:val="00146E46"/>
    <w:rsid w:val="002256E7"/>
    <w:rsid w:val="003005BF"/>
    <w:rsid w:val="003639C5"/>
    <w:rsid w:val="006717C5"/>
    <w:rsid w:val="006D0199"/>
    <w:rsid w:val="006F5FD3"/>
    <w:rsid w:val="007704CE"/>
    <w:rsid w:val="008F1130"/>
    <w:rsid w:val="0094418C"/>
    <w:rsid w:val="00973625"/>
    <w:rsid w:val="009E548D"/>
    <w:rsid w:val="00A527A2"/>
    <w:rsid w:val="00A76BCB"/>
    <w:rsid w:val="00AC4C77"/>
    <w:rsid w:val="00B16B9A"/>
    <w:rsid w:val="00C01DA7"/>
    <w:rsid w:val="00C2086E"/>
    <w:rsid w:val="00D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752F"/>
  <w15:docId w15:val="{D7C78D7C-7F3E-4254-B5BC-0134A955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5FD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6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6085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E6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6085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0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ZF</cp:lastModifiedBy>
  <cp:revision>15</cp:revision>
  <cp:lastPrinted>2021-10-22T05:57:00Z</cp:lastPrinted>
  <dcterms:created xsi:type="dcterms:W3CDTF">2021-03-17T08:26:00Z</dcterms:created>
  <dcterms:modified xsi:type="dcterms:W3CDTF">2022-01-28T11:35:00Z</dcterms:modified>
</cp:coreProperties>
</file>