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8717F" w14:textId="77777777" w:rsidR="00E81C91" w:rsidRPr="00474C50" w:rsidRDefault="00E81C91" w:rsidP="00E81C9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14:paraId="1226F559" w14:textId="77777777" w:rsidR="00B9508A" w:rsidRDefault="00B9508A" w:rsidP="00E81C91">
      <w:pPr>
        <w:spacing w:line="240" w:lineRule="auto"/>
      </w:pPr>
    </w:p>
    <w:p w14:paraId="7B9F137F" w14:textId="77777777" w:rsidR="00E81C91" w:rsidRPr="00474C50" w:rsidRDefault="00E81C91" w:rsidP="00E81C91">
      <w:pPr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20BBE9DF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1BF140E8" w14:textId="16980749" w:rsidR="00E81C91" w:rsidRPr="00DC5C0B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Solacyl 1000 mg/g, prášok na použitie v pitnej vode, pre morky</w:t>
      </w:r>
    </w:p>
    <w:p w14:paraId="1153D548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5829EC31" w14:textId="77777777" w:rsidR="00E81C91" w:rsidRPr="00474C50" w:rsidRDefault="00E81C91" w:rsidP="00E81C91">
      <w:pPr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 KVANTITATÍVNE ZLOŽENIE</w:t>
      </w:r>
    </w:p>
    <w:p w14:paraId="5B57071D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34B8D248" w14:textId="344FE935" w:rsidR="00E81C91" w:rsidRPr="00636C14" w:rsidRDefault="000A6B8D" w:rsidP="00E81C91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A6B8D">
        <w:rPr>
          <w:u w:val="single"/>
        </w:rPr>
        <w:t>Každý gram obsahuje</w:t>
      </w:r>
      <w:r w:rsidR="00E81C91">
        <w:rPr>
          <w:u w:val="single"/>
        </w:rPr>
        <w:t>:</w:t>
      </w:r>
    </w:p>
    <w:p w14:paraId="3167D977" w14:textId="77777777" w:rsidR="00E81C91" w:rsidRPr="00636C14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780E84BE" w14:textId="77777777" w:rsidR="00E81C91" w:rsidRPr="00636C14" w:rsidRDefault="00E81C91" w:rsidP="00E81C9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Účinná látka:</w:t>
      </w:r>
    </w:p>
    <w:p w14:paraId="6007570C" w14:textId="77777777" w:rsidR="00E81C91" w:rsidRPr="00683083" w:rsidRDefault="00E81C91" w:rsidP="00E81C91">
      <w:pPr>
        <w:tabs>
          <w:tab w:val="clear" w:pos="567"/>
        </w:tabs>
        <w:spacing w:line="240" w:lineRule="auto"/>
        <w:rPr>
          <w:bCs/>
          <w:iCs/>
          <w:szCs w:val="22"/>
        </w:rPr>
      </w:pPr>
      <w:r>
        <w:t xml:space="preserve">Salicylát sodný 1000 mg, čo zodpovedá 862,6 mg kyseliny salicylovej (vo forme sodnej soli) </w:t>
      </w:r>
    </w:p>
    <w:p w14:paraId="14A3421A" w14:textId="77777777" w:rsidR="00E81C91" w:rsidRPr="00636C14" w:rsidRDefault="00E81C91" w:rsidP="00E81C91">
      <w:pPr>
        <w:tabs>
          <w:tab w:val="clear" w:pos="567"/>
        </w:tabs>
        <w:spacing w:line="240" w:lineRule="auto"/>
        <w:rPr>
          <w:b/>
          <w:szCs w:val="22"/>
        </w:rPr>
      </w:pPr>
    </w:p>
    <w:p w14:paraId="562B91A5" w14:textId="77777777" w:rsidR="00E81C91" w:rsidRPr="000F680A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 časti 6.1.</w:t>
      </w:r>
    </w:p>
    <w:p w14:paraId="10EA1C08" w14:textId="143B378B" w:rsidR="00E81C91" w:rsidRPr="00636C14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004226C4" w14:textId="77777777" w:rsidR="00E81C91" w:rsidRPr="00474C50" w:rsidRDefault="00E81C91" w:rsidP="00E81C91">
      <w:pPr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04D5E81A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1D35D815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Prášok na použitie v pitnej vode.</w:t>
      </w:r>
    </w:p>
    <w:p w14:paraId="35AF6D0A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Biele až sivobiele vločky.</w:t>
      </w:r>
    </w:p>
    <w:p w14:paraId="25F6F043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0D6C1169" w14:textId="77777777" w:rsidR="00E81C91" w:rsidRPr="00474C50" w:rsidRDefault="00E81C91" w:rsidP="00E81C91">
      <w:pPr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  ÚDAJE</w:t>
      </w:r>
    </w:p>
    <w:p w14:paraId="05E49F2C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EBB0D0A" w14:textId="77777777" w:rsidR="00E81C91" w:rsidRPr="00636C14" w:rsidRDefault="00B9508A" w:rsidP="00E81C9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</w:r>
      <w:r w:rsidR="00E81C91">
        <w:rPr>
          <w:b/>
        </w:rPr>
        <w:t>Cieľové druhy</w:t>
      </w:r>
    </w:p>
    <w:p w14:paraId="58EFF8FF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0930299A" w14:textId="77777777" w:rsidR="00E81C91" w:rsidRPr="001F474A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Morky.</w:t>
      </w:r>
    </w:p>
    <w:p w14:paraId="17B8C00E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5AC9B06" w14:textId="77777777" w:rsidR="00E81C91" w:rsidRPr="00636C14" w:rsidRDefault="00B9508A" w:rsidP="00E81C9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</w:r>
      <w:r w:rsidR="00E81C91">
        <w:rPr>
          <w:b/>
        </w:rPr>
        <w:t>Indikácie na použitie so špecifikovaním cieľových druhov</w:t>
      </w:r>
    </w:p>
    <w:p w14:paraId="69C40906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09B0ED6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Symptomatická liečba zápalových respiračných ochorení, v prípade potreby v kombinácii s vhodnou protiinfekčnou liečbou.</w:t>
      </w:r>
    </w:p>
    <w:p w14:paraId="7794F18B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8035E7A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14:paraId="244C4743" w14:textId="77777777" w:rsidR="00E81C91" w:rsidRPr="00334386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1D56A01F" w14:textId="77777777" w:rsidR="00E81C91" w:rsidRPr="000A06F4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Nepoužívať v prípadoch známej precitlivenosti na účinnú látku.</w:t>
      </w:r>
    </w:p>
    <w:p w14:paraId="1F498361" w14:textId="77777777" w:rsidR="00E81C91" w:rsidRPr="009D0C6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Nepoužívať v prípade ťažkých porúch pečene a obličiek.</w:t>
      </w:r>
    </w:p>
    <w:p w14:paraId="6241E9F7" w14:textId="77777777" w:rsidR="00E81C91" w:rsidRPr="00EB5E6D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Nepoužívať v prípade gastrointestinálnych ulceró</w:t>
      </w:r>
      <w:r w:rsidR="00B9508A">
        <w:t>z</w:t>
      </w:r>
      <w:r>
        <w:t>nych a chronických gastrointestinálnych ochorení.</w:t>
      </w:r>
    </w:p>
    <w:p w14:paraId="15B99EBF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0D0BBC16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4.4 </w:t>
      </w:r>
      <w:r w:rsidR="00B9508A">
        <w:rPr>
          <w:b/>
        </w:rPr>
        <w:tab/>
      </w:r>
      <w:r>
        <w:rPr>
          <w:b/>
        </w:rPr>
        <w:t>Osobitné upozornenia pre každý cieľový druh</w:t>
      </w:r>
    </w:p>
    <w:p w14:paraId="163B6266" w14:textId="77777777" w:rsidR="00E81C91" w:rsidRPr="00334386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07CCF8A4" w14:textId="6B51AE89" w:rsidR="00E81C91" w:rsidRDefault="00A6506F" w:rsidP="00E81C91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Kompatibilita </w:t>
      </w:r>
      <w:r w:rsidR="00E81C91">
        <w:t xml:space="preserve">lieku s inými veterinárnymi liekmi, ak sa podávajú prostredníctvom pitnej vody, sa neskúmala. V prípade </w:t>
      </w:r>
      <w:r w:rsidR="000A6B8D" w:rsidRPr="000A6B8D">
        <w:t>súčasného</w:t>
      </w:r>
      <w:r w:rsidR="00E81C91">
        <w:t xml:space="preserve"> použitia s iným liekom sa stabilita a/alebo rozpustnosť veterinárnych liekov môže meniť. Preto sa odporúča, aby sa </w:t>
      </w:r>
      <w:r>
        <w:t xml:space="preserve">na poskytnutie súbežnej protiinfekčnej liečby použili </w:t>
      </w:r>
      <w:r w:rsidR="00E81C91">
        <w:t>metódy alebo cesty podávania iné ako prostredníctvom pitnej vody, ak je to potrebné.</w:t>
      </w:r>
    </w:p>
    <w:p w14:paraId="5D6B5310" w14:textId="77777777" w:rsidR="00E81C91" w:rsidRPr="00EB5E6D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795E8272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 xml:space="preserve">4.5 </w:t>
      </w:r>
      <w:r w:rsidR="00F9049B">
        <w:rPr>
          <w:b/>
        </w:rPr>
        <w:tab/>
      </w:r>
      <w:r>
        <w:rPr>
          <w:b/>
        </w:rPr>
        <w:t>Osobitné bezpečnostné opatrenia na používanie</w:t>
      </w:r>
    </w:p>
    <w:p w14:paraId="39BF565C" w14:textId="77777777" w:rsidR="00E81C91" w:rsidRPr="00334386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7C60E681" w14:textId="77777777" w:rsidR="00E81C91" w:rsidRPr="009D0C6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 na používanie u zvierat:</w:t>
      </w:r>
    </w:p>
    <w:p w14:paraId="2C77CFF6" w14:textId="0580C95F" w:rsidR="00E81C91" w:rsidRPr="00474C50" w:rsidRDefault="001A6A7B" w:rsidP="00E81C91">
      <w:pPr>
        <w:tabs>
          <w:tab w:val="clear" w:pos="567"/>
        </w:tabs>
        <w:spacing w:line="240" w:lineRule="auto"/>
        <w:rPr>
          <w:szCs w:val="22"/>
        </w:rPr>
      </w:pPr>
      <w:r w:rsidRPr="001A6A7B">
        <w:t xml:space="preserve">Choré zvieratá môžu vykazovať </w:t>
      </w:r>
      <w:r w:rsidR="000A6B8D" w:rsidRPr="000A6B8D">
        <w:t xml:space="preserve">zmenený príjem </w:t>
      </w:r>
      <w:r w:rsidRPr="001A6A7B">
        <w:t xml:space="preserve">pitnej vody alebo krmiva. </w:t>
      </w:r>
      <w:r w:rsidR="000A6B8D" w:rsidRPr="000A6B8D">
        <w:t>V prípade zmeneného príjmu pitnej vody sa musí koncentrácia veterinárneho lieku upraviť tak, aby sa zabezpečil príjem požadovanej dávky</w:t>
      </w:r>
      <w:r w:rsidR="00E81C91">
        <w:t>.</w:t>
      </w:r>
    </w:p>
    <w:p w14:paraId="0B71D5D4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924E81B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zvieratám:</w:t>
      </w:r>
    </w:p>
    <w:p w14:paraId="07E90F3B" w14:textId="77777777" w:rsidR="00E81C91" w:rsidRDefault="00E81C91" w:rsidP="00E81C91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</w:rPr>
      </w:pPr>
      <w:r>
        <w:t>Ľudia so známou precitlivenosťou (alergiou) na salicylát sodný alebo príbuzné látky (napr. Aspirín) by sa mali vyhýbať kontaktu s liekom.</w:t>
      </w:r>
    </w:p>
    <w:p w14:paraId="12F9FF7C" w14:textId="20D1F6B6" w:rsidR="00E81C91" w:rsidRDefault="00E81C91" w:rsidP="00E81C91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Pri náhodnom kontakte sa môže vyskytnúť podráždenie pokožky, očí a dýchacieho traktu. </w:t>
      </w:r>
      <w:r w:rsidR="001A6A7B" w:rsidRPr="001A6A7B">
        <w:t xml:space="preserve">Zabráňte priamemu kontaktu </w:t>
      </w:r>
      <w:r w:rsidR="000A6B8D" w:rsidRPr="000A6B8D">
        <w:t>medikovanej</w:t>
      </w:r>
      <w:r w:rsidR="001A6A7B" w:rsidRPr="001A6A7B">
        <w:t xml:space="preserve"> vody alebo prášku s pokožkou a očami a vdýchnutiu prášku</w:t>
      </w:r>
      <w:r>
        <w:t xml:space="preserve">. Odporúča sa používať ochranné rukavice (napr. gumené alebo latexové), </w:t>
      </w:r>
      <w:r>
        <w:lastRenderedPageBreak/>
        <w:t>bezpečnostné okuliare a vhodnú masku proti prachu (napr. jednorazové masky na ochranu dýchacích ciest podľa európskej normy EN149).</w:t>
      </w:r>
      <w:r w:rsidR="001A6A7B" w:rsidRPr="001A6A7B">
        <w:t xml:space="preserve"> Opuch tváre, pier alebo očí alebo ťažkosti s dýchaním sú vážne príznaky a vyžadujú si okamžitú lekársku pomoc.</w:t>
      </w:r>
    </w:p>
    <w:p w14:paraId="1BCB029A" w14:textId="77777777" w:rsidR="00E81C91" w:rsidRDefault="00E81C91" w:rsidP="00E81C91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</w:rPr>
      </w:pPr>
      <w:r>
        <w:t>V prípade náhodnej expozície</w:t>
      </w:r>
      <w:r w:rsidR="00A6506F">
        <w:t xml:space="preserve"> s kožou</w:t>
      </w:r>
      <w:r>
        <w:t xml:space="preserve"> okamžite umyte pokožku vodou.</w:t>
      </w:r>
    </w:p>
    <w:p w14:paraId="562F9D85" w14:textId="63C3C323" w:rsidR="00E81C91" w:rsidRDefault="00E81C91" w:rsidP="00E81C91">
      <w:pPr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V prípade náhodného kontaktu s očami </w:t>
      </w:r>
      <w:r w:rsidR="00DC5C0B">
        <w:t>u</w:t>
      </w:r>
      <w:r>
        <w:t>myte oči veľkým množstvom vody počas 15 minút a vyhľadajte lekársku pomoc, ak podráždenie pretrváva</w:t>
      </w:r>
      <w:r w:rsidR="001A6A7B" w:rsidRPr="001A6A7B">
        <w:t xml:space="preserve"> a ukážte </w:t>
      </w:r>
      <w:r w:rsidR="00DC5C0B">
        <w:t>obal</w:t>
      </w:r>
      <w:r w:rsidR="001A6A7B" w:rsidRPr="001A6A7B">
        <w:t xml:space="preserve"> lekárovi</w:t>
      </w:r>
      <w:r>
        <w:t>.</w:t>
      </w:r>
    </w:p>
    <w:p w14:paraId="486703AB" w14:textId="77777777" w:rsidR="00E81C91" w:rsidRDefault="00E81C91" w:rsidP="00E81C91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</w:p>
    <w:p w14:paraId="33049EBF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 závažnosť)</w:t>
      </w:r>
    </w:p>
    <w:p w14:paraId="534AE73E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7B9617E7" w14:textId="77777777" w:rsidR="00E81C91" w:rsidRPr="00636C14" w:rsidRDefault="00E81C91" w:rsidP="00E81C91">
      <w:pPr>
        <w:keepNext/>
        <w:rPr>
          <w:szCs w:val="22"/>
        </w:rPr>
      </w:pPr>
      <w:r>
        <w:t xml:space="preserve">Gastrointestinálne podráždenie sa môže vyskytnúť najmä u zvierat s už existujúcim gastrointestinálnym ochorením. Takéto </w:t>
      </w:r>
      <w:r w:rsidR="00545D3A">
        <w:t xml:space="preserve">podráždenia </w:t>
      </w:r>
      <w:r>
        <w:t xml:space="preserve">sa </w:t>
      </w:r>
      <w:r w:rsidR="00545D3A">
        <w:t xml:space="preserve">môžu </w:t>
      </w:r>
      <w:r>
        <w:t>klinicky prejaviť, ako produkcia tmavej stolice z dôvodu krvácania v gastrointestinálnom trakte.</w:t>
      </w:r>
    </w:p>
    <w:p w14:paraId="481FE5B7" w14:textId="77777777" w:rsidR="00E81C91" w:rsidRPr="003B3E58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Podávanie veterinárneho lieku môže viesť k zvýšeniu príjmu vody.</w:t>
      </w:r>
    </w:p>
    <w:p w14:paraId="0ABC6D6F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79BEE787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gravidity,  laktácie, znášky</w:t>
      </w:r>
    </w:p>
    <w:p w14:paraId="2BC52CB1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46504583" w14:textId="77777777" w:rsidR="00E81C91" w:rsidRPr="00250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Laboratórne štúdie na potkanoch preukázali teratogénne a fetotoxické účinky.</w:t>
      </w:r>
    </w:p>
    <w:p w14:paraId="108789CF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Používanie sa počas znášky neodporúča.</w:t>
      </w:r>
    </w:p>
    <w:p w14:paraId="3ABE8E29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3B608B12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14:paraId="01C3F2A8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5540C496" w14:textId="77777777" w:rsidR="00E81C91" w:rsidRPr="00636C14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Je potrebné vyhýbať sa súbežnému podávaniu potenciálne nefrotoxických liekov (napr. aminoglykozidov).</w:t>
      </w:r>
    </w:p>
    <w:p w14:paraId="30C2991E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Kyselina salicylová je vysoko plazmatická (viaže albumín) a konkuruje rôznym zlúčeninám (napr. sulfónamidom, ketoprofénom) v miestach väzby na plazmatické bielkoviny. Súbežné užívanie s inými nesteroidnými protizápalovými liekmi sa neodporúča vzhľadom na zvýšené riziko gastrointestinálnych porúch.</w:t>
      </w:r>
    </w:p>
    <w:p w14:paraId="3478F096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1EB2786C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4.9</w:t>
      </w:r>
      <w:r>
        <w:rPr>
          <w:b/>
        </w:rPr>
        <w:tab/>
        <w:t xml:space="preserve">Dávkovanie a spôsob podania lieku </w:t>
      </w:r>
    </w:p>
    <w:p w14:paraId="3FC2771D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22607000" w14:textId="05B5AEA4" w:rsidR="00E81C91" w:rsidRPr="00636C14" w:rsidRDefault="001A6A7B" w:rsidP="00E81C91">
      <w:pPr>
        <w:tabs>
          <w:tab w:val="clear" w:pos="567"/>
        </w:tabs>
        <w:spacing w:line="240" w:lineRule="auto"/>
        <w:rPr>
          <w:szCs w:val="22"/>
        </w:rPr>
      </w:pPr>
      <w:r w:rsidRPr="001A6A7B">
        <w:t>Použitie v pitnej vode</w:t>
      </w:r>
      <w:r w:rsidR="00E81C91">
        <w:t>.</w:t>
      </w:r>
    </w:p>
    <w:p w14:paraId="68B56905" w14:textId="5727D286" w:rsidR="00E81C91" w:rsidRPr="00636C14" w:rsidRDefault="001A6A7B" w:rsidP="00E81C91">
      <w:pPr>
        <w:tabs>
          <w:tab w:val="clear" w:pos="567"/>
        </w:tabs>
        <w:spacing w:line="240" w:lineRule="auto"/>
        <w:rPr>
          <w:szCs w:val="22"/>
        </w:rPr>
      </w:pPr>
      <w:bookmarkStart w:id="0" w:name="_Hlk106380980"/>
      <w:r w:rsidRPr="001A6A7B">
        <w:t xml:space="preserve">86,2 </w:t>
      </w:r>
      <w:r w:rsidR="00C06D9D">
        <w:t xml:space="preserve">mg </w:t>
      </w:r>
      <w:r w:rsidRPr="001A6A7B">
        <w:t xml:space="preserve">kyseliny salicylovej/kg živej hmotnosti </w:t>
      </w:r>
      <w:r>
        <w:t>denne</w:t>
      </w:r>
      <w:r w:rsidRPr="001A6A7B">
        <w:t xml:space="preserve"> (zodpovedá </w:t>
      </w:r>
      <w:bookmarkEnd w:id="0"/>
      <w:r w:rsidR="00E81C91">
        <w:t xml:space="preserve">100 mg produktu/kg </w:t>
      </w:r>
      <w:r w:rsidR="00545D3A">
        <w:t xml:space="preserve">živej </w:t>
      </w:r>
      <w:r w:rsidR="00E81C91">
        <w:t>hmotnosti denne</w:t>
      </w:r>
      <w:r>
        <w:t>)</w:t>
      </w:r>
      <w:r w:rsidR="00E81C91">
        <w:t xml:space="preserve"> 3 po sebe nasledujúce dni</w:t>
      </w:r>
      <w:r w:rsidR="00E81B5E">
        <w:t>.</w:t>
      </w:r>
    </w:p>
    <w:p w14:paraId="128AC76D" w14:textId="77777777" w:rsidR="00E81C91" w:rsidRPr="00636C14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71115592" w14:textId="77777777" w:rsidR="00E81C91" w:rsidRPr="00636C14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 xml:space="preserve">Na výpočet koncentrácie veterinárneho lieku v pitnej vode sa môže použiť nasledujúci vzorec: </w:t>
      </w:r>
    </w:p>
    <w:p w14:paraId="410CABFD" w14:textId="77777777" w:rsidR="00E81C91" w:rsidRPr="00636C14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822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"/>
        <w:gridCol w:w="2835"/>
        <w:gridCol w:w="2411"/>
      </w:tblGrid>
      <w:tr w:rsidR="00E81C91" w:rsidRPr="00636C14" w14:paraId="0DE720A4" w14:textId="77777777" w:rsidTr="00E81C91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EDCC2" w14:textId="77777777" w:rsidR="00E81C91" w:rsidRPr="00636C14" w:rsidRDefault="00E81C91" w:rsidP="00E81C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 xml:space="preserve">100 mg produktu/kg </w:t>
            </w:r>
          </w:p>
          <w:p w14:paraId="06D7BBC6" w14:textId="77777777" w:rsidR="00E81C91" w:rsidRPr="00636C14" w:rsidRDefault="00E81C91" w:rsidP="00545D3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 xml:space="preserve"> </w:t>
            </w:r>
            <w:r w:rsidR="00545D3A">
              <w:t xml:space="preserve">živej </w:t>
            </w:r>
            <w:r>
              <w:t>hmotnos</w:t>
            </w:r>
            <w:r w:rsidR="00545D3A">
              <w:t>ti</w:t>
            </w:r>
            <w:r>
              <w:t>/deň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4B3E60" w14:textId="77777777" w:rsidR="00E81C91" w:rsidRPr="00636C14" w:rsidRDefault="00E81C91" w:rsidP="00E81C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br/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A49920" w14:textId="77777777" w:rsidR="00E81C91" w:rsidRPr="00636C14" w:rsidRDefault="00E81C91" w:rsidP="00545D3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 xml:space="preserve">priemerná </w:t>
            </w:r>
            <w:r w:rsidR="00545D3A">
              <w:t xml:space="preserve">živá </w:t>
            </w:r>
            <w:r>
              <w:t>hmotnosť (kg) zvierat, ktorým je potrebné liek podávať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935FEE" w14:textId="77777777" w:rsidR="00E81C91" w:rsidRPr="00636C14" w:rsidRDefault="00E81C91" w:rsidP="00E81C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br/>
              <w:t>= .... mg produktu na liter pitnej vody</w:t>
            </w:r>
          </w:p>
          <w:p w14:paraId="7BD3F83C" w14:textId="77777777" w:rsidR="00E81C91" w:rsidRPr="00636C14" w:rsidRDefault="00E81C91" w:rsidP="00E81C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</w:tr>
      <w:tr w:rsidR="00E81C91" w:rsidRPr="00636C14" w14:paraId="097B904A" w14:textId="77777777" w:rsidTr="00E81C91">
        <w:trPr>
          <w:cantSplit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BFD61" w14:textId="77777777" w:rsidR="00E81C91" w:rsidRPr="00636C14" w:rsidRDefault="00E81C91" w:rsidP="00E81C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Priemerná denná spotreba vody (l) na zviera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6F37" w14:textId="77777777" w:rsidR="00E81C91" w:rsidRPr="00636C14" w:rsidRDefault="00E81C91" w:rsidP="00E81C9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</w:tr>
    </w:tbl>
    <w:p w14:paraId="645B0B5F" w14:textId="77777777" w:rsidR="00E81B5E" w:rsidRDefault="00E81B5E" w:rsidP="00E81C91">
      <w:pPr>
        <w:tabs>
          <w:tab w:val="clear" w:pos="567"/>
        </w:tabs>
        <w:spacing w:line="240" w:lineRule="auto"/>
      </w:pPr>
    </w:p>
    <w:p w14:paraId="13D026F6" w14:textId="77777777" w:rsidR="00E81C91" w:rsidRPr="00636C14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Maximálna rozpustnosť produktu v pitnej vode je približne 100 g/liter.</w:t>
      </w:r>
    </w:p>
    <w:p w14:paraId="337370FA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Na váženie vypočítaného množstva salicylátu sodného sa odporúča použitie vhodne kalibrovaného vážiaceho zariadenia.</w:t>
      </w:r>
    </w:p>
    <w:p w14:paraId="6EC1F6D7" w14:textId="77777777" w:rsidR="00E81C91" w:rsidRDefault="00545D3A" w:rsidP="00E81C91">
      <w:pPr>
        <w:tabs>
          <w:tab w:val="clear" w:pos="567"/>
        </w:tabs>
        <w:spacing w:line="240" w:lineRule="auto"/>
        <w:rPr>
          <w:szCs w:val="22"/>
        </w:rPr>
      </w:pPr>
      <w:r>
        <w:t xml:space="preserve">Medikovaná </w:t>
      </w:r>
      <w:r w:rsidR="00E81C91">
        <w:t>pitná voda musí byť čerstvo pripravovaná každých 24 hodín.</w:t>
      </w:r>
    </w:p>
    <w:p w14:paraId="22279603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 xml:space="preserve">Každá medikovaná voda, ktorá sa </w:t>
      </w:r>
      <w:r w:rsidR="00545D3A">
        <w:t>ne</w:t>
      </w:r>
      <w:r>
        <w:t xml:space="preserve">spotrebuje v priebehu 24 hodín, sa musí zlikvidovať a doplniť </w:t>
      </w:r>
      <w:r w:rsidR="00545D3A">
        <w:t>čerstvou medikovanou pitnou vodou</w:t>
      </w:r>
      <w:r>
        <w:t>.</w:t>
      </w:r>
    </w:p>
    <w:p w14:paraId="63B2A6F6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 xml:space="preserve">Aby sa zabezpečila konzumácia medikovanej vody, zvieratá </w:t>
      </w:r>
      <w:r w:rsidR="00545D3A">
        <w:t xml:space="preserve">by </w:t>
      </w:r>
      <w:r>
        <w:t xml:space="preserve">nemali mať </w:t>
      </w:r>
      <w:r w:rsidR="00545D3A">
        <w:t xml:space="preserve">počas liečby </w:t>
      </w:r>
      <w:r>
        <w:t>prístup k iným zdrojom vody.</w:t>
      </w:r>
    </w:p>
    <w:p w14:paraId="57BC1C35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66930C38" w14:textId="77777777" w:rsidR="00E81C91" w:rsidRPr="00636C14" w:rsidRDefault="00E81C91" w:rsidP="00E81C91">
      <w:pPr>
        <w:pStyle w:val="Zarkazkladnhotextu"/>
        <w:keepNext/>
        <w:keepLines/>
        <w:ind w:left="0" w:firstLine="0"/>
        <w:rPr>
          <w:szCs w:val="22"/>
        </w:rPr>
      </w:pPr>
      <w:r>
        <w:t>4.10</w:t>
      </w:r>
      <w:r>
        <w:tab/>
        <w:t>Predávkovanie (príznaky, núdzové postupy, antidotá), ak sú potrebné</w:t>
      </w:r>
    </w:p>
    <w:p w14:paraId="3248C0EC" w14:textId="77777777" w:rsidR="00E81C91" w:rsidRPr="00636C14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C1DEBE3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Podanie štvornásobku odporúčanej dávky malo za následok zvýšenie spotreby pitnej vody a príležitostné hnačky.</w:t>
      </w:r>
    </w:p>
    <w:p w14:paraId="12EF2841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7BE7EF58" w14:textId="2A343C4A" w:rsidR="00E81C91" w:rsidRPr="00636C14" w:rsidRDefault="00E81C91" w:rsidP="00E81C91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4.11</w:t>
      </w:r>
      <w:r>
        <w:rPr>
          <w:b/>
        </w:rPr>
        <w:tab/>
        <w:t>Ochranné  lehoty</w:t>
      </w:r>
    </w:p>
    <w:p w14:paraId="0BD609D8" w14:textId="77777777" w:rsidR="00E81C91" w:rsidRPr="00636C14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D445526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Mäso a vnútornosti: 2 dni.</w:t>
      </w:r>
    </w:p>
    <w:p w14:paraId="16A18D82" w14:textId="30F9AAAA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Nepoužívať u vtákov produkujúcich alebo určených na produkciu vajec na ľudskú spotrebu.</w:t>
      </w:r>
    </w:p>
    <w:p w14:paraId="4EBE7976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7C467769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14:paraId="365FE54A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17EC2253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 xml:space="preserve">Farmakoterapeutická skupina: </w:t>
      </w:r>
      <w:r w:rsidR="001A3ABE" w:rsidRPr="001A3ABE">
        <w:t>Nervový systém, analgetiká a antipyretiká, kyselina salicylová a jej deriváty</w:t>
      </w:r>
      <w:r w:rsidR="00E81B5E">
        <w:t>.</w:t>
      </w:r>
    </w:p>
    <w:p w14:paraId="58ED86D8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ATCvet kód: QN02BA04</w:t>
      </w:r>
    </w:p>
    <w:p w14:paraId="2B5AEB41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59FFEDD6" w14:textId="77777777" w:rsidR="00E81C91" w:rsidRPr="00474C50" w:rsidRDefault="00E81C91" w:rsidP="00E81C91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5.1 Farmakodynamické vlastnosti</w:t>
      </w:r>
    </w:p>
    <w:p w14:paraId="4A5400AF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13AB2087" w14:textId="77777777" w:rsidR="00E81C91" w:rsidRDefault="00E81C91" w:rsidP="00E81B5E">
      <w:pPr>
        <w:tabs>
          <w:tab w:val="clear" w:pos="567"/>
        </w:tabs>
        <w:spacing w:line="240" w:lineRule="auto"/>
        <w:rPr>
          <w:szCs w:val="22"/>
        </w:rPr>
      </w:pPr>
      <w:r>
        <w:t>Salicylát sodný je nesteroidný protizápalový liek (NSAID) a má protizápalový účinok. Spôsob účinku je založený na inhibícii enzýmu cyklooxygenázy, čo má za následok zníženú produkciu prostaglandín</w:t>
      </w:r>
      <w:r w:rsidR="00E81B5E">
        <w:t>ov</w:t>
      </w:r>
      <w:r>
        <w:t xml:space="preserve"> (mediátorov zápalu).</w:t>
      </w:r>
    </w:p>
    <w:p w14:paraId="270BA48D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04B46FF8" w14:textId="77777777" w:rsidR="00E81C91" w:rsidRPr="00474C50" w:rsidRDefault="00E81C91" w:rsidP="00E81C91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5.2 Farmakokinetické údaje</w:t>
      </w:r>
    </w:p>
    <w:p w14:paraId="19384028" w14:textId="77777777" w:rsidR="00E81C91" w:rsidRPr="00AA2318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1E0207D0" w14:textId="77777777" w:rsidR="00E81C91" w:rsidRPr="00AA2318" w:rsidRDefault="00E81C91" w:rsidP="003930A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 moriek sa perorálne podávaný salicylát sodný absorbuje pasívnou difúziou čiastočne zo žalúdka a hlavne z tenkého čreva. Prechod </w:t>
      </w:r>
      <w:r w:rsidR="00D061C2">
        <w:t>tráviacim traktom</w:t>
      </w:r>
      <w:r>
        <w:t xml:space="preserve"> ovplyvňuje rýchlosť absorpcie a východiskové plazmatické hladiny salicylátu sodného závisia od toho, ako pln</w:t>
      </w:r>
      <w:r w:rsidR="00E81B5E">
        <w:t>ý</w:t>
      </w:r>
      <w:r>
        <w:t xml:space="preserve"> je </w:t>
      </w:r>
      <w:r w:rsidR="00D061C2">
        <w:t>tr</w:t>
      </w:r>
      <w:r w:rsidR="00E81B5E">
        <w:t>á</w:t>
      </w:r>
      <w:r w:rsidR="00D061C2">
        <w:t>viaci trakt</w:t>
      </w:r>
      <w:r>
        <w:t xml:space="preserve">. Po podaní do </w:t>
      </w:r>
      <w:r w:rsidR="00D061C2">
        <w:t>tr</w:t>
      </w:r>
      <w:r w:rsidR="00E81B5E">
        <w:t>á</w:t>
      </w:r>
      <w:r w:rsidR="00D061C2">
        <w:t xml:space="preserve">viaceho traktu </w:t>
      </w:r>
      <w:r>
        <w:t xml:space="preserve">sa dosiahnu maximálne plazmatické koncentrácie približne </w:t>
      </w:r>
      <w:r w:rsidR="00E81B5E">
        <w:t>po</w:t>
      </w:r>
      <w:r>
        <w:t xml:space="preserve"> troch hodinách (priemer), t</w:t>
      </w:r>
      <w:r>
        <w:rPr>
          <w:vertAlign w:val="subscript"/>
        </w:rPr>
        <w:t>1/2</w:t>
      </w:r>
      <w:r>
        <w:t xml:space="preserve"> je približne dve hodiny. Pri perorálnom podaní prostredníctvom pitnej vody (dávka 100 mg/kg </w:t>
      </w:r>
      <w:r w:rsidR="00E81B5E">
        <w:t xml:space="preserve">živej </w:t>
      </w:r>
      <w:r>
        <w:t>hmotnosti na deň počas troch dní) sa dosiahnu priemerné plazmatické koncentrácie nad 20 μg/ml.</w:t>
      </w:r>
    </w:p>
    <w:p w14:paraId="4EF282C4" w14:textId="77777777" w:rsidR="00E81C91" w:rsidRPr="00AA2318" w:rsidRDefault="00E81C91" w:rsidP="003930A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8F68A0" w14:textId="77777777" w:rsidR="00E81C91" w:rsidRPr="00474C50" w:rsidRDefault="00E81C91" w:rsidP="003930A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Salicylát sodný sa veľmi dobre distribuuje do rôznych tkanív. Najvyššie koncentrácie sa dosiahnu v pečeni, obličkách a pľúcach. Existuje pravdepodobnosť zistenia akumulácie zápalového exsudátu. Ďalšie štúdie o metabolizme nie sú dostupné pre morky. Vylučovanie prebieha pravdepodobne predovšetkým renálne.</w:t>
      </w:r>
    </w:p>
    <w:p w14:paraId="40ADB0A5" w14:textId="77777777" w:rsidR="00E81C91" w:rsidRPr="00474C50" w:rsidRDefault="00E81C91" w:rsidP="00E81C91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625E80B5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14:paraId="5E7C86A1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6A45B763" w14:textId="77777777" w:rsidR="00E81C91" w:rsidRDefault="00E81C91" w:rsidP="00E81C91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14:paraId="0F993632" w14:textId="77777777" w:rsidR="00E81C91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03C0DEDB" w14:textId="77777777" w:rsidR="00E81C91" w:rsidRPr="00BB3903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>Neuplatňuje sa</w:t>
      </w:r>
      <w:r w:rsidR="00D64B24">
        <w:t>.</w:t>
      </w:r>
    </w:p>
    <w:p w14:paraId="19321E00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32B5A072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6.2 Závažné inkompatibility</w:t>
      </w:r>
    </w:p>
    <w:p w14:paraId="7CD902F6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2C53977F" w14:textId="7777777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Z dôvodu chýbania štúdií kompatibility, sa tento veterinárny liek nesmie miešať s inými veterinárnymi liekmi.</w:t>
      </w:r>
    </w:p>
    <w:p w14:paraId="1DE7ADFE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5C0AAE5B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6.3 Čas použiteľnosti</w:t>
      </w:r>
    </w:p>
    <w:p w14:paraId="20CFC508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5DC693EE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Čas použiteľnosti veterinárneho lieku v neporušenom obale: 3 roky.</w:t>
      </w:r>
    </w:p>
    <w:p w14:paraId="2625EB01" w14:textId="77777777" w:rsidR="00E81C91" w:rsidRPr="009D0C6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Čas použiteľnosti po prvom otvorení vnútorného obalu: 6 mesiacov.</w:t>
      </w:r>
    </w:p>
    <w:p w14:paraId="17B53B2A" w14:textId="77777777" w:rsidR="00E81C91" w:rsidRPr="00B9586D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Čas použiteľnosti po rekonštitúcii v pitnej vode podľa návodu: 24 hodín.</w:t>
      </w:r>
    </w:p>
    <w:p w14:paraId="1EAB7DC5" w14:textId="77777777" w:rsidR="00466BBD" w:rsidRPr="0017315B" w:rsidRDefault="0000321E" w:rsidP="0017315B">
      <w:pPr>
        <w:tabs>
          <w:tab w:val="clear" w:pos="567"/>
        </w:tabs>
        <w:spacing w:line="240" w:lineRule="auto"/>
        <w:rPr>
          <w:i/>
        </w:rPr>
      </w:pPr>
      <w:r w:rsidRPr="0000321E">
        <w:t>Po uplynutí tejto doby sa zvyšný nevyužitý roztok musí zlikvidovať</w:t>
      </w:r>
      <w:r w:rsidR="0017315B" w:rsidRPr="0017315B">
        <w:t>.</w:t>
      </w:r>
    </w:p>
    <w:p w14:paraId="3404BB4B" w14:textId="77777777" w:rsidR="00E81C91" w:rsidRPr="00474C50" w:rsidRDefault="00466BBD" w:rsidP="00466BBD">
      <w:pPr>
        <w:tabs>
          <w:tab w:val="clear" w:pos="567"/>
        </w:tabs>
        <w:spacing w:line="240" w:lineRule="auto"/>
        <w:rPr>
          <w:szCs w:val="22"/>
        </w:rPr>
      </w:pPr>
      <w:r w:rsidRPr="0017315B">
        <w:rPr>
          <w:szCs w:val="22"/>
        </w:rPr>
        <w:t xml:space="preserve"> </w:t>
      </w:r>
    </w:p>
    <w:p w14:paraId="34920616" w14:textId="7515160B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6.4</w:t>
      </w:r>
      <w:r>
        <w:rPr>
          <w:b/>
        </w:rPr>
        <w:tab/>
        <w:t>Osobitné bezpečnostné opatrenia na uchovávanie</w:t>
      </w:r>
    </w:p>
    <w:p w14:paraId="61004BAA" w14:textId="77777777" w:rsidR="00E81C91" w:rsidRPr="00334386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63639225" w14:textId="77777777" w:rsidR="00E81C91" w:rsidRPr="009D0C6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 xml:space="preserve">Tento veterinárny liek nevyžaduje žiadne zvláštne podmienky na uchovávanie. </w:t>
      </w:r>
    </w:p>
    <w:p w14:paraId="7DEA8A07" w14:textId="77777777" w:rsidR="00E81C91" w:rsidRPr="00474C50" w:rsidRDefault="00D061C2" w:rsidP="00E81C91">
      <w:pPr>
        <w:tabs>
          <w:tab w:val="clear" w:pos="567"/>
        </w:tabs>
        <w:spacing w:line="240" w:lineRule="auto"/>
        <w:rPr>
          <w:szCs w:val="22"/>
        </w:rPr>
      </w:pPr>
      <w:r>
        <w:t xml:space="preserve">Po prvom otvorení </w:t>
      </w:r>
      <w:r w:rsidR="00E81C91">
        <w:t xml:space="preserve">musí byť </w:t>
      </w:r>
      <w:r>
        <w:t xml:space="preserve">obal </w:t>
      </w:r>
      <w:r w:rsidR="00E81C91">
        <w:t xml:space="preserve">dobre uzavretý, aby bol </w:t>
      </w:r>
      <w:r>
        <w:t xml:space="preserve">obsah </w:t>
      </w:r>
      <w:r w:rsidR="00E81C91">
        <w:t>chránený pre svetlom.</w:t>
      </w:r>
    </w:p>
    <w:p w14:paraId="29BE20A9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7DF7BF71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6.5</w:t>
      </w:r>
      <w:r>
        <w:rPr>
          <w:b/>
        </w:rPr>
        <w:tab/>
        <w:t>Charakter a zloženie vnútorného obalu</w:t>
      </w:r>
    </w:p>
    <w:p w14:paraId="24786044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3911E140" w14:textId="77777777" w:rsidR="00D64B24" w:rsidRDefault="00E81C91" w:rsidP="00D64B24">
      <w:pPr>
        <w:tabs>
          <w:tab w:val="clear" w:pos="567"/>
        </w:tabs>
        <w:spacing w:line="240" w:lineRule="auto"/>
      </w:pPr>
      <w:r>
        <w:t xml:space="preserve">Obaly sa skladajú z nasledujúcich materiálov: vonkajšia vrstva z </w:t>
      </w:r>
      <w:r w:rsidR="00D64B24">
        <w:t xml:space="preserve">kyseliny </w:t>
      </w:r>
      <w:r>
        <w:t xml:space="preserve">polyetyléntereftalovej, spodné vrstvy z hliníka a polyamidu a vnútorná vrstva z polyetylénu. </w:t>
      </w:r>
    </w:p>
    <w:p w14:paraId="7DFB3833" w14:textId="77777777" w:rsidR="00E81C91" w:rsidRPr="004C1FBB" w:rsidRDefault="00E81C91" w:rsidP="00D64B24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Veľkosti balenia</w:t>
      </w:r>
      <w:r w:rsidR="00D64B24">
        <w:t>:</w:t>
      </w:r>
      <w:r>
        <w:t xml:space="preserve"> 100 g, 250 g, 500 g, 1 kg, 2,5 kg a 5 kg.</w:t>
      </w:r>
    </w:p>
    <w:p w14:paraId="29A80892" w14:textId="77777777" w:rsidR="00E81C91" w:rsidRPr="0027093E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E5D8F40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564D454B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6D682D2E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6.6</w:t>
      </w:r>
      <w:r>
        <w:tab/>
      </w:r>
      <w:r>
        <w:rPr>
          <w:b/>
        </w:rPr>
        <w:t>Osobitné bezpečnostné opatrenia na zneškodňovanie nepoužitých veterinárnych liekov, prípadne odpadových materiálov vytvorených pri používaní týchto liekov.</w:t>
      </w:r>
    </w:p>
    <w:p w14:paraId="509A1CDF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435264DD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14:paraId="4AF4418F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1783EB89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 xml:space="preserve">DRŽITEĽ ROZHODNUTIA O REGISTRÁCII </w:t>
      </w:r>
    </w:p>
    <w:p w14:paraId="3AEF9F6A" w14:textId="77777777" w:rsidR="00E81C91" w:rsidRPr="00334386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15C38BA3" w14:textId="77777777" w:rsidR="00E81C91" w:rsidRPr="009D0C6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Eurovet Animal Health BV</w:t>
      </w:r>
    </w:p>
    <w:p w14:paraId="09D0B5CC" w14:textId="77777777" w:rsidR="00E81C91" w:rsidRPr="00B9586D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Handelsweg 25</w:t>
      </w:r>
    </w:p>
    <w:p w14:paraId="26DB14D3" w14:textId="77777777" w:rsidR="00E81C91" w:rsidRPr="00B9586D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5531 AE Bladel</w:t>
      </w:r>
    </w:p>
    <w:p w14:paraId="3DBAA198" w14:textId="77777777" w:rsidR="00E81C91" w:rsidRPr="00B9586D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3BD60DE0" w14:textId="77777777" w:rsidR="00E81C91" w:rsidRPr="00B9586D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1DDF130F" w14:textId="44FB9F7A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14:paraId="11EAE145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7AD0DE18" w14:textId="77777777" w:rsidR="00E81C91" w:rsidRDefault="00D64B24" w:rsidP="00E81C9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96/064/DC/17-S</w:t>
      </w:r>
    </w:p>
    <w:p w14:paraId="39E52A3E" w14:textId="77777777" w:rsidR="00D64B24" w:rsidRPr="00474C50" w:rsidRDefault="00D64B24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792592D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DÁTUM PRVEJ REGISTRÁCIE/PREDĹŽENIA REGISTRÁCIE</w:t>
      </w:r>
    </w:p>
    <w:p w14:paraId="3473E638" w14:textId="77777777" w:rsidR="00E81C91" w:rsidRPr="00334386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5D53C823" w14:textId="0421F25A" w:rsidR="00E81C91" w:rsidRDefault="001A6A7B" w:rsidP="00E81C91">
      <w:pPr>
        <w:tabs>
          <w:tab w:val="clear" w:pos="567"/>
        </w:tabs>
        <w:spacing w:line="240" w:lineRule="auto"/>
        <w:rPr>
          <w:bCs/>
          <w:szCs w:val="22"/>
        </w:rPr>
      </w:pPr>
      <w:r w:rsidRPr="001A6A7B">
        <w:rPr>
          <w:bCs/>
          <w:szCs w:val="22"/>
        </w:rPr>
        <w:t>Dátum prvej registrácie:</w:t>
      </w:r>
      <w:r w:rsidR="00AE56AF">
        <w:rPr>
          <w:bCs/>
          <w:szCs w:val="22"/>
        </w:rPr>
        <w:t xml:space="preserve"> </w:t>
      </w:r>
      <w:r w:rsidR="00DC5C0B">
        <w:rPr>
          <w:bCs/>
          <w:szCs w:val="22"/>
        </w:rPr>
        <w:t>22/01/2018</w:t>
      </w:r>
    </w:p>
    <w:p w14:paraId="17A75352" w14:textId="766F7573" w:rsidR="001A6A7B" w:rsidRDefault="001A6A7B" w:rsidP="00E81C91">
      <w:pPr>
        <w:tabs>
          <w:tab w:val="clear" w:pos="567"/>
        </w:tabs>
        <w:spacing w:line="240" w:lineRule="auto"/>
        <w:rPr>
          <w:bCs/>
          <w:szCs w:val="22"/>
        </w:rPr>
      </w:pPr>
      <w:r w:rsidRPr="001A6A7B">
        <w:rPr>
          <w:bCs/>
          <w:szCs w:val="22"/>
        </w:rPr>
        <w:t>Dátum posledného predĺženia:</w:t>
      </w:r>
      <w:r w:rsidR="00797ED0">
        <w:rPr>
          <w:bCs/>
          <w:szCs w:val="22"/>
        </w:rPr>
        <w:t xml:space="preserve"> 18/08/2022</w:t>
      </w:r>
    </w:p>
    <w:p w14:paraId="3090F42D" w14:textId="77777777" w:rsidR="001A6A7B" w:rsidRPr="00474C50" w:rsidRDefault="001A6A7B" w:rsidP="00E81C91">
      <w:pPr>
        <w:tabs>
          <w:tab w:val="clear" w:pos="567"/>
        </w:tabs>
        <w:spacing w:line="240" w:lineRule="auto"/>
        <w:rPr>
          <w:szCs w:val="22"/>
        </w:rPr>
      </w:pPr>
    </w:p>
    <w:p w14:paraId="7231BFBA" w14:textId="77777777" w:rsidR="00E81C91" w:rsidRPr="00474C50" w:rsidRDefault="00E81C91" w:rsidP="00E81C91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14:paraId="79953AAD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6CF905A4" w14:textId="63DAF887" w:rsidR="00E81C91" w:rsidRDefault="00861995" w:rsidP="00D64B2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07</w:t>
      </w:r>
      <w:r w:rsidR="00FC5B93">
        <w:rPr>
          <w:szCs w:val="22"/>
        </w:rPr>
        <w:t>/2022</w:t>
      </w:r>
    </w:p>
    <w:p w14:paraId="285A5C17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D8BAD68" w14:textId="77777777" w:rsidR="00E81C91" w:rsidRPr="00636C14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ZÁKAZ PREDAJA, DODÁVOK A/ALEBO POUŽÍVANIA</w:t>
      </w:r>
    </w:p>
    <w:p w14:paraId="62883A75" w14:textId="77777777" w:rsidR="00E81C91" w:rsidRPr="00334386" w:rsidRDefault="00E81C91" w:rsidP="00E81C9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1F3785E1" w14:textId="77777777" w:rsidR="00E81C91" w:rsidRPr="009D0C6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Neuplatňuje sa.</w:t>
      </w:r>
    </w:p>
    <w:p w14:paraId="3017C761" w14:textId="77777777" w:rsidR="00E81C91" w:rsidRPr="00474C50" w:rsidRDefault="00E81C91" w:rsidP="00E81C91">
      <w:pPr>
        <w:tabs>
          <w:tab w:val="clear" w:pos="567"/>
        </w:tabs>
        <w:spacing w:line="240" w:lineRule="auto"/>
        <w:rPr>
          <w:szCs w:val="22"/>
        </w:rPr>
      </w:pPr>
      <w:r>
        <w:t>Výdaj lieku je viazaný  na veterinárny predpis.</w:t>
      </w:r>
    </w:p>
    <w:p w14:paraId="1B48A863" w14:textId="58505887" w:rsidR="00E81C91" w:rsidRDefault="00E81C91" w:rsidP="00E81C91">
      <w:pPr>
        <w:tabs>
          <w:tab w:val="clear" w:pos="567"/>
        </w:tabs>
        <w:spacing w:line="240" w:lineRule="auto"/>
        <w:rPr>
          <w:szCs w:val="22"/>
        </w:rPr>
      </w:pPr>
    </w:p>
    <w:p w14:paraId="1D6111D4" w14:textId="07F0C611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3AEB2470" w14:textId="176A0EED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5ACB4AA6" w14:textId="44495F90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4DE3F951" w14:textId="6EAA8F76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04E93C3" w14:textId="5D3A9F39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2CFB3961" w14:textId="2750F198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675125D0" w14:textId="06516398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7B66675A" w14:textId="0E934819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4341A619" w14:textId="7AFA379E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6C349544" w14:textId="613B4C0E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3AE19751" w14:textId="0EF84504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657C7262" w14:textId="128888C2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1AF32B7B" w14:textId="3C196AAD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361E3BBA" w14:textId="7C0BF3F5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719AEB8C" w14:textId="4DD24BCC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17B2BA63" w14:textId="53E9F41D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5146F219" w14:textId="5A6B9F43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6DC9B0C4" w14:textId="1ED14945" w:rsidR="008D392C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p w14:paraId="5E933F03" w14:textId="77777777" w:rsidR="008D392C" w:rsidRPr="00F729BF" w:rsidRDefault="008D392C" w:rsidP="008D392C">
      <w:pPr>
        <w:autoSpaceDE w:val="0"/>
        <w:autoSpaceDN w:val="0"/>
        <w:adjustRightInd w:val="0"/>
        <w:jc w:val="center"/>
        <w:rPr>
          <w:szCs w:val="22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8D392C" w:rsidRPr="00F729BF" w14:paraId="4025CFF5" w14:textId="77777777" w:rsidTr="00733648">
        <w:trPr>
          <w:trHeight w:val="1562"/>
        </w:trPr>
        <w:tc>
          <w:tcPr>
            <w:tcW w:w="9298" w:type="dxa"/>
            <w:tcBorders>
              <w:bottom w:val="single" w:sz="4" w:space="0" w:color="auto"/>
            </w:tcBorders>
          </w:tcPr>
          <w:p w14:paraId="51E5450F" w14:textId="77777777" w:rsidR="008D392C" w:rsidRPr="00F729BF" w:rsidRDefault="008D392C" w:rsidP="00733648">
            <w:pPr>
              <w:rPr>
                <w:b/>
                <w:szCs w:val="22"/>
              </w:rPr>
            </w:pPr>
            <w:r w:rsidRPr="00F729BF">
              <w:rPr>
                <w:szCs w:val="22"/>
              </w:rPr>
              <w:lastRenderedPageBreak/>
              <w:br w:type="page"/>
            </w:r>
          </w:p>
          <w:p w14:paraId="63972AA9" w14:textId="77777777" w:rsidR="008D392C" w:rsidRPr="00F729BF" w:rsidRDefault="008D392C" w:rsidP="00733648">
            <w:pPr>
              <w:rPr>
                <w:b/>
                <w:szCs w:val="22"/>
              </w:rPr>
            </w:pPr>
            <w:r w:rsidRPr="00F729BF">
              <w:rPr>
                <w:b/>
                <w:szCs w:val="22"/>
              </w:rPr>
              <w:t xml:space="preserve">ÚDAJE, KTORÉ MAJÚ BYŤ UVEDENÉ NA VNÚTORNOM OBALE </w:t>
            </w:r>
            <w:r w:rsidRPr="00F729BF">
              <w:rPr>
                <w:b/>
                <w:szCs w:val="22"/>
                <w:cs/>
              </w:rPr>
              <w:t xml:space="preserve">–  </w:t>
            </w:r>
          </w:p>
          <w:p w14:paraId="394C89E9" w14:textId="77777777" w:rsidR="008D392C" w:rsidRPr="00F729BF" w:rsidRDefault="008D392C" w:rsidP="00733648">
            <w:pPr>
              <w:rPr>
                <w:b/>
                <w:szCs w:val="22"/>
              </w:rPr>
            </w:pPr>
            <w:r w:rsidRPr="00F729BF">
              <w:rPr>
                <w:b/>
                <w:szCs w:val="22"/>
                <w:u w:val="thick"/>
              </w:rPr>
              <w:t>KOMBINOVANÝ OBAL A PÍSOMNÁ INFORMÁCIA PRE POUŽÍVATEĽOV</w:t>
            </w:r>
          </w:p>
          <w:p w14:paraId="4853746E" w14:textId="77777777" w:rsidR="008D392C" w:rsidRPr="00F729BF" w:rsidRDefault="008D392C" w:rsidP="00733648">
            <w:pPr>
              <w:spacing w:after="80"/>
              <w:jc w:val="center"/>
              <w:rPr>
                <w:b/>
                <w:szCs w:val="22"/>
              </w:rPr>
            </w:pPr>
          </w:p>
          <w:p w14:paraId="44A6700F" w14:textId="77777777" w:rsidR="008D392C" w:rsidRPr="00F729BF" w:rsidRDefault="008D392C" w:rsidP="00733648">
            <w:pPr>
              <w:rPr>
                <w:b/>
                <w:szCs w:val="22"/>
              </w:rPr>
            </w:pPr>
            <w:r w:rsidRPr="00F729BF">
              <w:rPr>
                <w:b/>
                <w:szCs w:val="22"/>
              </w:rPr>
              <w:t>Obal 100 g, 250 g, 500 g, 1 kg, 2,5 kg a 5 kg</w:t>
            </w:r>
          </w:p>
        </w:tc>
      </w:tr>
    </w:tbl>
    <w:p w14:paraId="05A7C20C" w14:textId="77777777" w:rsidR="008D392C" w:rsidRPr="00F729BF" w:rsidRDefault="008D392C" w:rsidP="008D392C">
      <w:pPr>
        <w:ind w:right="113"/>
        <w:jc w:val="center"/>
        <w:rPr>
          <w:szCs w:val="22"/>
        </w:rPr>
      </w:pPr>
    </w:p>
    <w:p w14:paraId="0FCC0A3F" w14:textId="77777777" w:rsidR="008D392C" w:rsidRPr="00F729BF" w:rsidRDefault="008D392C" w:rsidP="008D392C">
      <w:pPr>
        <w:ind w:left="567" w:hanging="567"/>
        <w:rPr>
          <w:szCs w:val="22"/>
          <w:u w:val="single"/>
        </w:rPr>
      </w:pPr>
    </w:p>
    <w:p w14:paraId="21B1DC18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</w:rPr>
      </w:pPr>
      <w:r w:rsidRPr="00F729BF">
        <w:rPr>
          <w:b/>
          <w:szCs w:val="22"/>
          <w:highlight w:val="lightGray"/>
        </w:rPr>
        <w:t>1.</w:t>
      </w:r>
      <w:r w:rsidRPr="00F729BF">
        <w:rPr>
          <w:b/>
          <w:szCs w:val="22"/>
          <w:highlight w:val="lightGray"/>
        </w:rPr>
        <w:tab/>
        <w:t>Názov a adresa držiteľa rozhodnutia o registrácii a držiteľa povolenia na výrobu zodpovedného za uvoľnenie šarže, ak nie sú identickí</w:t>
      </w:r>
    </w:p>
    <w:p w14:paraId="3F5549F4" w14:textId="77777777" w:rsidR="008D392C" w:rsidRPr="00F729BF" w:rsidRDefault="008D392C" w:rsidP="008D392C">
      <w:pPr>
        <w:rPr>
          <w:iCs/>
          <w:szCs w:val="22"/>
          <w:u w:val="single"/>
        </w:rPr>
      </w:pPr>
    </w:p>
    <w:p w14:paraId="4602E930" w14:textId="77777777" w:rsidR="008D392C" w:rsidRPr="00F729BF" w:rsidRDefault="008D392C" w:rsidP="008D392C">
      <w:pPr>
        <w:rPr>
          <w:iCs/>
          <w:szCs w:val="22"/>
        </w:rPr>
      </w:pPr>
      <w:r w:rsidRPr="00F729BF">
        <w:rPr>
          <w:szCs w:val="22"/>
          <w:u w:val="single"/>
        </w:rPr>
        <w:t>Držiteľ rozhodnutia o registrácii a výrobca zodpovedný za uvoľnenie šarže</w:t>
      </w:r>
      <w:r w:rsidRPr="00F729BF">
        <w:rPr>
          <w:szCs w:val="22"/>
        </w:rPr>
        <w:t>:</w:t>
      </w:r>
    </w:p>
    <w:p w14:paraId="78B89E37" w14:textId="77777777" w:rsidR="008D392C" w:rsidRPr="00F729BF" w:rsidRDefault="008D392C" w:rsidP="008D392C">
      <w:pPr>
        <w:rPr>
          <w:szCs w:val="22"/>
        </w:rPr>
      </w:pPr>
      <w:proofErr w:type="spellStart"/>
      <w:r w:rsidRPr="00F729BF">
        <w:rPr>
          <w:szCs w:val="22"/>
        </w:rPr>
        <w:t>Eurovet</w:t>
      </w:r>
      <w:proofErr w:type="spellEnd"/>
      <w:r w:rsidRPr="00F729BF">
        <w:rPr>
          <w:szCs w:val="22"/>
        </w:rPr>
        <w:t xml:space="preserve"> </w:t>
      </w:r>
      <w:proofErr w:type="spellStart"/>
      <w:r w:rsidRPr="00F729BF">
        <w:rPr>
          <w:szCs w:val="22"/>
        </w:rPr>
        <w:t>Animal</w:t>
      </w:r>
      <w:proofErr w:type="spellEnd"/>
      <w:r w:rsidRPr="00F729BF">
        <w:rPr>
          <w:szCs w:val="22"/>
        </w:rPr>
        <w:t xml:space="preserve"> </w:t>
      </w:r>
      <w:proofErr w:type="spellStart"/>
      <w:r w:rsidRPr="00F729BF">
        <w:rPr>
          <w:szCs w:val="22"/>
        </w:rPr>
        <w:t>Health</w:t>
      </w:r>
      <w:proofErr w:type="spellEnd"/>
      <w:r w:rsidRPr="00F729BF">
        <w:rPr>
          <w:szCs w:val="22"/>
        </w:rPr>
        <w:t xml:space="preserve"> BV </w:t>
      </w:r>
      <w:r w:rsidRPr="00F729BF">
        <w:rPr>
          <w:szCs w:val="22"/>
        </w:rPr>
        <w:br/>
      </w:r>
      <w:proofErr w:type="spellStart"/>
      <w:r w:rsidRPr="00F729BF">
        <w:rPr>
          <w:szCs w:val="22"/>
        </w:rPr>
        <w:t>Handelsweg</w:t>
      </w:r>
      <w:proofErr w:type="spellEnd"/>
      <w:r w:rsidRPr="00F729BF">
        <w:rPr>
          <w:szCs w:val="22"/>
        </w:rPr>
        <w:t xml:space="preserve"> 25</w:t>
      </w:r>
    </w:p>
    <w:p w14:paraId="5D9AA4A2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 xml:space="preserve">5531 AE </w:t>
      </w:r>
      <w:proofErr w:type="spellStart"/>
      <w:r w:rsidRPr="00F729BF">
        <w:rPr>
          <w:szCs w:val="22"/>
        </w:rPr>
        <w:t>Bladel</w:t>
      </w:r>
      <w:proofErr w:type="spellEnd"/>
      <w:r w:rsidRPr="00F729BF">
        <w:rPr>
          <w:szCs w:val="22"/>
        </w:rPr>
        <w:t xml:space="preserve"> </w:t>
      </w:r>
      <w:r w:rsidRPr="00F729BF">
        <w:rPr>
          <w:szCs w:val="22"/>
        </w:rPr>
        <w:br/>
        <w:t>Holandsko</w:t>
      </w:r>
    </w:p>
    <w:p w14:paraId="10AAB00C" w14:textId="77777777" w:rsidR="008D392C" w:rsidRPr="00F729BF" w:rsidRDefault="008D392C" w:rsidP="008D392C">
      <w:pPr>
        <w:rPr>
          <w:szCs w:val="22"/>
        </w:rPr>
      </w:pPr>
    </w:p>
    <w:p w14:paraId="7F3083FD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Cs w:val="22"/>
        </w:rPr>
      </w:pPr>
      <w:r w:rsidRPr="00F729BF">
        <w:rPr>
          <w:b/>
          <w:szCs w:val="22"/>
        </w:rPr>
        <w:t>2.</w:t>
      </w:r>
      <w:r w:rsidRPr="00F729BF">
        <w:rPr>
          <w:b/>
          <w:szCs w:val="22"/>
        </w:rPr>
        <w:tab/>
        <w:t>Názov veterinárneho lieku</w:t>
      </w:r>
    </w:p>
    <w:p w14:paraId="034473A1" w14:textId="77777777" w:rsidR="008D392C" w:rsidRPr="00F729BF" w:rsidRDefault="008D392C" w:rsidP="008D392C">
      <w:pPr>
        <w:rPr>
          <w:szCs w:val="22"/>
          <w:u w:val="single"/>
        </w:rPr>
      </w:pPr>
    </w:p>
    <w:p w14:paraId="74149E8F" w14:textId="77777777" w:rsidR="008D392C" w:rsidRPr="00F729BF" w:rsidRDefault="008D392C" w:rsidP="008D392C">
      <w:pPr>
        <w:rPr>
          <w:szCs w:val="22"/>
        </w:rPr>
      </w:pPr>
      <w:proofErr w:type="spellStart"/>
      <w:r w:rsidRPr="00F729BF">
        <w:rPr>
          <w:szCs w:val="22"/>
        </w:rPr>
        <w:t>Solacyl</w:t>
      </w:r>
      <w:proofErr w:type="spellEnd"/>
      <w:r w:rsidRPr="00F729BF">
        <w:rPr>
          <w:szCs w:val="22"/>
        </w:rPr>
        <w:t xml:space="preserve"> 1000 mg/g, prášok na použitie v pitnej vode, pre morky</w:t>
      </w:r>
    </w:p>
    <w:p w14:paraId="5613C132" w14:textId="77777777" w:rsidR="008D392C" w:rsidRDefault="008D392C" w:rsidP="008D392C">
      <w:pPr>
        <w:rPr>
          <w:szCs w:val="22"/>
          <w:u w:val="single"/>
        </w:rPr>
      </w:pPr>
      <w:proofErr w:type="spellStart"/>
      <w:r w:rsidRPr="00707C18">
        <w:rPr>
          <w:szCs w:val="22"/>
          <w:u w:val="single"/>
        </w:rPr>
        <w:t>Salicylát</w:t>
      </w:r>
      <w:proofErr w:type="spellEnd"/>
      <w:r w:rsidRPr="00707C18">
        <w:rPr>
          <w:szCs w:val="22"/>
          <w:u w:val="single"/>
        </w:rPr>
        <w:t xml:space="preserve"> sodný</w:t>
      </w:r>
    </w:p>
    <w:p w14:paraId="4EE785A3" w14:textId="77777777" w:rsidR="008D392C" w:rsidRPr="00F729BF" w:rsidRDefault="008D392C" w:rsidP="008D392C">
      <w:pPr>
        <w:rPr>
          <w:szCs w:val="22"/>
          <w:u w:val="single"/>
        </w:rPr>
      </w:pPr>
    </w:p>
    <w:p w14:paraId="22FE9C54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Cs w:val="22"/>
        </w:rPr>
      </w:pPr>
      <w:r w:rsidRPr="00F729BF">
        <w:rPr>
          <w:b/>
          <w:szCs w:val="22"/>
        </w:rPr>
        <w:t>3.</w:t>
      </w:r>
      <w:r w:rsidRPr="00F729BF">
        <w:rPr>
          <w:b/>
          <w:szCs w:val="22"/>
        </w:rPr>
        <w:tab/>
        <w:t>Obsah účinnej látky (-</w:t>
      </w:r>
      <w:proofErr w:type="spellStart"/>
      <w:r w:rsidRPr="00F729BF">
        <w:rPr>
          <w:b/>
          <w:szCs w:val="22"/>
        </w:rPr>
        <w:t>ok</w:t>
      </w:r>
      <w:proofErr w:type="spellEnd"/>
      <w:r w:rsidRPr="00F729BF">
        <w:rPr>
          <w:b/>
          <w:szCs w:val="22"/>
        </w:rPr>
        <w:t>) a inej látky (-</w:t>
      </w:r>
      <w:proofErr w:type="spellStart"/>
      <w:r w:rsidRPr="00F729BF">
        <w:rPr>
          <w:b/>
          <w:szCs w:val="22"/>
        </w:rPr>
        <w:t>ok</w:t>
      </w:r>
      <w:proofErr w:type="spellEnd"/>
      <w:r w:rsidRPr="00F729BF">
        <w:rPr>
          <w:b/>
          <w:szCs w:val="22"/>
        </w:rPr>
        <w:t>)</w:t>
      </w:r>
    </w:p>
    <w:p w14:paraId="1CBFFB64" w14:textId="77777777" w:rsidR="008D392C" w:rsidRPr="00F729BF" w:rsidRDefault="008D392C" w:rsidP="008D392C">
      <w:pPr>
        <w:ind w:left="567" w:hanging="567"/>
        <w:rPr>
          <w:szCs w:val="22"/>
          <w:u w:val="single"/>
        </w:rPr>
      </w:pPr>
    </w:p>
    <w:p w14:paraId="0C1BD9A3" w14:textId="77777777" w:rsidR="008D392C" w:rsidRPr="00F729BF" w:rsidRDefault="008D392C" w:rsidP="008D392C">
      <w:pPr>
        <w:ind w:left="567" w:hanging="567"/>
        <w:rPr>
          <w:szCs w:val="22"/>
        </w:rPr>
      </w:pPr>
      <w:r w:rsidRPr="00436720">
        <w:rPr>
          <w:szCs w:val="22"/>
          <w:u w:val="single"/>
        </w:rPr>
        <w:t>Každý gram obsahuje</w:t>
      </w:r>
      <w:r w:rsidRPr="00F729BF">
        <w:rPr>
          <w:szCs w:val="22"/>
        </w:rPr>
        <w:t>:</w:t>
      </w:r>
    </w:p>
    <w:p w14:paraId="2378FF6F" w14:textId="77777777" w:rsidR="008D392C" w:rsidRPr="00F729BF" w:rsidRDefault="008D392C" w:rsidP="008D392C">
      <w:pPr>
        <w:ind w:left="567" w:hanging="567"/>
        <w:rPr>
          <w:bCs/>
          <w:iCs/>
          <w:szCs w:val="22"/>
        </w:rPr>
      </w:pPr>
      <w:proofErr w:type="spellStart"/>
      <w:r w:rsidRPr="00F729BF">
        <w:rPr>
          <w:szCs w:val="22"/>
        </w:rPr>
        <w:t>Salicylát</w:t>
      </w:r>
      <w:proofErr w:type="spellEnd"/>
      <w:r w:rsidRPr="00F729BF">
        <w:rPr>
          <w:szCs w:val="22"/>
        </w:rPr>
        <w:t xml:space="preserve"> sodný 1000 mg, čo zodpovedá 862,6 mg kyseliny salicylovej (vo forme sodnej soli) </w:t>
      </w:r>
    </w:p>
    <w:p w14:paraId="73EC0828" w14:textId="77777777" w:rsidR="008D392C" w:rsidRPr="00F729BF" w:rsidRDefault="008D392C" w:rsidP="008D392C">
      <w:pPr>
        <w:ind w:left="567" w:hanging="567"/>
        <w:rPr>
          <w:szCs w:val="22"/>
        </w:rPr>
      </w:pPr>
    </w:p>
    <w:p w14:paraId="4101E7A2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>Biele až sivobiele vločky.</w:t>
      </w:r>
    </w:p>
    <w:p w14:paraId="01200A7F" w14:textId="77777777" w:rsidR="008D392C" w:rsidRPr="00F729BF" w:rsidRDefault="008D392C" w:rsidP="008D392C">
      <w:pPr>
        <w:ind w:left="567" w:hanging="567"/>
        <w:rPr>
          <w:b/>
          <w:szCs w:val="22"/>
        </w:rPr>
      </w:pPr>
    </w:p>
    <w:p w14:paraId="453F590B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Cs w:val="22"/>
        </w:rPr>
      </w:pPr>
      <w:r w:rsidRPr="00F729BF">
        <w:rPr>
          <w:b/>
          <w:szCs w:val="22"/>
        </w:rPr>
        <w:t>4.</w:t>
      </w:r>
      <w:r w:rsidRPr="00F729BF">
        <w:rPr>
          <w:b/>
          <w:szCs w:val="22"/>
        </w:rPr>
        <w:tab/>
        <w:t>Lieková forma</w:t>
      </w:r>
    </w:p>
    <w:p w14:paraId="2A47C999" w14:textId="77777777" w:rsidR="008D392C" w:rsidRPr="00F729BF" w:rsidRDefault="008D392C" w:rsidP="008D392C">
      <w:pPr>
        <w:ind w:left="567" w:hanging="567"/>
        <w:rPr>
          <w:szCs w:val="22"/>
        </w:rPr>
      </w:pPr>
    </w:p>
    <w:p w14:paraId="1F0DC647" w14:textId="77777777" w:rsidR="008D392C" w:rsidRPr="00F729BF" w:rsidRDefault="008D392C" w:rsidP="008D392C">
      <w:pPr>
        <w:ind w:left="567" w:hanging="567"/>
        <w:rPr>
          <w:szCs w:val="22"/>
          <w:highlight w:val="lightGray"/>
          <w:shd w:val="clear" w:color="000000" w:fill="auto"/>
        </w:rPr>
      </w:pPr>
      <w:r w:rsidRPr="00F729BF">
        <w:rPr>
          <w:szCs w:val="22"/>
          <w:highlight w:val="lightGray"/>
        </w:rPr>
        <w:t>Prášok na použitie v pitnej vode</w:t>
      </w:r>
    </w:p>
    <w:p w14:paraId="6E7C6782" w14:textId="77777777" w:rsidR="008D392C" w:rsidRPr="00F729BF" w:rsidRDefault="008D392C" w:rsidP="008D392C">
      <w:pPr>
        <w:ind w:left="567" w:hanging="567"/>
        <w:rPr>
          <w:b/>
          <w:szCs w:val="22"/>
        </w:rPr>
      </w:pPr>
    </w:p>
    <w:p w14:paraId="359BDEA3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</w:rPr>
      </w:pPr>
      <w:r w:rsidRPr="00F729BF">
        <w:rPr>
          <w:b/>
          <w:szCs w:val="22"/>
        </w:rPr>
        <w:t>5.</w:t>
      </w:r>
      <w:r w:rsidRPr="00F729BF">
        <w:rPr>
          <w:b/>
          <w:szCs w:val="22"/>
        </w:rPr>
        <w:tab/>
        <w:t>Veľkosť balenia</w:t>
      </w:r>
    </w:p>
    <w:p w14:paraId="37B8E929" w14:textId="77777777" w:rsidR="008D392C" w:rsidRPr="00F729BF" w:rsidRDefault="008D392C" w:rsidP="008D392C">
      <w:pPr>
        <w:rPr>
          <w:szCs w:val="22"/>
          <w:highlight w:val="lightGray"/>
        </w:rPr>
      </w:pPr>
    </w:p>
    <w:p w14:paraId="4BD58A7B" w14:textId="77777777" w:rsidR="008D392C" w:rsidRPr="00F729BF" w:rsidRDefault="008D392C" w:rsidP="008D392C">
      <w:pPr>
        <w:rPr>
          <w:szCs w:val="22"/>
          <w:highlight w:val="lightGray"/>
        </w:rPr>
      </w:pPr>
      <w:r w:rsidRPr="00F729BF">
        <w:rPr>
          <w:szCs w:val="22"/>
          <w:highlight w:val="lightGray"/>
        </w:rPr>
        <w:t xml:space="preserve">100 g, 250 g, 500 g, </w:t>
      </w:r>
      <w:r w:rsidRPr="00F729BF">
        <w:rPr>
          <w:szCs w:val="22"/>
        </w:rPr>
        <w:t>1 kg</w:t>
      </w:r>
      <w:r w:rsidRPr="00F729BF">
        <w:rPr>
          <w:szCs w:val="22"/>
          <w:highlight w:val="lightGray"/>
        </w:rPr>
        <w:t xml:space="preserve">, 2,5 kg, 5 kg </w:t>
      </w:r>
    </w:p>
    <w:p w14:paraId="5A2E808D" w14:textId="77777777" w:rsidR="008D392C" w:rsidRPr="00F729BF" w:rsidRDefault="008D392C" w:rsidP="008D392C">
      <w:pPr>
        <w:rPr>
          <w:b/>
          <w:szCs w:val="22"/>
        </w:rPr>
      </w:pPr>
    </w:p>
    <w:p w14:paraId="45068254" w14:textId="77777777" w:rsidR="008D392C" w:rsidRPr="00F729BF" w:rsidRDefault="008D392C" w:rsidP="008D392C">
      <w:pPr>
        <w:rPr>
          <w:b/>
          <w:szCs w:val="22"/>
        </w:rPr>
      </w:pPr>
      <w:r w:rsidRPr="00F729BF">
        <w:rPr>
          <w:b/>
          <w:szCs w:val="22"/>
        </w:rPr>
        <w:t>6.</w:t>
      </w:r>
      <w:r w:rsidRPr="00F729BF">
        <w:rPr>
          <w:b/>
          <w:szCs w:val="22"/>
        </w:rPr>
        <w:tab/>
        <w:t>Indikácia (Indikácie)</w:t>
      </w:r>
    </w:p>
    <w:p w14:paraId="25C2B9F1" w14:textId="77777777" w:rsidR="008D392C" w:rsidRPr="00F729BF" w:rsidRDefault="008D392C" w:rsidP="008D392C">
      <w:pPr>
        <w:rPr>
          <w:b/>
          <w:szCs w:val="22"/>
        </w:rPr>
      </w:pPr>
    </w:p>
    <w:p w14:paraId="3A641BD5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 xml:space="preserve">Symptomatická liečba zápalových respiračných ochorení, v prípade potreby v kombinácii s vhodnou </w:t>
      </w:r>
      <w:proofErr w:type="spellStart"/>
      <w:r w:rsidRPr="00F729BF">
        <w:rPr>
          <w:szCs w:val="22"/>
        </w:rPr>
        <w:t>protiinfekčnou</w:t>
      </w:r>
      <w:proofErr w:type="spellEnd"/>
      <w:r w:rsidRPr="00F729BF">
        <w:rPr>
          <w:szCs w:val="22"/>
        </w:rPr>
        <w:t xml:space="preserve"> liečbou.</w:t>
      </w:r>
    </w:p>
    <w:p w14:paraId="2D8C8695" w14:textId="77777777" w:rsidR="008D392C" w:rsidRPr="00F729BF" w:rsidRDefault="008D392C" w:rsidP="008D392C">
      <w:pPr>
        <w:rPr>
          <w:szCs w:val="22"/>
        </w:rPr>
      </w:pPr>
    </w:p>
    <w:p w14:paraId="0313D18F" w14:textId="77777777" w:rsidR="008D392C" w:rsidRPr="00F729BF" w:rsidRDefault="008D392C" w:rsidP="008D392C">
      <w:pPr>
        <w:rPr>
          <w:b/>
          <w:szCs w:val="22"/>
        </w:rPr>
      </w:pPr>
      <w:r w:rsidRPr="00F729BF">
        <w:rPr>
          <w:b/>
          <w:szCs w:val="22"/>
        </w:rPr>
        <w:t>7.</w:t>
      </w:r>
      <w:r w:rsidRPr="00F729BF">
        <w:rPr>
          <w:b/>
          <w:szCs w:val="22"/>
        </w:rPr>
        <w:tab/>
        <w:t>Kontraindikácie</w:t>
      </w:r>
    </w:p>
    <w:p w14:paraId="2A5AFCBE" w14:textId="77777777" w:rsidR="008D392C" w:rsidRPr="00F729BF" w:rsidRDefault="008D392C" w:rsidP="008D392C">
      <w:pPr>
        <w:ind w:left="567" w:hanging="567"/>
        <w:rPr>
          <w:b/>
          <w:szCs w:val="22"/>
        </w:rPr>
      </w:pPr>
    </w:p>
    <w:p w14:paraId="7F9EDBCA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>Nepoužívať v prípadoch známej precitlivenosti na účinnú látku.</w:t>
      </w:r>
    </w:p>
    <w:p w14:paraId="0C62D244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>Nepoužívať v prípade ťažkých porúch pečene a obličiek.</w:t>
      </w:r>
    </w:p>
    <w:p w14:paraId="4629342C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 xml:space="preserve">Nepoužívať v prípade </w:t>
      </w:r>
      <w:proofErr w:type="spellStart"/>
      <w:r w:rsidRPr="00F729BF">
        <w:rPr>
          <w:szCs w:val="22"/>
        </w:rPr>
        <w:t>gastrointestinálnych</w:t>
      </w:r>
      <w:proofErr w:type="spellEnd"/>
      <w:r w:rsidRPr="00F729BF">
        <w:rPr>
          <w:szCs w:val="22"/>
        </w:rPr>
        <w:t xml:space="preserve"> </w:t>
      </w:r>
      <w:proofErr w:type="spellStart"/>
      <w:r w:rsidRPr="00F729BF">
        <w:rPr>
          <w:szCs w:val="22"/>
        </w:rPr>
        <w:t>ulceró</w:t>
      </w:r>
      <w:r>
        <w:rPr>
          <w:szCs w:val="22"/>
        </w:rPr>
        <w:t>z</w:t>
      </w:r>
      <w:r w:rsidRPr="00F729BF">
        <w:rPr>
          <w:szCs w:val="22"/>
        </w:rPr>
        <w:t>nych</w:t>
      </w:r>
      <w:proofErr w:type="spellEnd"/>
      <w:r w:rsidRPr="00F729BF">
        <w:rPr>
          <w:szCs w:val="22"/>
        </w:rPr>
        <w:t xml:space="preserve"> a chronických </w:t>
      </w:r>
      <w:proofErr w:type="spellStart"/>
      <w:r w:rsidRPr="00F729BF">
        <w:rPr>
          <w:szCs w:val="22"/>
        </w:rPr>
        <w:t>gastrointestinálnych</w:t>
      </w:r>
      <w:proofErr w:type="spellEnd"/>
      <w:r w:rsidRPr="00F729BF">
        <w:rPr>
          <w:szCs w:val="22"/>
        </w:rPr>
        <w:t xml:space="preserve"> ochorení.</w:t>
      </w:r>
    </w:p>
    <w:p w14:paraId="35C3620A" w14:textId="77777777" w:rsidR="008D392C" w:rsidRPr="00F729BF" w:rsidRDefault="008D392C" w:rsidP="008D392C">
      <w:pPr>
        <w:ind w:left="567" w:hanging="567"/>
        <w:rPr>
          <w:b/>
          <w:szCs w:val="22"/>
        </w:rPr>
      </w:pPr>
    </w:p>
    <w:p w14:paraId="2394DC3F" w14:textId="77777777" w:rsidR="008D392C" w:rsidRPr="00F729BF" w:rsidRDefault="008D392C" w:rsidP="008D392C">
      <w:pPr>
        <w:ind w:left="567" w:hanging="567"/>
        <w:rPr>
          <w:b/>
          <w:szCs w:val="22"/>
        </w:rPr>
      </w:pPr>
      <w:r w:rsidRPr="00F729BF">
        <w:rPr>
          <w:b/>
          <w:szCs w:val="22"/>
        </w:rPr>
        <w:t>8.</w:t>
      </w:r>
      <w:r w:rsidRPr="00F729BF">
        <w:rPr>
          <w:b/>
          <w:szCs w:val="22"/>
        </w:rPr>
        <w:tab/>
        <w:t xml:space="preserve">Nežiaduce účinky </w:t>
      </w:r>
    </w:p>
    <w:p w14:paraId="20D222B9" w14:textId="77777777" w:rsidR="008D392C" w:rsidRPr="00F729BF" w:rsidRDefault="008D392C" w:rsidP="008D392C">
      <w:pPr>
        <w:ind w:left="567" w:hanging="567"/>
        <w:rPr>
          <w:szCs w:val="22"/>
        </w:rPr>
      </w:pPr>
    </w:p>
    <w:p w14:paraId="388AD1C6" w14:textId="77777777" w:rsidR="008D392C" w:rsidRPr="00F729BF" w:rsidRDefault="008D392C" w:rsidP="008D392C">
      <w:pPr>
        <w:pStyle w:val="Gemiddeldraster21"/>
        <w:rPr>
          <w:sz w:val="22"/>
          <w:szCs w:val="22"/>
        </w:rPr>
      </w:pPr>
      <w:proofErr w:type="spellStart"/>
      <w:r w:rsidRPr="00F729BF">
        <w:rPr>
          <w:sz w:val="22"/>
          <w:szCs w:val="22"/>
        </w:rPr>
        <w:t>Gastrointestinálne</w:t>
      </w:r>
      <w:proofErr w:type="spellEnd"/>
      <w:r w:rsidRPr="00F729BF">
        <w:rPr>
          <w:sz w:val="22"/>
          <w:szCs w:val="22"/>
        </w:rPr>
        <w:t xml:space="preserve"> podráždenie sa môže vyskytnúť najmä u zvierat s už existujúcim </w:t>
      </w:r>
      <w:proofErr w:type="spellStart"/>
      <w:r w:rsidRPr="00F729BF">
        <w:rPr>
          <w:sz w:val="22"/>
          <w:szCs w:val="22"/>
        </w:rPr>
        <w:t>gastrointestinálnym</w:t>
      </w:r>
      <w:proofErr w:type="spellEnd"/>
      <w:r w:rsidRPr="00F729BF">
        <w:rPr>
          <w:sz w:val="22"/>
          <w:szCs w:val="22"/>
        </w:rPr>
        <w:t xml:space="preserve"> ochorením. Takéto podráždenia sa môžu klinicky prejaviť ako produkcia tmavej stolice z dôvodu krvácania v </w:t>
      </w:r>
      <w:proofErr w:type="spellStart"/>
      <w:r w:rsidRPr="00F729BF">
        <w:rPr>
          <w:sz w:val="22"/>
          <w:szCs w:val="22"/>
        </w:rPr>
        <w:t>gastrointestinálnom</w:t>
      </w:r>
      <w:proofErr w:type="spellEnd"/>
      <w:r w:rsidRPr="00F729BF">
        <w:rPr>
          <w:sz w:val="22"/>
          <w:szCs w:val="22"/>
        </w:rPr>
        <w:t xml:space="preserve"> trakte.</w:t>
      </w:r>
    </w:p>
    <w:p w14:paraId="409E661B" w14:textId="77777777" w:rsidR="008D392C" w:rsidRPr="00F729BF" w:rsidRDefault="008D392C" w:rsidP="008D392C">
      <w:pPr>
        <w:pStyle w:val="Gemiddeldraster21"/>
        <w:rPr>
          <w:sz w:val="22"/>
          <w:szCs w:val="22"/>
        </w:rPr>
      </w:pPr>
      <w:r w:rsidRPr="00F729BF">
        <w:rPr>
          <w:sz w:val="22"/>
          <w:szCs w:val="22"/>
        </w:rPr>
        <w:t>Podávanie veterinárneho lieku môže viesť k zvýšeniu príjmu vody.</w:t>
      </w:r>
    </w:p>
    <w:p w14:paraId="17BFF719" w14:textId="77777777" w:rsidR="008D392C" w:rsidRPr="00F729BF" w:rsidRDefault="008D392C" w:rsidP="008D392C">
      <w:pPr>
        <w:pStyle w:val="Gemiddeldraster21"/>
        <w:rPr>
          <w:sz w:val="22"/>
          <w:szCs w:val="22"/>
        </w:rPr>
      </w:pPr>
      <w:r w:rsidRPr="00F729BF">
        <w:rPr>
          <w:sz w:val="22"/>
          <w:szCs w:val="22"/>
        </w:rPr>
        <w:lastRenderedPageBreak/>
        <w:t>Ak zistíte akékoľvek nežiaduce účinky, aj tie, ktoré už nie sú uvedené na tejto etikete, alebo si myslíte, že liek je neúčinný, informujte vášho veterinárneho lekára.</w:t>
      </w:r>
    </w:p>
    <w:p w14:paraId="3A773307" w14:textId="77777777" w:rsidR="008D392C" w:rsidRPr="00F729BF" w:rsidRDefault="008D392C" w:rsidP="008D392C">
      <w:pPr>
        <w:rPr>
          <w:szCs w:val="22"/>
        </w:rPr>
      </w:pPr>
    </w:p>
    <w:p w14:paraId="09ED6F2F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</w:rPr>
      </w:pPr>
      <w:r w:rsidRPr="00F729BF">
        <w:rPr>
          <w:b/>
          <w:szCs w:val="22"/>
        </w:rPr>
        <w:t>9.</w:t>
      </w:r>
      <w:r w:rsidRPr="00F729BF">
        <w:rPr>
          <w:b/>
          <w:szCs w:val="22"/>
        </w:rPr>
        <w:tab/>
        <w:t xml:space="preserve">Cieľové druhy </w:t>
      </w:r>
    </w:p>
    <w:p w14:paraId="74CF172B" w14:textId="77777777" w:rsidR="008D392C" w:rsidRPr="00F729BF" w:rsidRDefault="008D392C" w:rsidP="008D392C">
      <w:pPr>
        <w:rPr>
          <w:szCs w:val="22"/>
          <w:highlight w:val="lightGray"/>
        </w:rPr>
      </w:pPr>
    </w:p>
    <w:p w14:paraId="47B8B632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  <w:highlight w:val="lightGray"/>
        </w:rPr>
        <w:t>Morky.</w:t>
      </w:r>
    </w:p>
    <w:p w14:paraId="14327375" w14:textId="77777777" w:rsidR="008D392C" w:rsidRPr="00F729BF" w:rsidRDefault="008D392C" w:rsidP="008D392C">
      <w:pPr>
        <w:rPr>
          <w:szCs w:val="22"/>
        </w:rPr>
      </w:pPr>
    </w:p>
    <w:p w14:paraId="6E841A6E" w14:textId="77777777" w:rsidR="008D392C" w:rsidRPr="00F729BF" w:rsidRDefault="008D392C" w:rsidP="008D392C">
      <w:pPr>
        <w:ind w:left="567" w:hanging="567"/>
        <w:rPr>
          <w:szCs w:val="22"/>
        </w:rPr>
      </w:pPr>
      <w:r w:rsidRPr="00F729BF">
        <w:rPr>
          <w:b/>
          <w:szCs w:val="22"/>
        </w:rPr>
        <w:t>10.</w:t>
      </w:r>
      <w:r w:rsidRPr="00F729BF">
        <w:rPr>
          <w:b/>
          <w:szCs w:val="22"/>
        </w:rPr>
        <w:tab/>
        <w:t xml:space="preserve">Dávkovanie </w:t>
      </w:r>
      <w:r w:rsidRPr="00F729BF">
        <w:rPr>
          <w:b/>
          <w:szCs w:val="22"/>
          <w:highlight w:val="lightGray"/>
        </w:rPr>
        <w:t>pre každý druh</w:t>
      </w:r>
      <w:r w:rsidRPr="00F729BF">
        <w:rPr>
          <w:b/>
          <w:szCs w:val="22"/>
        </w:rPr>
        <w:t>, cesta(-y) a spôsob podania lieku</w:t>
      </w:r>
    </w:p>
    <w:p w14:paraId="5CF6E060" w14:textId="77777777" w:rsidR="008D392C" w:rsidRPr="00F729BF" w:rsidRDefault="008D392C" w:rsidP="008D392C">
      <w:pPr>
        <w:rPr>
          <w:szCs w:val="22"/>
        </w:rPr>
      </w:pPr>
    </w:p>
    <w:p w14:paraId="060AAACE" w14:textId="77777777" w:rsidR="008D392C" w:rsidRPr="00F729BF" w:rsidRDefault="008D392C" w:rsidP="008D392C">
      <w:pPr>
        <w:rPr>
          <w:szCs w:val="22"/>
        </w:rPr>
      </w:pPr>
      <w:r w:rsidRPr="00707C18">
        <w:rPr>
          <w:szCs w:val="22"/>
        </w:rPr>
        <w:t>Použitie v pitnej vode</w:t>
      </w:r>
      <w:r w:rsidRPr="00F729BF">
        <w:rPr>
          <w:szCs w:val="22"/>
        </w:rPr>
        <w:t>.</w:t>
      </w:r>
    </w:p>
    <w:p w14:paraId="624751D6" w14:textId="77777777" w:rsidR="008D392C" w:rsidRPr="00F729BF" w:rsidRDefault="008D392C" w:rsidP="008D392C">
      <w:pPr>
        <w:rPr>
          <w:szCs w:val="22"/>
        </w:rPr>
      </w:pPr>
      <w:r w:rsidRPr="00707C18">
        <w:rPr>
          <w:szCs w:val="22"/>
        </w:rPr>
        <w:t xml:space="preserve">86,2 </w:t>
      </w:r>
      <w:r>
        <w:rPr>
          <w:szCs w:val="22"/>
        </w:rPr>
        <w:t xml:space="preserve">mg </w:t>
      </w:r>
      <w:r w:rsidRPr="00707C18">
        <w:rPr>
          <w:szCs w:val="22"/>
        </w:rPr>
        <w:t xml:space="preserve">kyseliny salicylovej/kg živej hmotnosti denne (zodpovedá </w:t>
      </w:r>
      <w:r w:rsidRPr="00F729BF">
        <w:rPr>
          <w:szCs w:val="22"/>
        </w:rPr>
        <w:t>100 mg produktu/kg živej hmotnosti denne</w:t>
      </w:r>
      <w:r>
        <w:rPr>
          <w:szCs w:val="22"/>
        </w:rPr>
        <w:t>)</w:t>
      </w:r>
      <w:r w:rsidRPr="00F729BF">
        <w:rPr>
          <w:szCs w:val="22"/>
        </w:rPr>
        <w:t xml:space="preserve"> 3 po sebe nasledujúce dni.</w:t>
      </w:r>
    </w:p>
    <w:p w14:paraId="651B7700" w14:textId="77777777" w:rsidR="008D392C" w:rsidRPr="00F729BF" w:rsidRDefault="008D392C" w:rsidP="008D392C">
      <w:pPr>
        <w:rPr>
          <w:szCs w:val="22"/>
        </w:rPr>
      </w:pPr>
    </w:p>
    <w:p w14:paraId="69B1294B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 xml:space="preserve">Na výpočet koncentrácie veterinárneho lieku v pitnej vode sa môže použiť nasledujúci vzorec: </w:t>
      </w:r>
    </w:p>
    <w:p w14:paraId="4C8A0A79" w14:textId="77777777" w:rsidR="008D392C" w:rsidRPr="00F729BF" w:rsidRDefault="008D392C" w:rsidP="008D392C">
      <w:pPr>
        <w:rPr>
          <w:szCs w:val="22"/>
        </w:rPr>
      </w:pPr>
    </w:p>
    <w:tbl>
      <w:tblPr>
        <w:tblW w:w="822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"/>
        <w:gridCol w:w="2835"/>
        <w:gridCol w:w="2411"/>
      </w:tblGrid>
      <w:tr w:rsidR="008D392C" w:rsidRPr="00F729BF" w14:paraId="12CE5673" w14:textId="77777777" w:rsidTr="00733648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C090D5" w14:textId="77777777" w:rsidR="008D392C" w:rsidRPr="00F729BF" w:rsidRDefault="008D392C" w:rsidP="00733648">
            <w:pPr>
              <w:rPr>
                <w:szCs w:val="22"/>
              </w:rPr>
            </w:pPr>
            <w:r w:rsidRPr="00F729BF">
              <w:rPr>
                <w:szCs w:val="22"/>
              </w:rPr>
              <w:t xml:space="preserve">100 mg produktu/kg </w:t>
            </w:r>
          </w:p>
          <w:p w14:paraId="04812329" w14:textId="77777777" w:rsidR="008D392C" w:rsidRPr="00F729BF" w:rsidRDefault="008D392C" w:rsidP="00733648">
            <w:pPr>
              <w:rPr>
                <w:szCs w:val="22"/>
              </w:rPr>
            </w:pPr>
            <w:r w:rsidRPr="00F729BF">
              <w:rPr>
                <w:szCs w:val="22"/>
              </w:rPr>
              <w:t>živej hmotnosti/deň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E7EF5" w14:textId="77777777" w:rsidR="008D392C" w:rsidRPr="00F729BF" w:rsidRDefault="008D392C" w:rsidP="00733648">
            <w:pPr>
              <w:rPr>
                <w:szCs w:val="22"/>
              </w:rPr>
            </w:pPr>
            <w:r w:rsidRPr="00F729BF">
              <w:rPr>
                <w:szCs w:val="22"/>
              </w:rPr>
              <w:br/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C97D82" w14:textId="77777777" w:rsidR="008D392C" w:rsidRPr="00F729BF" w:rsidRDefault="008D392C" w:rsidP="00733648">
            <w:pPr>
              <w:rPr>
                <w:szCs w:val="22"/>
              </w:rPr>
            </w:pPr>
            <w:r w:rsidRPr="00F729BF">
              <w:rPr>
                <w:szCs w:val="22"/>
              </w:rPr>
              <w:t>priemerná živá hmotnosť (kg) zvierat, ktorým je potrebné liek podávať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E0AB69" w14:textId="77777777" w:rsidR="008D392C" w:rsidRPr="00F729BF" w:rsidRDefault="008D392C" w:rsidP="00733648">
            <w:pPr>
              <w:rPr>
                <w:szCs w:val="22"/>
              </w:rPr>
            </w:pPr>
            <w:r w:rsidRPr="00F729BF">
              <w:rPr>
                <w:szCs w:val="22"/>
              </w:rPr>
              <w:br/>
              <w:t>= .... mg produktu na liter pitnej vody</w:t>
            </w:r>
          </w:p>
          <w:p w14:paraId="111CA40E" w14:textId="77777777" w:rsidR="008D392C" w:rsidRPr="00F729BF" w:rsidRDefault="008D392C" w:rsidP="00733648">
            <w:pPr>
              <w:rPr>
                <w:szCs w:val="22"/>
              </w:rPr>
            </w:pPr>
          </w:p>
        </w:tc>
      </w:tr>
      <w:tr w:rsidR="008D392C" w:rsidRPr="00F729BF" w14:paraId="0917530B" w14:textId="77777777" w:rsidTr="00733648">
        <w:trPr>
          <w:cantSplit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73772" w14:textId="77777777" w:rsidR="008D392C" w:rsidRPr="00F729BF" w:rsidRDefault="008D392C" w:rsidP="00733648">
            <w:pPr>
              <w:rPr>
                <w:szCs w:val="22"/>
              </w:rPr>
            </w:pPr>
            <w:r w:rsidRPr="00F729BF">
              <w:rPr>
                <w:szCs w:val="22"/>
              </w:rPr>
              <w:t>Priemerná denná spotreba vody (l) na zviera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6D6B3" w14:textId="77777777" w:rsidR="008D392C" w:rsidRPr="00F729BF" w:rsidRDefault="008D392C" w:rsidP="00733648">
            <w:pPr>
              <w:rPr>
                <w:szCs w:val="22"/>
              </w:rPr>
            </w:pPr>
          </w:p>
        </w:tc>
      </w:tr>
    </w:tbl>
    <w:p w14:paraId="5ED98172" w14:textId="77777777" w:rsidR="008D392C" w:rsidRDefault="008D392C" w:rsidP="008D392C">
      <w:pPr>
        <w:rPr>
          <w:szCs w:val="22"/>
        </w:rPr>
      </w:pPr>
    </w:p>
    <w:p w14:paraId="5947D1F2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>Maximálna rozpustnosť produktu v pitnej vode je približne 100 g/liter.</w:t>
      </w:r>
    </w:p>
    <w:p w14:paraId="334E2175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 xml:space="preserve">Na váženie vypočítaného množstva </w:t>
      </w:r>
      <w:proofErr w:type="spellStart"/>
      <w:r w:rsidRPr="00F729BF">
        <w:rPr>
          <w:szCs w:val="22"/>
        </w:rPr>
        <w:t>salicylátu</w:t>
      </w:r>
      <w:proofErr w:type="spellEnd"/>
      <w:r w:rsidRPr="00F729BF">
        <w:rPr>
          <w:szCs w:val="22"/>
        </w:rPr>
        <w:t xml:space="preserve"> sodného sa odporúča použitie vhodne kalibrovaného vážiaceho zariadenia.</w:t>
      </w:r>
    </w:p>
    <w:p w14:paraId="57665899" w14:textId="77777777" w:rsidR="008D392C" w:rsidRPr="00F729BF" w:rsidRDefault="008D392C" w:rsidP="008D392C">
      <w:pPr>
        <w:rPr>
          <w:szCs w:val="22"/>
        </w:rPr>
      </w:pPr>
      <w:proofErr w:type="spellStart"/>
      <w:r w:rsidRPr="00F729BF">
        <w:rPr>
          <w:szCs w:val="22"/>
        </w:rPr>
        <w:t>Medikovaná</w:t>
      </w:r>
      <w:proofErr w:type="spellEnd"/>
      <w:r w:rsidRPr="00F729BF">
        <w:rPr>
          <w:szCs w:val="22"/>
        </w:rPr>
        <w:t xml:space="preserve"> pitná voda musí byť čerstvo pripravovaná každých 24 hodín.</w:t>
      </w:r>
    </w:p>
    <w:p w14:paraId="0C61D049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 xml:space="preserve">Každá </w:t>
      </w:r>
      <w:proofErr w:type="spellStart"/>
      <w:r w:rsidRPr="00F729BF">
        <w:rPr>
          <w:szCs w:val="22"/>
        </w:rPr>
        <w:t>medikovaná</w:t>
      </w:r>
      <w:proofErr w:type="spellEnd"/>
      <w:r w:rsidRPr="00F729BF">
        <w:rPr>
          <w:szCs w:val="22"/>
        </w:rPr>
        <w:t xml:space="preserve"> voda, ktorá sa nespotrebuje v priebehu 24 hodín, sa musí zlikvidovať a doplniť čerstvou </w:t>
      </w:r>
      <w:proofErr w:type="spellStart"/>
      <w:r w:rsidRPr="00F729BF">
        <w:rPr>
          <w:szCs w:val="22"/>
        </w:rPr>
        <w:t>medikovanou</w:t>
      </w:r>
      <w:proofErr w:type="spellEnd"/>
      <w:r w:rsidRPr="00F729BF">
        <w:rPr>
          <w:szCs w:val="22"/>
        </w:rPr>
        <w:t xml:space="preserve"> pitnou vodou.</w:t>
      </w:r>
    </w:p>
    <w:p w14:paraId="1F8026CF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 xml:space="preserve">Aby sa zabezpečila konzumácia </w:t>
      </w:r>
      <w:proofErr w:type="spellStart"/>
      <w:r w:rsidRPr="00F729BF">
        <w:rPr>
          <w:szCs w:val="22"/>
        </w:rPr>
        <w:t>medikovanej</w:t>
      </w:r>
      <w:proofErr w:type="spellEnd"/>
      <w:r w:rsidRPr="00F729BF">
        <w:rPr>
          <w:szCs w:val="22"/>
        </w:rPr>
        <w:t xml:space="preserve"> vody, zvieratá by nemali mať počas liečby prístup k iným zdrojom vody.</w:t>
      </w:r>
    </w:p>
    <w:p w14:paraId="125DA613" w14:textId="77777777" w:rsidR="008D392C" w:rsidRPr="00F729BF" w:rsidRDefault="008D392C" w:rsidP="008D392C">
      <w:pPr>
        <w:rPr>
          <w:szCs w:val="22"/>
        </w:rPr>
      </w:pPr>
    </w:p>
    <w:p w14:paraId="2DB8D655" w14:textId="77777777" w:rsidR="008D392C" w:rsidRPr="00F729BF" w:rsidRDefault="008D392C" w:rsidP="008D392C">
      <w:pPr>
        <w:ind w:left="567" w:hanging="567"/>
        <w:rPr>
          <w:b/>
          <w:szCs w:val="22"/>
        </w:rPr>
      </w:pPr>
      <w:r w:rsidRPr="00F729BF">
        <w:rPr>
          <w:b/>
          <w:szCs w:val="22"/>
        </w:rPr>
        <w:t>11.</w:t>
      </w:r>
      <w:r w:rsidRPr="00F729BF">
        <w:rPr>
          <w:b/>
          <w:szCs w:val="22"/>
        </w:rPr>
        <w:tab/>
        <w:t>Pokyn o správnom podaní</w:t>
      </w:r>
    </w:p>
    <w:p w14:paraId="270353E5" w14:textId="77777777" w:rsidR="008D392C" w:rsidRPr="00F729BF" w:rsidRDefault="008D392C" w:rsidP="008D392C">
      <w:pPr>
        <w:ind w:left="567" w:hanging="567"/>
        <w:rPr>
          <w:b/>
          <w:szCs w:val="22"/>
        </w:rPr>
      </w:pPr>
    </w:p>
    <w:p w14:paraId="45B649F0" w14:textId="77777777" w:rsidR="008D392C" w:rsidRPr="00F729BF" w:rsidRDefault="008D392C" w:rsidP="008D392C">
      <w:pPr>
        <w:ind w:left="567" w:hanging="567"/>
        <w:rPr>
          <w:b/>
          <w:szCs w:val="22"/>
        </w:rPr>
      </w:pPr>
    </w:p>
    <w:p w14:paraId="7D3F5C8B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F729BF">
        <w:rPr>
          <w:b/>
          <w:szCs w:val="22"/>
        </w:rPr>
        <w:t>12.</w:t>
      </w:r>
      <w:r w:rsidRPr="00F729BF">
        <w:rPr>
          <w:b/>
          <w:szCs w:val="22"/>
        </w:rPr>
        <w:tab/>
        <w:t>Ochranná lehota (-y)</w:t>
      </w:r>
    </w:p>
    <w:p w14:paraId="02CE30F8" w14:textId="77777777" w:rsidR="008D392C" w:rsidRPr="00F729BF" w:rsidRDefault="008D392C" w:rsidP="008D392C">
      <w:pPr>
        <w:rPr>
          <w:b/>
          <w:szCs w:val="22"/>
        </w:rPr>
      </w:pPr>
    </w:p>
    <w:p w14:paraId="3B393FEF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>Mäso a vnútornosti: 2 dni.</w:t>
      </w:r>
    </w:p>
    <w:p w14:paraId="1E568341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>Nepoužívať u vtákov produkujúcich alebo určených na produkciu vajec na ľudskú spotrebu.</w:t>
      </w:r>
    </w:p>
    <w:p w14:paraId="77F60D68" w14:textId="77777777" w:rsidR="008D392C" w:rsidRPr="00F729BF" w:rsidRDefault="008D392C" w:rsidP="008D392C">
      <w:pPr>
        <w:ind w:left="567" w:hanging="567"/>
        <w:rPr>
          <w:b/>
          <w:szCs w:val="22"/>
        </w:rPr>
      </w:pPr>
    </w:p>
    <w:p w14:paraId="356D42D9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Cs w:val="22"/>
        </w:rPr>
      </w:pPr>
      <w:r w:rsidRPr="00F729BF">
        <w:rPr>
          <w:b/>
          <w:szCs w:val="22"/>
        </w:rPr>
        <w:t>13.</w:t>
      </w:r>
      <w:r w:rsidRPr="00F729BF">
        <w:rPr>
          <w:b/>
          <w:szCs w:val="22"/>
        </w:rPr>
        <w:tab/>
        <w:t>Osobitné bezpečnostné opatrenia na uchovávanie</w:t>
      </w:r>
    </w:p>
    <w:p w14:paraId="3BAA403F" w14:textId="77777777" w:rsidR="008D392C" w:rsidRPr="00F729BF" w:rsidRDefault="008D392C" w:rsidP="008D392C">
      <w:pPr>
        <w:ind w:left="567" w:hanging="567"/>
        <w:rPr>
          <w:szCs w:val="22"/>
        </w:rPr>
      </w:pPr>
    </w:p>
    <w:p w14:paraId="0D6F7A52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 xml:space="preserve">Tento veterinárny liek nevyžaduje žiadne zvláštne podmienky na uchovávanie. </w:t>
      </w:r>
    </w:p>
    <w:p w14:paraId="08B44F91" w14:textId="77777777" w:rsidR="008D392C" w:rsidRPr="00F729BF" w:rsidRDefault="008D392C" w:rsidP="008D392C">
      <w:pPr>
        <w:pStyle w:val="Zkladntext"/>
        <w:rPr>
          <w:szCs w:val="22"/>
        </w:rPr>
      </w:pPr>
      <w:r w:rsidRPr="00F729BF">
        <w:rPr>
          <w:szCs w:val="22"/>
        </w:rPr>
        <w:t>Po prvom otvorení musí byť obal dobre uzavretý, aby bol obsah chránený pre svetlom.</w:t>
      </w:r>
    </w:p>
    <w:p w14:paraId="085D34DD" w14:textId="77777777" w:rsidR="008D392C" w:rsidRDefault="008D392C" w:rsidP="008D392C">
      <w:pPr>
        <w:pStyle w:val="Zkladntext"/>
        <w:rPr>
          <w:szCs w:val="22"/>
        </w:rPr>
      </w:pPr>
    </w:p>
    <w:p w14:paraId="7AC1A4D3" w14:textId="77777777" w:rsidR="008D392C" w:rsidRPr="00F729BF" w:rsidRDefault="008D392C" w:rsidP="008D392C">
      <w:pPr>
        <w:pStyle w:val="Zkladntext"/>
        <w:rPr>
          <w:szCs w:val="22"/>
        </w:rPr>
      </w:pPr>
      <w:r w:rsidRPr="00F729BF">
        <w:rPr>
          <w:szCs w:val="22"/>
        </w:rPr>
        <w:t xml:space="preserve">Nepoužívať tento veterinárny liek po dátume exspirácie uvedenom na </w:t>
      </w:r>
      <w:r>
        <w:rPr>
          <w:szCs w:val="22"/>
        </w:rPr>
        <w:t>obale</w:t>
      </w:r>
      <w:r w:rsidRPr="00F729BF">
        <w:rPr>
          <w:szCs w:val="22"/>
        </w:rPr>
        <w:t xml:space="preserve"> po skratke EXP.  Dátum exspirácie sa vzťahuje na posledný deň v uvedenom mesiaci.</w:t>
      </w:r>
    </w:p>
    <w:p w14:paraId="71DD28BD" w14:textId="77777777" w:rsidR="008D392C" w:rsidRPr="00F729BF" w:rsidRDefault="008D392C" w:rsidP="008D392C">
      <w:pPr>
        <w:ind w:left="113"/>
        <w:rPr>
          <w:szCs w:val="22"/>
        </w:rPr>
      </w:pPr>
    </w:p>
    <w:p w14:paraId="4C70BEB0" w14:textId="59FD974F" w:rsidR="008D392C" w:rsidRDefault="008D392C" w:rsidP="008D392C">
      <w:pPr>
        <w:ind w:left="567" w:hanging="567"/>
        <w:rPr>
          <w:b/>
          <w:szCs w:val="22"/>
        </w:rPr>
      </w:pPr>
      <w:r w:rsidRPr="00F729BF">
        <w:rPr>
          <w:b/>
          <w:szCs w:val="22"/>
        </w:rPr>
        <w:t>14.</w:t>
      </w:r>
      <w:r w:rsidRPr="00F729BF">
        <w:rPr>
          <w:b/>
          <w:szCs w:val="22"/>
        </w:rPr>
        <w:tab/>
        <w:t>Osobitné upozornenie (upozornenia)</w:t>
      </w:r>
    </w:p>
    <w:p w14:paraId="70A29068" w14:textId="77777777" w:rsidR="003B0867" w:rsidRPr="00F729BF" w:rsidRDefault="003B0867" w:rsidP="008D392C">
      <w:pPr>
        <w:ind w:left="567" w:hanging="567"/>
        <w:rPr>
          <w:b/>
          <w:szCs w:val="22"/>
        </w:rPr>
      </w:pPr>
    </w:p>
    <w:p w14:paraId="507FE660" w14:textId="2F0E6D63" w:rsidR="008D392C" w:rsidRPr="00F729BF" w:rsidRDefault="008D392C" w:rsidP="003B0867">
      <w:pPr>
        <w:rPr>
          <w:szCs w:val="22"/>
        </w:rPr>
      </w:pPr>
      <w:r w:rsidRPr="00F729BF">
        <w:rPr>
          <w:szCs w:val="22"/>
          <w:u w:val="single"/>
        </w:rPr>
        <w:t>Osobitné upozornenia pre každý cieľový druh:</w:t>
      </w:r>
    </w:p>
    <w:p w14:paraId="55B5C791" w14:textId="77777777" w:rsidR="008D392C" w:rsidRPr="00F729BF" w:rsidRDefault="008D392C" w:rsidP="003B0867">
      <w:pPr>
        <w:rPr>
          <w:bCs/>
          <w:szCs w:val="22"/>
        </w:rPr>
      </w:pPr>
      <w:r w:rsidRPr="00F729BF">
        <w:rPr>
          <w:szCs w:val="22"/>
        </w:rPr>
        <w:t xml:space="preserve">Kompatibilita lieku s inými veterinárnymi liekmi, ak sa podávajú prostredníctvom pitnej vody, sa neskúmala. V prípade </w:t>
      </w:r>
      <w:r w:rsidRPr="00436720">
        <w:rPr>
          <w:szCs w:val="22"/>
        </w:rPr>
        <w:t>súčasného</w:t>
      </w:r>
      <w:r w:rsidRPr="00F729BF">
        <w:rPr>
          <w:szCs w:val="22"/>
        </w:rPr>
        <w:t xml:space="preserve"> použitia s iným liekom sa stabilita a/alebo rozpustnosť veterinárnych liekov môže meniť. Preto sa odporúča, aby sa na poskytnutie súbežnej </w:t>
      </w:r>
      <w:proofErr w:type="spellStart"/>
      <w:r w:rsidRPr="00F729BF">
        <w:rPr>
          <w:szCs w:val="22"/>
        </w:rPr>
        <w:t>protiinfekčnej</w:t>
      </w:r>
      <w:proofErr w:type="spellEnd"/>
      <w:r w:rsidRPr="00F729BF">
        <w:rPr>
          <w:szCs w:val="22"/>
        </w:rPr>
        <w:t xml:space="preserve"> liečby použili metódy alebo cesty podávania iné ako prostredníctvom pitnej vody, ak je to potrebné.</w:t>
      </w:r>
    </w:p>
    <w:p w14:paraId="39B5E596" w14:textId="77777777" w:rsidR="008D392C" w:rsidRPr="00F729BF" w:rsidRDefault="008D392C" w:rsidP="008D392C">
      <w:pPr>
        <w:spacing w:before="80"/>
        <w:rPr>
          <w:szCs w:val="22"/>
        </w:rPr>
      </w:pPr>
    </w:p>
    <w:p w14:paraId="12357227" w14:textId="77777777" w:rsidR="008D392C" w:rsidRPr="000E0FF6" w:rsidRDefault="008D392C" w:rsidP="008D392C">
      <w:pPr>
        <w:spacing w:before="80"/>
        <w:rPr>
          <w:szCs w:val="22"/>
          <w:u w:val="single"/>
        </w:rPr>
      </w:pPr>
      <w:r w:rsidRPr="000E0FF6">
        <w:rPr>
          <w:szCs w:val="22"/>
          <w:u w:val="single"/>
        </w:rPr>
        <w:t>Osobitné bezpečnostné opatrenia na používanie u zvierat:</w:t>
      </w:r>
    </w:p>
    <w:p w14:paraId="276900A9" w14:textId="77777777" w:rsidR="008D392C" w:rsidRPr="00F729BF" w:rsidRDefault="008D392C" w:rsidP="008D392C">
      <w:pPr>
        <w:spacing w:before="80"/>
        <w:rPr>
          <w:szCs w:val="22"/>
        </w:rPr>
      </w:pPr>
      <w:r w:rsidRPr="00707C18">
        <w:rPr>
          <w:szCs w:val="22"/>
        </w:rPr>
        <w:lastRenderedPageBreak/>
        <w:t xml:space="preserve">Choré zvieratá môžu vykazovať </w:t>
      </w:r>
      <w:r w:rsidRPr="00436720">
        <w:rPr>
          <w:szCs w:val="22"/>
        </w:rPr>
        <w:t>zmenený príjem</w:t>
      </w:r>
      <w:r w:rsidRPr="00707C18">
        <w:rPr>
          <w:szCs w:val="22"/>
        </w:rPr>
        <w:t xml:space="preserve"> pitnej vody alebo krmiva. </w:t>
      </w:r>
      <w:r w:rsidRPr="00436720">
        <w:rPr>
          <w:szCs w:val="22"/>
        </w:rPr>
        <w:t>V prípade zmeneného príjmu pitnej vody sa musí koncentrácia veterinárneho lieku upraviť tak, aby sa zabezpečil príjem požadovanej dávky</w:t>
      </w:r>
      <w:r w:rsidRPr="000E0FF6">
        <w:rPr>
          <w:szCs w:val="22"/>
        </w:rPr>
        <w:t>.</w:t>
      </w:r>
    </w:p>
    <w:p w14:paraId="024B199B" w14:textId="77777777" w:rsidR="008D392C" w:rsidRPr="00F729BF" w:rsidRDefault="008D392C" w:rsidP="008D392C">
      <w:pPr>
        <w:spacing w:before="80"/>
        <w:rPr>
          <w:szCs w:val="22"/>
        </w:rPr>
      </w:pPr>
    </w:p>
    <w:p w14:paraId="16220A5B" w14:textId="77777777" w:rsidR="008D392C" w:rsidRPr="00F729BF" w:rsidRDefault="008D392C" w:rsidP="008D392C">
      <w:pPr>
        <w:spacing w:before="80"/>
        <w:rPr>
          <w:szCs w:val="22"/>
          <w:u w:val="single"/>
        </w:rPr>
      </w:pPr>
      <w:r w:rsidRPr="00F729BF">
        <w:rPr>
          <w:szCs w:val="22"/>
          <w:u w:val="single"/>
        </w:rPr>
        <w:t>Osobitné bezpečnostné opatrenia, ktoré má urobiť osoba podávajúca liek zvieratám:</w:t>
      </w:r>
    </w:p>
    <w:p w14:paraId="32F3FDA2" w14:textId="77777777" w:rsidR="008D392C" w:rsidRPr="00F729BF" w:rsidRDefault="008D392C" w:rsidP="008D392C">
      <w:pPr>
        <w:widowControl w:val="0"/>
        <w:numPr>
          <w:ilvl w:val="0"/>
          <w:numId w:val="38"/>
        </w:numPr>
        <w:tabs>
          <w:tab w:val="clear" w:pos="567"/>
        </w:tabs>
        <w:suppressAutoHyphens/>
        <w:spacing w:line="240" w:lineRule="auto"/>
        <w:jc w:val="both"/>
        <w:rPr>
          <w:szCs w:val="22"/>
        </w:rPr>
      </w:pPr>
      <w:r w:rsidRPr="00F729BF">
        <w:rPr>
          <w:szCs w:val="22"/>
        </w:rPr>
        <w:t xml:space="preserve">Ľudia so známou precitlivenosťou (alergiou) na </w:t>
      </w:r>
      <w:proofErr w:type="spellStart"/>
      <w:r w:rsidRPr="00F729BF">
        <w:rPr>
          <w:szCs w:val="22"/>
        </w:rPr>
        <w:t>salicylát</w:t>
      </w:r>
      <w:proofErr w:type="spellEnd"/>
      <w:r w:rsidRPr="00F729BF">
        <w:rPr>
          <w:szCs w:val="22"/>
        </w:rPr>
        <w:t xml:space="preserve"> sodný alebo príbuzné látky (napr. Aspirín) by sa mali vyhýbať kontaktu s liekom.</w:t>
      </w:r>
    </w:p>
    <w:p w14:paraId="5555FFA6" w14:textId="77777777" w:rsidR="008D392C" w:rsidRPr="00F729BF" w:rsidRDefault="008D392C" w:rsidP="008D392C">
      <w:pPr>
        <w:widowControl w:val="0"/>
        <w:numPr>
          <w:ilvl w:val="0"/>
          <w:numId w:val="38"/>
        </w:numPr>
        <w:tabs>
          <w:tab w:val="clear" w:pos="567"/>
        </w:tabs>
        <w:suppressAutoHyphens/>
        <w:spacing w:line="240" w:lineRule="auto"/>
        <w:jc w:val="both"/>
        <w:rPr>
          <w:szCs w:val="22"/>
        </w:rPr>
      </w:pPr>
      <w:r w:rsidRPr="00F729BF">
        <w:rPr>
          <w:szCs w:val="22"/>
        </w:rPr>
        <w:t xml:space="preserve">Pri náhodnom kontakte sa môže vyskytnúť podráždenie pokožky, očí a dýchacieho traktu. </w:t>
      </w:r>
      <w:r w:rsidRPr="00707C18">
        <w:rPr>
          <w:szCs w:val="22"/>
        </w:rPr>
        <w:t xml:space="preserve">Zabráňte priamemu kontaktu </w:t>
      </w:r>
      <w:proofErr w:type="spellStart"/>
      <w:r w:rsidRPr="00436720">
        <w:rPr>
          <w:szCs w:val="22"/>
        </w:rPr>
        <w:t>medikovanej</w:t>
      </w:r>
      <w:proofErr w:type="spellEnd"/>
      <w:r w:rsidRPr="00707C18">
        <w:rPr>
          <w:szCs w:val="22"/>
        </w:rPr>
        <w:t xml:space="preserve"> vody alebo prášku s pokožkou a očami a vdýchnutiu prášku</w:t>
      </w:r>
      <w:r w:rsidRPr="00F729BF">
        <w:rPr>
          <w:szCs w:val="22"/>
        </w:rPr>
        <w:t>. Odporúča sa používať ochranné rukavice (napr. gumené alebo latexové), bezpečnostné okuliare a vhodnú masku proti prachu (napr. jednorazové masky na ochranu dýchacích ciest podľa európskej normy EN149).</w:t>
      </w:r>
      <w:r w:rsidRPr="00707C18">
        <w:t xml:space="preserve"> </w:t>
      </w:r>
      <w:r w:rsidRPr="00707C18">
        <w:rPr>
          <w:szCs w:val="22"/>
        </w:rPr>
        <w:t>Opuch tváre, pier alebo očí alebo ťažkosti s dýchaním sú vážne príznaky a vyžadujú si okamžitú lekársku pomoc.</w:t>
      </w:r>
    </w:p>
    <w:p w14:paraId="5F3D6E4D" w14:textId="77777777" w:rsidR="008D392C" w:rsidRPr="00F729BF" w:rsidRDefault="008D392C" w:rsidP="008D392C">
      <w:pPr>
        <w:widowControl w:val="0"/>
        <w:numPr>
          <w:ilvl w:val="0"/>
          <w:numId w:val="38"/>
        </w:numPr>
        <w:tabs>
          <w:tab w:val="clear" w:pos="567"/>
        </w:tabs>
        <w:suppressAutoHyphens/>
        <w:spacing w:line="240" w:lineRule="auto"/>
        <w:jc w:val="both"/>
        <w:rPr>
          <w:szCs w:val="22"/>
        </w:rPr>
      </w:pPr>
      <w:r w:rsidRPr="00F729BF">
        <w:rPr>
          <w:szCs w:val="22"/>
        </w:rPr>
        <w:t>V prípade náhodnej expozície s kožou okamžite umyte pokožku vodou.</w:t>
      </w:r>
    </w:p>
    <w:p w14:paraId="52BD687F" w14:textId="77777777" w:rsidR="008D392C" w:rsidRDefault="008D392C" w:rsidP="008D392C">
      <w:pPr>
        <w:widowControl w:val="0"/>
        <w:numPr>
          <w:ilvl w:val="0"/>
          <w:numId w:val="38"/>
        </w:numPr>
        <w:tabs>
          <w:tab w:val="clear" w:pos="567"/>
        </w:tabs>
        <w:suppressAutoHyphens/>
        <w:spacing w:line="240" w:lineRule="auto"/>
        <w:jc w:val="both"/>
        <w:rPr>
          <w:szCs w:val="22"/>
        </w:rPr>
      </w:pPr>
      <w:r w:rsidRPr="00F729BF">
        <w:rPr>
          <w:szCs w:val="22"/>
        </w:rPr>
        <w:t xml:space="preserve">V prípade náhodného kontaktu s očami </w:t>
      </w:r>
      <w:r>
        <w:rPr>
          <w:szCs w:val="22"/>
        </w:rPr>
        <w:t>u</w:t>
      </w:r>
      <w:r w:rsidRPr="00F729BF">
        <w:rPr>
          <w:szCs w:val="22"/>
        </w:rPr>
        <w:t>myte oči veľkým množstvom vody počas 15 minút a vyhľadajte lekársku pomoc, ak podráždenie pretrváva</w:t>
      </w:r>
      <w:r w:rsidRPr="00707C18">
        <w:t xml:space="preserve"> </w:t>
      </w:r>
      <w:r w:rsidRPr="00707C18">
        <w:rPr>
          <w:szCs w:val="22"/>
        </w:rPr>
        <w:t xml:space="preserve">a ukážte </w:t>
      </w:r>
      <w:r>
        <w:rPr>
          <w:szCs w:val="22"/>
        </w:rPr>
        <w:t>obal</w:t>
      </w:r>
      <w:r w:rsidRPr="00707C18">
        <w:rPr>
          <w:szCs w:val="22"/>
        </w:rPr>
        <w:t xml:space="preserve"> lekárovi</w:t>
      </w:r>
      <w:r w:rsidRPr="00F729BF">
        <w:rPr>
          <w:szCs w:val="22"/>
        </w:rPr>
        <w:t>.</w:t>
      </w:r>
    </w:p>
    <w:p w14:paraId="475EB8E3" w14:textId="77777777" w:rsidR="008D392C" w:rsidRPr="00F729BF" w:rsidRDefault="008D392C" w:rsidP="008D392C">
      <w:pPr>
        <w:ind w:left="720"/>
        <w:rPr>
          <w:szCs w:val="22"/>
        </w:rPr>
      </w:pPr>
    </w:p>
    <w:p w14:paraId="17E7B3C2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  <w:u w:val="single"/>
        </w:rPr>
        <w:t>Použitie počas gravidity,  laktácie, znášky</w:t>
      </w:r>
      <w:r w:rsidRPr="00A24FF9">
        <w:rPr>
          <w:szCs w:val="22"/>
          <w:u w:val="single"/>
        </w:rPr>
        <w:t>:</w:t>
      </w:r>
      <w:r w:rsidRPr="00F729BF">
        <w:rPr>
          <w:szCs w:val="22"/>
        </w:rPr>
        <w:br/>
      </w:r>
      <w:bookmarkStart w:id="1" w:name="_Toc104622166"/>
      <w:r w:rsidRPr="00F729BF">
        <w:rPr>
          <w:szCs w:val="22"/>
        </w:rPr>
        <w:t xml:space="preserve">Laboratórne štúdie na potkanoch preukázali </w:t>
      </w:r>
      <w:proofErr w:type="spellStart"/>
      <w:r w:rsidRPr="00F729BF">
        <w:rPr>
          <w:szCs w:val="22"/>
        </w:rPr>
        <w:t>teratogénne</w:t>
      </w:r>
      <w:proofErr w:type="spellEnd"/>
      <w:r w:rsidRPr="00F729BF">
        <w:rPr>
          <w:szCs w:val="22"/>
        </w:rPr>
        <w:t xml:space="preserve"> a </w:t>
      </w:r>
      <w:proofErr w:type="spellStart"/>
      <w:r w:rsidRPr="00F729BF">
        <w:rPr>
          <w:szCs w:val="22"/>
        </w:rPr>
        <w:t>fetotoxické</w:t>
      </w:r>
      <w:proofErr w:type="spellEnd"/>
      <w:r w:rsidRPr="00F729BF">
        <w:rPr>
          <w:szCs w:val="22"/>
        </w:rPr>
        <w:t xml:space="preserve"> účinky.</w:t>
      </w:r>
    </w:p>
    <w:p w14:paraId="2EE7E468" w14:textId="77777777" w:rsidR="008D392C" w:rsidRPr="00F729BF" w:rsidRDefault="008D392C" w:rsidP="008D392C">
      <w:pPr>
        <w:rPr>
          <w:bCs/>
          <w:szCs w:val="22"/>
        </w:rPr>
      </w:pPr>
      <w:r w:rsidRPr="00F729BF">
        <w:rPr>
          <w:szCs w:val="22"/>
        </w:rPr>
        <w:t>Používanie sa počas znášky neodporúča.</w:t>
      </w:r>
    </w:p>
    <w:p w14:paraId="113235D6" w14:textId="77777777" w:rsidR="008D392C" w:rsidRPr="00F729BF" w:rsidRDefault="008D392C" w:rsidP="008D392C">
      <w:pPr>
        <w:rPr>
          <w:szCs w:val="22"/>
          <w:u w:val="single"/>
        </w:rPr>
      </w:pPr>
    </w:p>
    <w:p w14:paraId="4E48143B" w14:textId="77777777" w:rsidR="008D392C" w:rsidRPr="00F729BF" w:rsidRDefault="008D392C" w:rsidP="008D392C">
      <w:pPr>
        <w:rPr>
          <w:szCs w:val="22"/>
          <w:u w:val="single"/>
        </w:rPr>
      </w:pPr>
      <w:r w:rsidRPr="00F729BF">
        <w:rPr>
          <w:szCs w:val="22"/>
          <w:u w:val="single"/>
        </w:rPr>
        <w:t>Liekové interakcie a iné formy vzájomného pôsobenia:</w:t>
      </w:r>
    </w:p>
    <w:p w14:paraId="3E3CEBD5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 xml:space="preserve">Je potrebné vyhýbať sa súbežnému podávaniu potenciálne </w:t>
      </w:r>
      <w:proofErr w:type="spellStart"/>
      <w:r w:rsidRPr="00F729BF">
        <w:rPr>
          <w:szCs w:val="22"/>
        </w:rPr>
        <w:t>nefrotoxických</w:t>
      </w:r>
      <w:proofErr w:type="spellEnd"/>
      <w:r w:rsidRPr="00F729BF">
        <w:rPr>
          <w:szCs w:val="22"/>
        </w:rPr>
        <w:t xml:space="preserve"> liekov (napr. </w:t>
      </w:r>
      <w:proofErr w:type="spellStart"/>
      <w:r w:rsidRPr="00F729BF">
        <w:rPr>
          <w:szCs w:val="22"/>
        </w:rPr>
        <w:t>aminoglykozidov</w:t>
      </w:r>
      <w:proofErr w:type="spellEnd"/>
      <w:r w:rsidRPr="00F729BF">
        <w:rPr>
          <w:szCs w:val="22"/>
        </w:rPr>
        <w:t>).</w:t>
      </w:r>
    </w:p>
    <w:p w14:paraId="42302066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 xml:space="preserve">Kyselina salicylová je vysoko plazmatická (viaže albumín) a konkuruje rôznym zlúčeninám (napr. sulfónamidom, </w:t>
      </w:r>
      <w:proofErr w:type="spellStart"/>
      <w:r w:rsidRPr="00F729BF">
        <w:rPr>
          <w:szCs w:val="22"/>
        </w:rPr>
        <w:t>ketoprofénom</w:t>
      </w:r>
      <w:proofErr w:type="spellEnd"/>
      <w:r w:rsidRPr="00F729BF">
        <w:rPr>
          <w:szCs w:val="22"/>
        </w:rPr>
        <w:t xml:space="preserve">) v miestach väzby na plazmatické bielkoviny. Súbežné užívanie s inými </w:t>
      </w:r>
      <w:proofErr w:type="spellStart"/>
      <w:r w:rsidRPr="00F729BF">
        <w:rPr>
          <w:szCs w:val="22"/>
        </w:rPr>
        <w:t>nesteroidnými</w:t>
      </w:r>
      <w:proofErr w:type="spellEnd"/>
      <w:r w:rsidRPr="00F729BF">
        <w:rPr>
          <w:szCs w:val="22"/>
        </w:rPr>
        <w:t xml:space="preserve"> protizápalovými liekmi sa neodporúča vzhľadom na zvýšené riziko </w:t>
      </w:r>
      <w:proofErr w:type="spellStart"/>
      <w:r w:rsidRPr="00F729BF">
        <w:rPr>
          <w:szCs w:val="22"/>
        </w:rPr>
        <w:t>gastrointestinálnych</w:t>
      </w:r>
      <w:proofErr w:type="spellEnd"/>
      <w:r w:rsidRPr="00F729BF">
        <w:rPr>
          <w:szCs w:val="22"/>
        </w:rPr>
        <w:t xml:space="preserve"> porúch.</w:t>
      </w:r>
    </w:p>
    <w:p w14:paraId="4B57B09C" w14:textId="77777777" w:rsidR="008D392C" w:rsidRPr="00F729BF" w:rsidRDefault="008D392C" w:rsidP="008D392C">
      <w:pPr>
        <w:spacing w:before="80"/>
        <w:rPr>
          <w:bCs/>
          <w:szCs w:val="22"/>
        </w:rPr>
      </w:pPr>
    </w:p>
    <w:p w14:paraId="7E1F3C6A" w14:textId="77777777" w:rsidR="008D392C" w:rsidRPr="00F729BF" w:rsidRDefault="008D392C" w:rsidP="008D392C">
      <w:pPr>
        <w:rPr>
          <w:szCs w:val="22"/>
          <w:u w:val="single"/>
        </w:rPr>
      </w:pPr>
      <w:r w:rsidRPr="00F729BF">
        <w:rPr>
          <w:szCs w:val="22"/>
          <w:u w:val="single"/>
        </w:rPr>
        <w:t>Predávkovanie</w:t>
      </w:r>
      <w:bookmarkEnd w:id="1"/>
      <w:r w:rsidRPr="00F729BF">
        <w:rPr>
          <w:szCs w:val="22"/>
          <w:u w:val="single"/>
        </w:rPr>
        <w:t xml:space="preserve"> (príznaky, núdzové postupy, </w:t>
      </w:r>
      <w:proofErr w:type="spellStart"/>
      <w:r w:rsidRPr="00F729BF">
        <w:rPr>
          <w:szCs w:val="22"/>
          <w:u w:val="single"/>
        </w:rPr>
        <w:t>antidotá</w:t>
      </w:r>
      <w:proofErr w:type="spellEnd"/>
      <w:r w:rsidRPr="00F729BF">
        <w:rPr>
          <w:szCs w:val="22"/>
          <w:u w:val="single"/>
        </w:rPr>
        <w:t>)</w:t>
      </w:r>
    </w:p>
    <w:p w14:paraId="0F5DB65B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>Podanie štvornásobku odporúčanej dávky malo za následok zvýšenie spotreby pitnej vody a príležitostné hnačky.</w:t>
      </w:r>
    </w:p>
    <w:p w14:paraId="192980AD" w14:textId="77777777" w:rsidR="008D392C" w:rsidRPr="00F729BF" w:rsidRDefault="008D392C" w:rsidP="008D392C">
      <w:pPr>
        <w:spacing w:before="80"/>
        <w:rPr>
          <w:szCs w:val="22"/>
          <w:u w:val="single"/>
        </w:rPr>
      </w:pPr>
    </w:p>
    <w:p w14:paraId="683A287D" w14:textId="77777777" w:rsidR="008D392C" w:rsidRPr="00F729BF" w:rsidRDefault="008D392C" w:rsidP="008D392C">
      <w:pPr>
        <w:rPr>
          <w:szCs w:val="22"/>
          <w:u w:val="single"/>
        </w:rPr>
      </w:pPr>
      <w:r w:rsidRPr="00F729BF">
        <w:rPr>
          <w:szCs w:val="22"/>
          <w:u w:val="single"/>
        </w:rPr>
        <w:t>Inkompatibility:</w:t>
      </w:r>
    </w:p>
    <w:p w14:paraId="1A3033BB" w14:textId="77777777" w:rsidR="008D392C" w:rsidRPr="00F729BF" w:rsidRDefault="008D392C" w:rsidP="008D392C">
      <w:pPr>
        <w:rPr>
          <w:b/>
          <w:szCs w:val="22"/>
        </w:rPr>
      </w:pPr>
      <w:r w:rsidRPr="00F729BF">
        <w:rPr>
          <w:szCs w:val="22"/>
        </w:rPr>
        <w:t>Z dôvodu chýbania štúdií kompatibility, sa tento veterinárny liek nesmie miešať s inými veterinárnymi liekmi.</w:t>
      </w:r>
    </w:p>
    <w:p w14:paraId="463D4B20" w14:textId="77777777" w:rsidR="008D392C" w:rsidRPr="00F729BF" w:rsidRDefault="008D392C" w:rsidP="008D392C">
      <w:pPr>
        <w:rPr>
          <w:b/>
          <w:szCs w:val="22"/>
        </w:rPr>
      </w:pPr>
    </w:p>
    <w:p w14:paraId="3877DB53" w14:textId="77777777" w:rsidR="008D392C" w:rsidRPr="00F729BF" w:rsidRDefault="008D392C" w:rsidP="008D392C">
      <w:pPr>
        <w:rPr>
          <w:b/>
          <w:szCs w:val="22"/>
        </w:rPr>
      </w:pPr>
      <w:r w:rsidRPr="00F729BF">
        <w:rPr>
          <w:b/>
          <w:szCs w:val="22"/>
        </w:rPr>
        <w:t>15.</w:t>
      </w:r>
      <w:r w:rsidRPr="00F729BF">
        <w:rPr>
          <w:b/>
          <w:szCs w:val="22"/>
        </w:rPr>
        <w:tab/>
        <w:t>Osobitné bezpečnostné opatrenia na zneškodnenie nepoužitého lieku(-</w:t>
      </w:r>
      <w:proofErr w:type="spellStart"/>
      <w:r w:rsidRPr="00F729BF">
        <w:rPr>
          <w:b/>
          <w:szCs w:val="22"/>
        </w:rPr>
        <w:t>ov</w:t>
      </w:r>
      <w:proofErr w:type="spellEnd"/>
      <w:r w:rsidRPr="00F729BF">
        <w:rPr>
          <w:b/>
          <w:szCs w:val="22"/>
        </w:rPr>
        <w:t>) alebo odpadového materiálu</w:t>
      </w:r>
      <w:r w:rsidRPr="00F729BF">
        <w:rPr>
          <w:b/>
          <w:szCs w:val="22"/>
          <w:highlight w:val="lightGray"/>
        </w:rPr>
        <w:t>, v prípade potreby</w:t>
      </w:r>
      <w:r w:rsidRPr="00F729BF">
        <w:rPr>
          <w:b/>
          <w:szCs w:val="22"/>
        </w:rPr>
        <w:t xml:space="preserve"> </w:t>
      </w:r>
    </w:p>
    <w:p w14:paraId="6925CAAE" w14:textId="77777777" w:rsidR="008D392C" w:rsidRPr="00F729BF" w:rsidRDefault="008D392C" w:rsidP="008D392C">
      <w:pPr>
        <w:rPr>
          <w:b/>
          <w:szCs w:val="22"/>
        </w:rPr>
      </w:pPr>
    </w:p>
    <w:p w14:paraId="69DD52A5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 xml:space="preserve">Každý nepoužitý veterinárny liek alebo odpadové materiály z tohto veterinárneho lieku musia byť zlikvidované v súlade s  miestnymi požiadavkami. </w:t>
      </w:r>
    </w:p>
    <w:p w14:paraId="6AB8712F" w14:textId="77777777" w:rsidR="008D392C" w:rsidRPr="00F729BF" w:rsidRDefault="008D392C" w:rsidP="008D392C">
      <w:pPr>
        <w:rPr>
          <w:szCs w:val="22"/>
        </w:rPr>
      </w:pPr>
    </w:p>
    <w:p w14:paraId="40DB11D5" w14:textId="77777777" w:rsidR="008D392C" w:rsidRPr="00F729BF" w:rsidRDefault="008D392C" w:rsidP="008D392C">
      <w:pPr>
        <w:rPr>
          <w:szCs w:val="22"/>
        </w:rPr>
      </w:pPr>
      <w:r w:rsidRPr="00F729BF">
        <w:rPr>
          <w:b/>
          <w:szCs w:val="22"/>
        </w:rPr>
        <w:t>16.</w:t>
      </w:r>
      <w:r w:rsidRPr="00F729BF">
        <w:rPr>
          <w:b/>
          <w:szCs w:val="22"/>
        </w:rPr>
        <w:tab/>
        <w:t>Dátum posledného schválenia textu na etikete</w:t>
      </w:r>
    </w:p>
    <w:p w14:paraId="2F47F897" w14:textId="77777777" w:rsidR="008D392C" w:rsidRPr="00F729BF" w:rsidRDefault="008D392C" w:rsidP="008D392C">
      <w:pPr>
        <w:ind w:right="-318"/>
        <w:rPr>
          <w:szCs w:val="22"/>
        </w:rPr>
      </w:pPr>
    </w:p>
    <w:p w14:paraId="77187505" w14:textId="24057CBB" w:rsidR="008D392C" w:rsidRPr="00F729BF" w:rsidRDefault="00861995" w:rsidP="008D392C">
      <w:pPr>
        <w:ind w:right="-318"/>
        <w:rPr>
          <w:szCs w:val="22"/>
        </w:rPr>
      </w:pPr>
      <w:r>
        <w:rPr>
          <w:szCs w:val="22"/>
        </w:rPr>
        <w:t>07</w:t>
      </w:r>
      <w:bookmarkStart w:id="2" w:name="_GoBack"/>
      <w:bookmarkEnd w:id="2"/>
      <w:r w:rsidR="00FC5B93">
        <w:rPr>
          <w:szCs w:val="22"/>
        </w:rPr>
        <w:t>/2022</w:t>
      </w:r>
    </w:p>
    <w:p w14:paraId="004E3B8E" w14:textId="77777777" w:rsidR="008D392C" w:rsidRPr="00F729BF" w:rsidRDefault="008D392C" w:rsidP="008D392C">
      <w:pPr>
        <w:ind w:right="-318"/>
        <w:rPr>
          <w:szCs w:val="22"/>
        </w:rPr>
      </w:pPr>
    </w:p>
    <w:p w14:paraId="544F5814" w14:textId="77777777" w:rsidR="008D392C" w:rsidRPr="00F729BF" w:rsidRDefault="008D392C" w:rsidP="008D392C">
      <w:pPr>
        <w:ind w:left="567" w:hanging="567"/>
        <w:rPr>
          <w:b/>
          <w:szCs w:val="22"/>
        </w:rPr>
      </w:pPr>
      <w:r w:rsidRPr="00F729BF">
        <w:rPr>
          <w:b/>
          <w:szCs w:val="22"/>
        </w:rPr>
        <w:t>17.</w:t>
      </w:r>
      <w:r w:rsidRPr="00F729BF">
        <w:rPr>
          <w:b/>
          <w:szCs w:val="22"/>
        </w:rPr>
        <w:tab/>
        <w:t>Ďalšie informácie</w:t>
      </w:r>
    </w:p>
    <w:p w14:paraId="02F2D887" w14:textId="77777777" w:rsidR="008D392C" w:rsidRPr="00F729BF" w:rsidRDefault="008D392C" w:rsidP="008D392C">
      <w:pPr>
        <w:ind w:right="-318"/>
        <w:rPr>
          <w:iCs/>
          <w:szCs w:val="22"/>
          <w:u w:val="single"/>
        </w:rPr>
      </w:pPr>
    </w:p>
    <w:p w14:paraId="39696C10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>100 g, 250 g, 500 g, 1 kg, 2,5 kg a 5 kg</w:t>
      </w:r>
    </w:p>
    <w:p w14:paraId="1C63846C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>Nie všetky veľkosti balenia sa musia uvádzať na trh.</w:t>
      </w:r>
    </w:p>
    <w:p w14:paraId="30DBEF37" w14:textId="77777777" w:rsidR="008D392C" w:rsidRPr="00F729BF" w:rsidRDefault="008D392C" w:rsidP="008D392C">
      <w:pPr>
        <w:ind w:right="-318"/>
        <w:rPr>
          <w:szCs w:val="22"/>
        </w:rPr>
      </w:pPr>
      <w:r w:rsidRPr="00F729BF">
        <w:rPr>
          <w:szCs w:val="22"/>
          <w:highlight w:val="lightGray"/>
        </w:rPr>
        <w:t>Ak potrebujete akúkoľvek informáciu o tomto veterinárnom lieku, kontaktujte miestneho zástupcu držiteľa rozhodnutia o registrácii.</w:t>
      </w:r>
    </w:p>
    <w:p w14:paraId="0074CB81" w14:textId="77777777" w:rsidR="008D392C" w:rsidRPr="00F729BF" w:rsidRDefault="008D392C" w:rsidP="008D392C">
      <w:pPr>
        <w:ind w:right="-318"/>
        <w:rPr>
          <w:szCs w:val="22"/>
        </w:rPr>
      </w:pPr>
    </w:p>
    <w:p w14:paraId="1BAFC206" w14:textId="77777777" w:rsidR="008D392C" w:rsidRPr="00F729BF" w:rsidRDefault="008D392C" w:rsidP="008D392C">
      <w:pPr>
        <w:ind w:right="-318"/>
        <w:rPr>
          <w:szCs w:val="22"/>
        </w:rPr>
      </w:pPr>
    </w:p>
    <w:p w14:paraId="40B30F76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szCs w:val="22"/>
        </w:rPr>
      </w:pPr>
      <w:r w:rsidRPr="00F729BF">
        <w:rPr>
          <w:b/>
          <w:szCs w:val="22"/>
          <w:highlight w:val="lightGray"/>
        </w:rPr>
        <w:t>18.</w:t>
      </w:r>
      <w:r w:rsidRPr="00F729BF">
        <w:rPr>
          <w:b/>
          <w:szCs w:val="22"/>
          <w:highlight w:val="lightGray"/>
        </w:rPr>
        <w:tab/>
        <w:t xml:space="preserve">Označenie </w:t>
      </w:r>
      <w:r w:rsidRPr="00F729BF">
        <w:rPr>
          <w:b/>
          <w:szCs w:val="22"/>
          <w:highlight w:val="lightGray"/>
          <w:cs/>
        </w:rPr>
        <w:t>„</w:t>
      </w:r>
      <w:r w:rsidRPr="00F729BF">
        <w:rPr>
          <w:b/>
          <w:szCs w:val="22"/>
          <w:highlight w:val="lightGray"/>
        </w:rPr>
        <w:t>Len pre zvieratá</w:t>
      </w:r>
      <w:r w:rsidRPr="00F729BF">
        <w:rPr>
          <w:b/>
          <w:szCs w:val="22"/>
          <w:highlight w:val="lightGray"/>
          <w:cs/>
        </w:rPr>
        <w:t xml:space="preserve">“ </w:t>
      </w:r>
      <w:r w:rsidRPr="00F729BF">
        <w:rPr>
          <w:b/>
          <w:szCs w:val="22"/>
          <w:highlight w:val="lightGray"/>
        </w:rPr>
        <w:t xml:space="preserve">a podmienky alebo obmedzenia týkajúce sa dodávky a použitia, ak sa uplatňujú </w:t>
      </w:r>
    </w:p>
    <w:p w14:paraId="3064F873" w14:textId="77777777" w:rsidR="008D392C" w:rsidRPr="00F729BF" w:rsidRDefault="008D392C" w:rsidP="008D392C">
      <w:pPr>
        <w:rPr>
          <w:szCs w:val="22"/>
        </w:rPr>
      </w:pPr>
    </w:p>
    <w:p w14:paraId="2C9C1604" w14:textId="77777777" w:rsidR="008D392C" w:rsidRPr="00F729BF" w:rsidRDefault="008D392C" w:rsidP="008D392C">
      <w:pPr>
        <w:rPr>
          <w:szCs w:val="22"/>
        </w:rPr>
      </w:pPr>
      <w:r w:rsidRPr="00F729BF">
        <w:rPr>
          <w:szCs w:val="22"/>
        </w:rPr>
        <w:t>Len pre zvieratá.</w:t>
      </w:r>
      <w:r w:rsidRPr="00F729BF">
        <w:rPr>
          <w:szCs w:val="22"/>
        </w:rPr>
        <w:br/>
        <w:t>Výdaj lieku je viazaný  na veterinárny predpis.</w:t>
      </w:r>
    </w:p>
    <w:p w14:paraId="7B0560CE" w14:textId="77777777" w:rsidR="008D392C" w:rsidRPr="00F729BF" w:rsidRDefault="008D392C" w:rsidP="008D392C">
      <w:pPr>
        <w:rPr>
          <w:b/>
          <w:szCs w:val="22"/>
        </w:rPr>
      </w:pPr>
    </w:p>
    <w:p w14:paraId="185FB85F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F729BF">
        <w:rPr>
          <w:b/>
          <w:szCs w:val="22"/>
          <w:highlight w:val="lightGray"/>
        </w:rPr>
        <w:t>19.</w:t>
      </w:r>
      <w:r w:rsidRPr="00F729BF">
        <w:rPr>
          <w:b/>
          <w:szCs w:val="22"/>
          <w:highlight w:val="lightGray"/>
        </w:rPr>
        <w:tab/>
        <w:t xml:space="preserve">Označenie </w:t>
      </w:r>
      <w:r w:rsidRPr="00F729BF">
        <w:rPr>
          <w:b/>
          <w:szCs w:val="22"/>
          <w:highlight w:val="lightGray"/>
          <w:cs/>
        </w:rPr>
        <w:t>„</w:t>
      </w:r>
      <w:r w:rsidRPr="00F729BF">
        <w:rPr>
          <w:b/>
          <w:szCs w:val="22"/>
          <w:highlight w:val="lightGray"/>
        </w:rPr>
        <w:t>Uchovávať mimo dohľadu a dosahu detí</w:t>
      </w:r>
      <w:r w:rsidRPr="00F729BF">
        <w:rPr>
          <w:b/>
          <w:szCs w:val="22"/>
          <w:highlight w:val="lightGray"/>
          <w:cs/>
        </w:rPr>
        <w:t>“</w:t>
      </w:r>
    </w:p>
    <w:p w14:paraId="2B30DFF7" w14:textId="77777777" w:rsidR="008D392C" w:rsidRPr="00F729BF" w:rsidRDefault="008D392C" w:rsidP="008D392C">
      <w:pPr>
        <w:spacing w:before="80"/>
        <w:outlineLvl w:val="0"/>
        <w:rPr>
          <w:szCs w:val="22"/>
        </w:rPr>
      </w:pPr>
    </w:p>
    <w:p w14:paraId="0D0CDD33" w14:textId="77777777" w:rsidR="008D392C" w:rsidRPr="00F729BF" w:rsidRDefault="008D392C" w:rsidP="008D392C">
      <w:pPr>
        <w:spacing w:before="80"/>
        <w:outlineLvl w:val="0"/>
        <w:rPr>
          <w:szCs w:val="22"/>
        </w:rPr>
      </w:pPr>
      <w:r w:rsidRPr="00F729BF">
        <w:rPr>
          <w:szCs w:val="22"/>
        </w:rPr>
        <w:t>Uchovávať mimo dohľadu a dosahu detí.</w:t>
      </w:r>
    </w:p>
    <w:p w14:paraId="418EB888" w14:textId="77777777" w:rsidR="008D392C" w:rsidRPr="00F729BF" w:rsidRDefault="008D392C" w:rsidP="008D392C">
      <w:pPr>
        <w:ind w:right="-318"/>
        <w:rPr>
          <w:szCs w:val="22"/>
        </w:rPr>
      </w:pPr>
    </w:p>
    <w:p w14:paraId="1B4A0C6E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Cs w:val="22"/>
        </w:rPr>
      </w:pPr>
      <w:r w:rsidRPr="00F729BF">
        <w:rPr>
          <w:b/>
          <w:szCs w:val="22"/>
          <w:highlight w:val="lightGray"/>
        </w:rPr>
        <w:t>20.</w:t>
      </w:r>
      <w:r w:rsidRPr="00F729BF">
        <w:rPr>
          <w:b/>
          <w:szCs w:val="22"/>
          <w:highlight w:val="lightGray"/>
        </w:rPr>
        <w:tab/>
        <w:t>Dátum exspirácie</w:t>
      </w:r>
    </w:p>
    <w:p w14:paraId="02CB9555" w14:textId="77777777" w:rsidR="008D392C" w:rsidRPr="00F729BF" w:rsidRDefault="008D392C" w:rsidP="008D392C">
      <w:pPr>
        <w:ind w:right="-318"/>
        <w:rPr>
          <w:szCs w:val="22"/>
        </w:rPr>
      </w:pPr>
    </w:p>
    <w:p w14:paraId="572C884A" w14:textId="77777777" w:rsidR="008D392C" w:rsidRPr="00F729BF" w:rsidRDefault="008D392C" w:rsidP="008D392C">
      <w:pPr>
        <w:ind w:right="-318"/>
        <w:rPr>
          <w:szCs w:val="22"/>
        </w:rPr>
      </w:pPr>
      <w:r w:rsidRPr="00F729BF">
        <w:rPr>
          <w:szCs w:val="22"/>
        </w:rPr>
        <w:t xml:space="preserve">EXP: </w:t>
      </w:r>
    </w:p>
    <w:p w14:paraId="62755161" w14:textId="77777777" w:rsidR="008D392C" w:rsidRPr="00F729BF" w:rsidRDefault="008D392C" w:rsidP="008D392C">
      <w:pPr>
        <w:ind w:right="-318"/>
        <w:rPr>
          <w:szCs w:val="22"/>
        </w:rPr>
      </w:pPr>
      <w:r w:rsidRPr="00F729BF">
        <w:rPr>
          <w:szCs w:val="22"/>
        </w:rPr>
        <w:t>Po prvom otvorení použiť do: __/__/__</w:t>
      </w:r>
    </w:p>
    <w:p w14:paraId="49BFE68E" w14:textId="77777777" w:rsidR="008D392C" w:rsidRPr="00F729BF" w:rsidRDefault="008D392C" w:rsidP="008D392C">
      <w:pPr>
        <w:ind w:right="-318"/>
        <w:rPr>
          <w:szCs w:val="22"/>
        </w:rPr>
      </w:pPr>
      <w:r w:rsidRPr="00F729BF">
        <w:rPr>
          <w:szCs w:val="22"/>
        </w:rPr>
        <w:t>Čas použiteľnosti po prvom otvorení vnútorného obalu: 6 mesiacov.</w:t>
      </w:r>
    </w:p>
    <w:p w14:paraId="61FCBA23" w14:textId="77777777" w:rsidR="008D392C" w:rsidRPr="00F729BF" w:rsidRDefault="008D392C" w:rsidP="008D392C">
      <w:pPr>
        <w:ind w:right="-318"/>
        <w:rPr>
          <w:szCs w:val="22"/>
        </w:rPr>
      </w:pPr>
      <w:r w:rsidRPr="00F729BF">
        <w:rPr>
          <w:szCs w:val="22"/>
        </w:rPr>
        <w:t>Čas použiteľnosti po rekonštitúcii v pitnej vode podľa návodu: 24 hodín.</w:t>
      </w:r>
    </w:p>
    <w:p w14:paraId="377DC7C7" w14:textId="77777777" w:rsidR="008D392C" w:rsidRPr="00F729BF" w:rsidRDefault="008D392C" w:rsidP="008D392C">
      <w:pPr>
        <w:ind w:right="-318"/>
        <w:rPr>
          <w:szCs w:val="22"/>
        </w:rPr>
      </w:pPr>
      <w:r w:rsidRPr="00F729BF">
        <w:rPr>
          <w:szCs w:val="22"/>
        </w:rPr>
        <w:t>Po uplynutí tejto doby sa zvyšný nevyužitý roztok musí zlikvidovať.</w:t>
      </w:r>
    </w:p>
    <w:p w14:paraId="6F65E8D1" w14:textId="77777777" w:rsidR="008D392C" w:rsidRPr="00F729BF" w:rsidRDefault="008D392C" w:rsidP="008D392C">
      <w:pPr>
        <w:rPr>
          <w:i/>
          <w:szCs w:val="22"/>
        </w:rPr>
      </w:pPr>
    </w:p>
    <w:p w14:paraId="33A19DBA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b/>
          <w:szCs w:val="22"/>
        </w:rPr>
      </w:pPr>
      <w:r w:rsidRPr="00F729BF">
        <w:rPr>
          <w:b/>
          <w:szCs w:val="22"/>
          <w:highlight w:val="lightGray"/>
        </w:rPr>
        <w:t>21.</w:t>
      </w:r>
      <w:r w:rsidRPr="00F729BF">
        <w:rPr>
          <w:b/>
          <w:szCs w:val="22"/>
          <w:highlight w:val="lightGray"/>
        </w:rPr>
        <w:tab/>
        <w:t xml:space="preserve">Registračné číslo </w:t>
      </w:r>
    </w:p>
    <w:p w14:paraId="5A2CAF87" w14:textId="77777777" w:rsidR="008D392C" w:rsidRDefault="008D392C" w:rsidP="008D392C">
      <w:pPr>
        <w:tabs>
          <w:tab w:val="left" w:pos="709"/>
        </w:tabs>
        <w:rPr>
          <w:b/>
          <w:szCs w:val="22"/>
        </w:rPr>
      </w:pPr>
    </w:p>
    <w:p w14:paraId="7F56A867" w14:textId="77777777" w:rsidR="008D392C" w:rsidRPr="005E709C" w:rsidRDefault="008D392C" w:rsidP="008D392C">
      <w:pPr>
        <w:tabs>
          <w:tab w:val="left" w:pos="709"/>
        </w:tabs>
        <w:rPr>
          <w:bCs/>
          <w:szCs w:val="22"/>
        </w:rPr>
      </w:pPr>
      <w:r w:rsidRPr="005E709C">
        <w:rPr>
          <w:bCs/>
          <w:szCs w:val="22"/>
        </w:rPr>
        <w:t>96/064/DC/17-S</w:t>
      </w:r>
    </w:p>
    <w:p w14:paraId="3A8779DE" w14:textId="77777777" w:rsidR="008D392C" w:rsidRPr="00F729BF" w:rsidRDefault="008D392C" w:rsidP="008D392C">
      <w:pPr>
        <w:tabs>
          <w:tab w:val="left" w:pos="709"/>
        </w:tabs>
        <w:rPr>
          <w:b/>
          <w:szCs w:val="22"/>
        </w:rPr>
      </w:pPr>
    </w:p>
    <w:p w14:paraId="7A5B1CA0" w14:textId="77777777" w:rsidR="008D392C" w:rsidRPr="00F729BF" w:rsidRDefault="008D392C" w:rsidP="008D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b/>
          <w:szCs w:val="22"/>
        </w:rPr>
      </w:pPr>
      <w:r w:rsidRPr="00F729BF">
        <w:rPr>
          <w:b/>
          <w:szCs w:val="22"/>
          <w:highlight w:val="lightGray"/>
        </w:rPr>
        <w:t>22.</w:t>
      </w:r>
      <w:r w:rsidRPr="00F729BF">
        <w:rPr>
          <w:b/>
          <w:szCs w:val="22"/>
          <w:highlight w:val="lightGray"/>
        </w:rPr>
        <w:tab/>
        <w:t>Číslo výrobnej šarže</w:t>
      </w:r>
    </w:p>
    <w:p w14:paraId="1466244F" w14:textId="77777777" w:rsidR="008D392C" w:rsidRPr="00F729BF" w:rsidRDefault="008D392C" w:rsidP="008D392C">
      <w:pPr>
        <w:tabs>
          <w:tab w:val="left" w:pos="709"/>
        </w:tabs>
        <w:rPr>
          <w:b/>
          <w:szCs w:val="22"/>
        </w:rPr>
      </w:pPr>
    </w:p>
    <w:p w14:paraId="2D8B99AE" w14:textId="77777777" w:rsidR="008D392C" w:rsidRPr="00F729BF" w:rsidRDefault="008D392C" w:rsidP="008D392C">
      <w:pPr>
        <w:rPr>
          <w:szCs w:val="22"/>
        </w:rPr>
      </w:pPr>
      <w:proofErr w:type="spellStart"/>
      <w:r w:rsidRPr="00F729BF">
        <w:rPr>
          <w:szCs w:val="22"/>
        </w:rPr>
        <w:t>Lot</w:t>
      </w:r>
      <w:proofErr w:type="spellEnd"/>
      <w:r w:rsidRPr="00F729BF">
        <w:rPr>
          <w:szCs w:val="22"/>
        </w:rPr>
        <w:t>:</w:t>
      </w:r>
    </w:p>
    <w:p w14:paraId="5DF4B022" w14:textId="77777777" w:rsidR="008D392C" w:rsidRPr="00474C50" w:rsidRDefault="008D392C" w:rsidP="00E81C91">
      <w:pPr>
        <w:tabs>
          <w:tab w:val="clear" w:pos="567"/>
        </w:tabs>
        <w:spacing w:line="240" w:lineRule="auto"/>
        <w:rPr>
          <w:szCs w:val="22"/>
        </w:rPr>
      </w:pPr>
    </w:p>
    <w:sectPr w:rsidR="008D392C" w:rsidRPr="00474C50" w:rsidSect="00E81C9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184F9" w14:textId="77777777" w:rsidR="002316C3" w:rsidRDefault="002316C3">
      <w:r>
        <w:separator/>
      </w:r>
    </w:p>
  </w:endnote>
  <w:endnote w:type="continuationSeparator" w:id="0">
    <w:p w14:paraId="6007543D" w14:textId="77777777" w:rsidR="002316C3" w:rsidRDefault="0023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1549"/>
      <w:docPartObj>
        <w:docPartGallery w:val="Page Numbers (Bottom of Page)"/>
        <w:docPartUnique/>
      </w:docPartObj>
    </w:sdtPr>
    <w:sdtEndPr/>
    <w:sdtContent>
      <w:p w14:paraId="1DA05355" w14:textId="7422B89A" w:rsidR="008D392C" w:rsidRDefault="008D392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995">
          <w:rPr>
            <w:noProof/>
          </w:rPr>
          <w:t>7</w:t>
        </w:r>
        <w:r>
          <w:fldChar w:fldCharType="end"/>
        </w:r>
      </w:p>
    </w:sdtContent>
  </w:sdt>
  <w:p w14:paraId="00928064" w14:textId="0AC0B304" w:rsidR="00545D3A" w:rsidRPr="00B94A1B" w:rsidRDefault="00545D3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7E06" w14:textId="77777777" w:rsidR="00545D3A" w:rsidRDefault="00545D3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1587D" w14:textId="77777777" w:rsidR="002316C3" w:rsidRDefault="002316C3">
      <w:r>
        <w:separator/>
      </w:r>
    </w:p>
  </w:footnote>
  <w:footnote w:type="continuationSeparator" w:id="0">
    <w:p w14:paraId="78676E65" w14:textId="77777777" w:rsidR="002316C3" w:rsidRDefault="0023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2E2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D5E2E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A20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AB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2C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E6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2D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2A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A9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8B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EACE9E5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74CF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304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784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E6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4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C9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A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48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E84C31D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B7288A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BA65C2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368192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3CA93E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AC060F2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01EAA8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A8EBC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7B8E29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2702D33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774397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3F807B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560DD6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666367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184526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6744E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44C4BD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FCA5F0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02DE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E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63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41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0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4F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04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A0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A904A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764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CC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E6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09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F0F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08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6F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749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25407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E605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4AD0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8035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CCCB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F23D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7087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C00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0801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9264769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C9A769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BC162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E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8A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E1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44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87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CC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51C3C"/>
    <w:multiLevelType w:val="hybridMultilevel"/>
    <w:tmpl w:val="334E90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4DAE5508"/>
    <w:multiLevelType w:val="hybridMultilevel"/>
    <w:tmpl w:val="DA0EE772"/>
    <w:lvl w:ilvl="0" w:tplc="A69AD5C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FF80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E69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AE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E3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06E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60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07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D00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473E"/>
    <w:multiLevelType w:val="hybridMultilevel"/>
    <w:tmpl w:val="BA782D10"/>
    <w:lvl w:ilvl="0" w:tplc="B2B2016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5A4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A6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24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A3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DAB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28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C4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EA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1D26"/>
    <w:multiLevelType w:val="hybridMultilevel"/>
    <w:tmpl w:val="2E749F0C"/>
    <w:lvl w:ilvl="0" w:tplc="C2302E8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4E0E9C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F4467F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BE0FFA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1483E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5DC03C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7B0A09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8E918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726D88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4402892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7A4E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8E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0E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2D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4CB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AB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27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C6B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30E67BF"/>
    <w:multiLevelType w:val="hybridMultilevel"/>
    <w:tmpl w:val="B1D854E2"/>
    <w:lvl w:ilvl="0" w:tplc="9CF2855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F4ED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FC7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E2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2B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40E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8C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22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48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FF92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A7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23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A4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22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D44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E0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C4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A2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5F0262CA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354D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C0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07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8E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AE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AC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44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A5987"/>
    <w:multiLevelType w:val="hybridMultilevel"/>
    <w:tmpl w:val="D73EEE10"/>
    <w:lvl w:ilvl="0" w:tplc="B9D226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560C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12D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2A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0B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BE7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E9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6A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E25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5"/>
  </w:num>
  <w:num w:numId="13">
    <w:abstractNumId w:val="4"/>
  </w:num>
  <w:num w:numId="14">
    <w:abstractNumId w:val="29"/>
  </w:num>
  <w:num w:numId="15">
    <w:abstractNumId w:val="18"/>
  </w:num>
  <w:num w:numId="16">
    <w:abstractNumId w:val="34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5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6"/>
  </w:num>
  <w:num w:numId="31">
    <w:abstractNumId w:val="37"/>
  </w:num>
  <w:num w:numId="32">
    <w:abstractNumId w:val="21"/>
  </w:num>
  <w:num w:numId="33">
    <w:abstractNumId w:val="28"/>
  </w:num>
  <w:num w:numId="34">
    <w:abstractNumId w:val="24"/>
  </w:num>
  <w:num w:numId="35">
    <w:abstractNumId w:val="3"/>
  </w:num>
  <w:num w:numId="36">
    <w:abstractNumId w:val="6"/>
  </w:num>
  <w:num w:numId="37">
    <w:abstractNumId w:val="26"/>
  </w:num>
  <w:num w:numId="38">
    <w:abstractNumId w:val="1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321E"/>
    <w:rsid w:val="00025124"/>
    <w:rsid w:val="000522CA"/>
    <w:rsid w:val="000A6B8D"/>
    <w:rsid w:val="00154FBD"/>
    <w:rsid w:val="0017315B"/>
    <w:rsid w:val="001A3ABE"/>
    <w:rsid w:val="001A6A7B"/>
    <w:rsid w:val="002316C3"/>
    <w:rsid w:val="003330D4"/>
    <w:rsid w:val="003930AF"/>
    <w:rsid w:val="003B0867"/>
    <w:rsid w:val="00442216"/>
    <w:rsid w:val="00466BBD"/>
    <w:rsid w:val="004817A5"/>
    <w:rsid w:val="004A23DB"/>
    <w:rsid w:val="00545D3A"/>
    <w:rsid w:val="006D55FE"/>
    <w:rsid w:val="00753755"/>
    <w:rsid w:val="00797ED0"/>
    <w:rsid w:val="00861995"/>
    <w:rsid w:val="008D392C"/>
    <w:rsid w:val="00A6506F"/>
    <w:rsid w:val="00A71318"/>
    <w:rsid w:val="00AB1766"/>
    <w:rsid w:val="00AC4EB7"/>
    <w:rsid w:val="00AE56AF"/>
    <w:rsid w:val="00B9508A"/>
    <w:rsid w:val="00C06D9D"/>
    <w:rsid w:val="00C114FF"/>
    <w:rsid w:val="00D061C2"/>
    <w:rsid w:val="00D321F4"/>
    <w:rsid w:val="00D41ECD"/>
    <w:rsid w:val="00D63764"/>
    <w:rsid w:val="00D64B24"/>
    <w:rsid w:val="00DC5C0B"/>
    <w:rsid w:val="00E7091B"/>
    <w:rsid w:val="00E81B5E"/>
    <w:rsid w:val="00E81C91"/>
    <w:rsid w:val="00F71A9E"/>
    <w:rsid w:val="00F9049B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CB7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sk-SK" w:eastAsia="sk-SK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  <w:lang w:val="sk-SK" w:eastAsia="sk-SK"/>
    </w:rPr>
  </w:style>
  <w:style w:type="character" w:styleId="Odkaznapoznmkupodiarou">
    <w:name w:val="footnote reference"/>
    <w:semiHidden/>
    <w:rPr>
      <w:vertAlign w:val="superscript"/>
      <w:lang w:val="sk-SK" w:eastAsia="sk-SK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  <w:lang w:val="sk-SK" w:eastAsia="sk-SK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  <w:lang w:val="sk-SK" w:eastAsia="sk-SK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  <w:lang w:val="sk-SK" w:eastAsia="sk-SK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sid w:val="0019686E"/>
    <w:rPr>
      <w:sz w:val="22"/>
      <w:lang w:val="sk-SK" w:eastAsia="sk-SK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zoznamu"/>
    <w:rsid w:val="00FF4664"/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sk-SK" w:eastAsia="sk-SK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System" w:hAnsi="System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sk-SK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sk-SK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sk-SK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sk-SK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F9049B"/>
    <w:pPr>
      <w:ind w:left="720"/>
      <w:contextualSpacing/>
    </w:pPr>
  </w:style>
  <w:style w:type="paragraph" w:customStyle="1" w:styleId="Gemiddeldraster21">
    <w:name w:val="Gemiddeld raster 21"/>
    <w:uiPriority w:val="1"/>
    <w:qFormat/>
    <w:rsid w:val="008D392C"/>
    <w:pPr>
      <w:widowControl w:val="0"/>
      <w:suppressAutoHyphens/>
    </w:pPr>
    <w:rPr>
      <w:sz w:val="24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8D392C"/>
    <w:rPr>
      <w:rFonts w:ascii="Helvetica" w:hAnsi="Helvetica"/>
      <w:sz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sk-SK" w:eastAsia="sk-SK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  <w:lang w:val="sk-SK" w:eastAsia="sk-SK"/>
    </w:rPr>
  </w:style>
  <w:style w:type="character" w:styleId="Odkaznapoznmkupodiarou">
    <w:name w:val="footnote reference"/>
    <w:semiHidden/>
    <w:rPr>
      <w:vertAlign w:val="superscript"/>
      <w:lang w:val="sk-SK" w:eastAsia="sk-SK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  <w:lang w:val="sk-SK" w:eastAsia="sk-SK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  <w:lang w:val="sk-SK" w:eastAsia="sk-SK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  <w:lang w:val="sk-SK" w:eastAsia="sk-SK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sid w:val="0019686E"/>
    <w:rPr>
      <w:sz w:val="22"/>
      <w:lang w:val="sk-SK" w:eastAsia="sk-SK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zoznamu"/>
    <w:rsid w:val="00FF4664"/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sk-SK" w:eastAsia="sk-SK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System" w:hAnsi="System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sk-SK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sk-SK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sk-SK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sk-SK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F9049B"/>
    <w:pPr>
      <w:ind w:left="720"/>
      <w:contextualSpacing/>
    </w:pPr>
  </w:style>
  <w:style w:type="paragraph" w:customStyle="1" w:styleId="Gemiddeldraster21">
    <w:name w:val="Gemiddeld raster 21"/>
    <w:uiPriority w:val="1"/>
    <w:qFormat/>
    <w:rsid w:val="008D392C"/>
    <w:pPr>
      <w:widowControl w:val="0"/>
      <w:suppressAutoHyphens/>
    </w:pPr>
    <w:rPr>
      <w:sz w:val="24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8D392C"/>
    <w:rPr>
      <w:rFonts w:ascii="Helvetica" w:hAnsi="Helvetica"/>
      <w:sz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D9D4-C2F5-4820-B33C-08086F0C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2065</Words>
  <Characters>13088</Characters>
  <Application>Microsoft Office Word</Application>
  <DocSecurity>0</DocSecurity>
  <Lines>109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Suzanne Robben</dc:creator>
  <cp:lastModifiedBy>User</cp:lastModifiedBy>
  <cp:revision>9</cp:revision>
  <cp:lastPrinted>2022-08-25T06:30:00Z</cp:lastPrinted>
  <dcterms:created xsi:type="dcterms:W3CDTF">2022-06-22T20:32:00Z</dcterms:created>
  <dcterms:modified xsi:type="dcterms:W3CDTF">2022-08-25T06:57:00Z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