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E1" w:rsidRPr="00BC4FE1" w:rsidRDefault="00BC4FE1" w:rsidP="00BC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SÚHRN CHARAKTERISTICKÝCH VLASTNOSTÍ LIEKU</w:t>
      </w:r>
    </w:p>
    <w:p w:rsidR="00BC4FE1" w:rsidRPr="00BC4FE1" w:rsidRDefault="00BC4FE1" w:rsidP="00BC4FE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sk"/>
        </w:rPr>
      </w:pPr>
    </w:p>
    <w:p w:rsidR="00BC4FE1" w:rsidRPr="00BC4FE1" w:rsidRDefault="00BC4FE1" w:rsidP="00BC4FE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1.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NÁZOV VETERINÁRNEHO LIEKU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Alphafluben 50 mg/g premix na medikáciu krmiva pre ošípané a kurčatá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2.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KVALITATÍVNE A KVANTITATÍVNE ZLOŽENIE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 xml:space="preserve">Každý gram obsahuje: 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 xml:space="preserve">Účinná látka: 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 xml:space="preserve">Flubendazol </w:t>
      </w:r>
      <w:r w:rsidRPr="00BC4FE1">
        <w:rPr>
          <w:rFonts w:ascii="Times New Roman" w:eastAsia="Times New Roman" w:hAnsi="Times New Roman" w:cs="Times New Roman"/>
          <w:lang w:val="sk"/>
        </w:rPr>
        <w:tab/>
      </w:r>
      <w:r w:rsidRPr="00BC4FE1">
        <w:rPr>
          <w:rFonts w:ascii="Times New Roman" w:eastAsia="Times New Roman" w:hAnsi="Times New Roman" w:cs="Times New Roman"/>
          <w:lang w:val="sk"/>
        </w:rPr>
        <w:tab/>
      </w:r>
      <w:r w:rsidRPr="00BC4FE1">
        <w:rPr>
          <w:rFonts w:ascii="Times New Roman" w:eastAsia="Times New Roman" w:hAnsi="Times New Roman" w:cs="Times New Roman"/>
          <w:lang w:val="sk"/>
        </w:rPr>
        <w:tab/>
        <w:t>50 mg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Úplný zoznam pomocných látok je uvedený v časti 6.1.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3.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LIEKOVÁ FORMA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Premix na medikáciu krmiva.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Biely alebo béžovo biely prášok bez mechanických nečistôt, zrazenín alebo zhlukov.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4.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KLINICKÉ ÚDAJE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4.1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Cieľové druhy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Ošípané (ošípané na výkrm), kurčatá (brojlery).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4.2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Indikácie na použitie so špecifikovaním cieľových druhov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Na liečbu zamorenia spôsobeného zrelými aj nezrelými štádiami nasledujúcich nematód (hlístovcov):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u w:val="single"/>
          <w:lang w:val="sk"/>
        </w:rPr>
        <w:t>Domáca ošípaná:</w:t>
      </w:r>
      <w:r w:rsidRPr="00BC4FE1">
        <w:rPr>
          <w:rFonts w:ascii="Times New Roman" w:eastAsia="Times New Roman" w:hAnsi="Times New Roman" w:cs="Times New Roman"/>
          <w:lang w:val="sk"/>
        </w:rPr>
        <w:t xml:space="preserve"> </w:t>
      </w:r>
      <w:r w:rsidRPr="00BC4FE1">
        <w:rPr>
          <w:rFonts w:ascii="Times New Roman" w:eastAsia="Times New Roman" w:hAnsi="Times New Roman" w:cs="Times New Roman"/>
          <w:i/>
          <w:iCs/>
          <w:lang w:val="sk"/>
        </w:rPr>
        <w:t>Metastrongylus apri, Ascaris suum</w:t>
      </w:r>
      <w:r w:rsidRPr="00BC4FE1">
        <w:rPr>
          <w:rFonts w:ascii="Times New Roman" w:eastAsia="Times New Roman" w:hAnsi="Times New Roman" w:cs="Times New Roman"/>
          <w:lang w:val="sk"/>
        </w:rPr>
        <w:t xml:space="preserve">, </w:t>
      </w:r>
      <w:r w:rsidRPr="00BC4FE1">
        <w:rPr>
          <w:rFonts w:ascii="Times New Roman" w:eastAsia="Times New Roman" w:hAnsi="Times New Roman" w:cs="Times New Roman"/>
          <w:i/>
          <w:iCs/>
          <w:lang w:val="sk"/>
        </w:rPr>
        <w:t>Hyostrongylus rubidus</w:t>
      </w:r>
      <w:r w:rsidRPr="00BC4FE1">
        <w:rPr>
          <w:rFonts w:ascii="Times New Roman" w:eastAsia="Times New Roman" w:hAnsi="Times New Roman" w:cs="Times New Roman"/>
          <w:lang w:val="sk"/>
        </w:rPr>
        <w:t xml:space="preserve"> (červený žalúdkový červ), </w:t>
      </w:r>
      <w:r w:rsidRPr="00BC4FE1">
        <w:rPr>
          <w:rFonts w:ascii="Times New Roman" w:eastAsia="Times New Roman" w:hAnsi="Times New Roman" w:cs="Times New Roman"/>
          <w:i/>
          <w:iCs/>
          <w:lang w:val="sk"/>
        </w:rPr>
        <w:t>Oesophagostomum dentatum</w:t>
      </w:r>
      <w:r w:rsidRPr="00BC4FE1">
        <w:rPr>
          <w:rFonts w:ascii="Times New Roman" w:eastAsia="Times New Roman" w:hAnsi="Times New Roman" w:cs="Times New Roman"/>
          <w:lang w:val="sk"/>
        </w:rPr>
        <w:t xml:space="preserve">, </w:t>
      </w:r>
      <w:r w:rsidRPr="00BC4FE1">
        <w:rPr>
          <w:rFonts w:ascii="Times New Roman" w:eastAsia="Times New Roman" w:hAnsi="Times New Roman" w:cs="Times New Roman"/>
          <w:i/>
          <w:iCs/>
          <w:lang w:val="sk"/>
        </w:rPr>
        <w:t>Trichuris suis</w:t>
      </w:r>
      <w:r w:rsidRPr="00BC4FE1">
        <w:rPr>
          <w:rFonts w:ascii="Times New Roman" w:eastAsia="Times New Roman" w:hAnsi="Times New Roman" w:cs="Times New Roman"/>
          <w:lang w:val="sk"/>
        </w:rPr>
        <w:t xml:space="preserve"> a </w:t>
      </w:r>
      <w:r w:rsidRPr="00BC4FE1">
        <w:rPr>
          <w:rFonts w:ascii="Times New Roman" w:eastAsia="Times New Roman" w:hAnsi="Times New Roman" w:cs="Times New Roman"/>
          <w:i/>
          <w:iCs/>
          <w:lang w:val="sk"/>
        </w:rPr>
        <w:t>Strongyloides ransomi</w:t>
      </w:r>
      <w:r w:rsidRPr="00BC4FE1">
        <w:rPr>
          <w:rFonts w:ascii="Times New Roman" w:eastAsia="Times New Roman" w:hAnsi="Times New Roman" w:cs="Times New Roman"/>
          <w:lang w:val="sk"/>
        </w:rPr>
        <w:t xml:space="preserve"> (len dospelé formy).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u w:val="single"/>
          <w:lang w:val="sk"/>
        </w:rPr>
        <w:t>Kura domáca:</w:t>
      </w:r>
      <w:r w:rsidRPr="00BC4FE1">
        <w:rPr>
          <w:rFonts w:ascii="Times New Roman" w:eastAsia="Times New Roman" w:hAnsi="Times New Roman" w:cs="Times New Roman"/>
          <w:lang w:val="sk"/>
        </w:rPr>
        <w:t xml:space="preserve"> </w:t>
      </w:r>
      <w:r w:rsidRPr="00BC4FE1">
        <w:rPr>
          <w:rFonts w:ascii="Times New Roman" w:eastAsia="Times New Roman" w:hAnsi="Times New Roman" w:cs="Times New Roman"/>
          <w:i/>
          <w:iCs/>
          <w:lang w:val="sk"/>
        </w:rPr>
        <w:t>Ascaridia galli, Heterakis gallinarum, Capillaria spp</w:t>
      </w:r>
      <w:r w:rsidRPr="00BC4FE1">
        <w:rPr>
          <w:rFonts w:ascii="Times New Roman" w:eastAsia="Times New Roman" w:hAnsi="Times New Roman" w:cs="Times New Roman"/>
          <w:lang w:val="sk"/>
        </w:rPr>
        <w:t>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4.3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Kontraindikácie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Nepoužívať u holubov a papagájov.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Nepoužívať v prípadoch precitlivenosti na účinnú látku alebo na niektorú z pomocných látok.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4.4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Osobitné upozornenia pre každý cieľový druh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 xml:space="preserve">V prípade infekcie s klinickými príznakmi sa musia ošetriť všetky zvieratá, ktoré sú vo vzájomnom kontakte a musia sa prijať príslušné zoohygienické opatrenia. </w:t>
      </w:r>
    </w:p>
    <w:p w:rsidR="00BC4FE1" w:rsidRPr="00BC4FE1" w:rsidRDefault="00BC4FE1" w:rsidP="00BC4FE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Je potrebné vyhnúť sa týmto postupom, pretože zvyšujú riziko vzniku rezistencie a môžu v konečnom dôsledku viesť k neúčinnej liečbe:</w:t>
      </w:r>
    </w:p>
    <w:p w:rsidR="00BC4FE1" w:rsidRPr="00BC4FE1" w:rsidRDefault="00BC4FE1" w:rsidP="00BC4FE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-</w:t>
      </w:r>
      <w:r w:rsidRPr="00BC4FE1">
        <w:rPr>
          <w:rFonts w:ascii="Times New Roman" w:eastAsia="Times New Roman" w:hAnsi="Times New Roman" w:cs="Times New Roman"/>
          <w:lang w:val="sk"/>
        </w:rPr>
        <w:tab/>
        <w:t>Príliš časté a opakované používanie antihelmintík tej istej triedy v priebehu dlhého obdobia.</w:t>
      </w:r>
    </w:p>
    <w:p w:rsidR="00BC4FE1" w:rsidRPr="00BC4FE1" w:rsidRDefault="00BC4FE1" w:rsidP="00BC4FE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-</w:t>
      </w:r>
      <w:r w:rsidRPr="00BC4FE1">
        <w:rPr>
          <w:rFonts w:ascii="Times New Roman" w:eastAsia="Times New Roman" w:hAnsi="Times New Roman" w:cs="Times New Roman"/>
          <w:lang w:val="sk"/>
        </w:rPr>
        <w:tab/>
        <w:t>Poddávkovanie, ktoré môže vyplývať z hmotnosti, nesprávneho podávania lieku alebo z nedostatkov v kalibrácii dávkovacieho zariadenia (ak sa používa).</w:t>
      </w:r>
    </w:p>
    <w:p w:rsidR="00BC4FE1" w:rsidRPr="00BC4FE1" w:rsidRDefault="00BC4FE1" w:rsidP="00BC4FE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 xml:space="preserve">Podozrivé klinické prípady rezistencie na antihelmintiká je potrebné ďalej skúmať pomocou vhodných testov (napr. test redukcie počtu vajíčok v truse). Ak výsledky testu (testov) naznačujú výraznú rezistenciu voči určitému antihelmintiku, mali by sa použiť antihelmintiká patriace do inej farmakologickej triedy, ktorá má iný mechanizmus účinku. </w:t>
      </w:r>
    </w:p>
    <w:p w:rsidR="00BC4FE1" w:rsidRPr="00BC4FE1" w:rsidRDefault="00BC4FE1" w:rsidP="00BC4FE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Môže dôjsť k rozvoju odolnosti voči benzimidazolom (čo zahŕňa aj flubendazol) z dôvodu príliš častého a opakovaného používania antihelmintík tej istej triedy v priebehu dlhého obdobia. Používanie tohto lieku by preto malo vychádzať z miestnych (regionálnych, farmových) epidemiologických informácií o náchylnosti na háďatká a odporúčaní o tom, ako obmedziť ďalší výber v súvislosti s rezistenciou na antihelmintiká.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Del="00E86CEE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4.5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Osobitné bezpečnostné opatrenia na používanie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en-GB"/>
        </w:rPr>
      </w:pPr>
      <w:r w:rsidRPr="00BC4FE1">
        <w:rPr>
          <w:rFonts w:ascii="Times New Roman" w:eastAsia="Times New Roman" w:hAnsi="Times New Roman" w:cs="Times New Roman"/>
          <w:u w:val="single"/>
          <w:lang w:val="sk"/>
        </w:rPr>
        <w:t>Osobitné bezpečnostné opatrenia na používanie u zvierat</w:t>
      </w:r>
    </w:p>
    <w:p w:rsidR="00BC4FE1" w:rsidRPr="00BC4FE1" w:rsidRDefault="00BC4FE1" w:rsidP="00BC4FE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Neuplatňuje sa.</w:t>
      </w:r>
    </w:p>
    <w:p w:rsidR="00BC4FE1" w:rsidRPr="00BC4FE1" w:rsidRDefault="00BC4FE1" w:rsidP="00BC4F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en-GB"/>
        </w:rPr>
      </w:pPr>
      <w:r w:rsidRPr="00BC4FE1">
        <w:rPr>
          <w:rFonts w:ascii="Times New Roman" w:eastAsia="Times New Roman" w:hAnsi="Times New Roman" w:cs="Times New Roman"/>
          <w:u w:val="single"/>
          <w:lang w:val="sk"/>
        </w:rPr>
        <w:t>Osobitné bezpečnostné opatrenia, ktoré má urobiť osoba podávajúca liek zvieratám</w:t>
      </w:r>
    </w:p>
    <w:p w:rsidR="00BC4FE1" w:rsidRPr="00BC4FE1" w:rsidRDefault="00BC4FE1" w:rsidP="00BC4FE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Malo by sa zabrániť náhodnému požitiu ľuďmi. Pri kontakte s pokožkou môže spôsobiť senzibilizáciu. Môže spôsobiť podráždenie pokožky a očí. Zabráňte priamemu kontaktu s pokožkou. Ľudia so známou precitlivenosťou na flubendazol by sa mali vyhnúť kontaktu s týmto veterinárnym liekom.</w:t>
      </w:r>
    </w:p>
    <w:p w:rsidR="00BC4FE1" w:rsidRPr="00BC4FE1" w:rsidRDefault="00BC4FE1" w:rsidP="00BC4FE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Pri manipulácii s týmto veterinárnym liekom používajte osobné ochranné pomôcky skladajúce sa z ochranného odevu a nepriepustných rukavíc.</w:t>
      </w:r>
    </w:p>
    <w:p w:rsidR="00BC4FE1" w:rsidRPr="00BC4FE1" w:rsidRDefault="00BC4FE1" w:rsidP="00BC4F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Po kontakte s pokožkou umyte postihnuté časti. Ak dôjde k náhodnému kontaktu s očami, okamžite ich dôkladne vypláchnite vodou. Ak operácia zahŕňa potenciálne vystavenie prachu, použite jednorazový filter na pol</w:t>
      </w:r>
      <w:r>
        <w:rPr>
          <w:rFonts w:ascii="Times New Roman" w:eastAsia="Times New Roman" w:hAnsi="Times New Roman" w:cs="Times New Roman"/>
          <w:lang w:val="sk"/>
        </w:rPr>
        <w:t>o</w:t>
      </w:r>
      <w:r w:rsidRPr="00BC4FE1">
        <w:rPr>
          <w:rFonts w:ascii="Times New Roman" w:eastAsia="Times New Roman" w:hAnsi="Times New Roman" w:cs="Times New Roman"/>
          <w:lang w:val="sk"/>
        </w:rPr>
        <w:t>masku (respirátor), ktorý zodpovedá európskej norme EN 149, alebo respirátor na opakované použitie podľa európskej normy EN 140 vybavený filtrom podľa normy EN 143.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Ak sa po podaní lieku objavia alergické príznaky, napríklad kožná vyrážka, okamžite vyhľadajte lekársku pomoc a zdravotníkom ukážte písomnú informáciu pre používateľov. Opuch tváre, pier, viečok a sťažené dýchanie sú už vážne príznaky, ktoré vyžadujú okamžitú lekársku pomoc. Pri používaní lieku nejedzte, nepite a nefajčite. Po aplikácii si umyte ruky mydlom a vodou.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4.6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Nežiaduce účinky (frekvencia výskytu a závažnosť)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Žiadne známe pri terapeutickej dávke.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4.7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Použitie počas gravidity, laktácie, znášky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Môže sa používať počas gravidity.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Môže sa používať počas znášky.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Flubendazol nemá vplyv na liahnivosť vajec.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4.8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Liekové interakcie a iné formy vzájomného pôsobenia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Nie sú známe.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4.9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Dávkovanie a spôsob podania lieku</w:t>
      </w:r>
    </w:p>
    <w:p w:rsidR="00BC4FE1" w:rsidRPr="00BC4FE1" w:rsidRDefault="00BC4FE1" w:rsidP="00BC4FE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 xml:space="preserve">Perorálne podanie.  Iba na použitie v krmive. </w:t>
      </w:r>
    </w:p>
    <w:p w:rsidR="00BC4FE1" w:rsidRPr="00BC4FE1" w:rsidRDefault="00BC4FE1" w:rsidP="00BC4FE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Na zabezpečenie podania správnej dávky je potrebné stanoviť čo najpresnejšiu živú hmotnosť a skontrolovať presnosť dávkovacieho zariadenia.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Domáca ošípaná: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u w:val="single"/>
          <w:lang w:val="sk"/>
        </w:rPr>
        <w:t>Chovné zvieratá:</w:t>
      </w:r>
      <w:r w:rsidRPr="00BC4FE1">
        <w:rPr>
          <w:rFonts w:ascii="Times New Roman" w:eastAsia="Times New Roman" w:hAnsi="Times New Roman" w:cs="Times New Roman"/>
          <w:lang w:val="sk"/>
        </w:rPr>
        <w:t xml:space="preserve"> Štandardná odporúčaná celková dávka je 1 mg flubendazolu na kg živej hmotnosti a deň, čo predstavuje 1 gram Alphafluben 50 mg/g premix na medikáciu krmiva na každých 50 kg živej hmotnosti a deň počas 10 po sebe nasledujúcich dní.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u w:val="single"/>
          <w:lang w:val="sk"/>
        </w:rPr>
        <w:t>Odstavčatá a ošípané na výkrm:</w:t>
      </w:r>
      <w:r w:rsidRPr="00BC4FE1">
        <w:rPr>
          <w:rFonts w:ascii="Times New Roman" w:eastAsia="Times New Roman" w:hAnsi="Times New Roman" w:cs="Times New Roman"/>
          <w:lang w:val="sk"/>
        </w:rPr>
        <w:t xml:space="preserve"> Štandardná odporúčaná celková dávka je 1 mg flubendazolu na kg živej hmotnosti a deň, čo predstavuje 1 gram Alphafluben 50 mg/g premix na medikáciu krmiva na každých 50 kg živej hmotnosti a deň počas 5 po sebe nasledujúcich dní. V prípade silného zamorenia tenkohlavcom </w:t>
      </w:r>
      <w:r w:rsidRPr="00BC4FE1">
        <w:rPr>
          <w:rFonts w:ascii="Times New Roman" w:eastAsia="Times New Roman" w:hAnsi="Times New Roman" w:cs="Times New Roman"/>
          <w:i/>
          <w:iCs/>
          <w:lang w:val="sk"/>
        </w:rPr>
        <w:t>(Trichuris)</w:t>
      </w:r>
      <w:r w:rsidRPr="00BC4FE1">
        <w:rPr>
          <w:rFonts w:ascii="Times New Roman" w:eastAsia="Times New Roman" w:hAnsi="Times New Roman" w:cs="Times New Roman"/>
          <w:lang w:val="sk"/>
        </w:rPr>
        <w:t xml:space="preserve"> trvá liečba 10 po sebe nasledujúcich dní.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 xml:space="preserve">Pri príprave medikovaného krmiva sa musí brať do úvahy denná spotreba krmiva, ktorá závisí od klinického stavu a od živej hmotnosti liečených zvierat. Presné množstvo lieku, ktoré sa má pridať do </w:t>
      </w:r>
      <w:r w:rsidRPr="00BC4FE1">
        <w:rPr>
          <w:rFonts w:ascii="Times New Roman" w:eastAsia="Times New Roman" w:hAnsi="Times New Roman" w:cs="Times New Roman"/>
          <w:lang w:val="sk"/>
        </w:rPr>
        <w:lastRenderedPageBreak/>
        <w:t>krmiva, by sa preto malo vypočítať podľa nasledujúceho vzorca, aby sa zabezpečilo predtým uvedené dávkovanie:</w:t>
      </w:r>
    </w:p>
    <w:tbl>
      <w:tblPr>
        <w:tblW w:w="886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260"/>
        <w:gridCol w:w="2127"/>
        <w:gridCol w:w="3649"/>
      </w:tblGrid>
      <w:tr w:rsidR="00BC4FE1" w:rsidRPr="00BC4FE1" w:rsidTr="00D64F8F">
        <w:trPr>
          <w:cantSplit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C4FE1" w:rsidRPr="00BC4FE1" w:rsidRDefault="00BC4FE1" w:rsidP="00BC4FE1">
            <w:pPr>
              <w:tabs>
                <w:tab w:val="left" w:pos="567"/>
                <w:tab w:val="left" w:pos="603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20 mg veterinárneho lieku na kg živej hmotnosti a deň</w:t>
            </w: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Priemerná ošípaná</w:t>
            </w: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živá hmotnosť (kg)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= mg veterinárneho lieku na kg krmiva</w:t>
            </w: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C4FE1" w:rsidRPr="00BC4FE1" w:rsidTr="00D64F8F">
        <w:trPr>
          <w:cantSplit/>
        </w:trPr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Priemerný denný príjem krmiva (kg/zviera)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BC4FE1" w:rsidRPr="00BC4FE1" w:rsidRDefault="00BC4FE1" w:rsidP="00BC4F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lang w:val="en-GB"/>
        </w:rPr>
      </w:pPr>
    </w:p>
    <w:p w:rsidR="00BC4FE1" w:rsidRPr="00BC4FE1" w:rsidRDefault="00BC4FE1" w:rsidP="00BC4FE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GB"/>
        </w:rPr>
      </w:pPr>
    </w:p>
    <w:p w:rsidR="00BC4FE1" w:rsidRPr="00BC4FE1" w:rsidRDefault="00BC4FE1" w:rsidP="00BC4FE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Kura domáca:</w:t>
      </w:r>
      <w:r w:rsidRPr="00BC4FE1">
        <w:rPr>
          <w:rFonts w:ascii="Times New Roman" w:eastAsia="Times New Roman" w:hAnsi="Times New Roman" w:cs="Times New Roman"/>
          <w:lang w:val="sk"/>
        </w:rPr>
        <w:t xml:space="preserve"> </w:t>
      </w:r>
    </w:p>
    <w:p w:rsidR="00BC4FE1" w:rsidRPr="00BC4FE1" w:rsidRDefault="00BC4FE1" w:rsidP="00BC4FE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Štandardná odporúčaná celková dávka je 1,43 mg flubendazolu na kg živej hmotnosti a deň, čo zodpovedá 28,6 mg premixu Alphafluben 50 mg/g na medikované krmivo na každý kg živ</w:t>
      </w:r>
      <w:r>
        <w:rPr>
          <w:rFonts w:ascii="Times New Roman" w:eastAsia="Times New Roman" w:hAnsi="Times New Roman" w:cs="Times New Roman"/>
          <w:lang w:val="sk"/>
        </w:rPr>
        <w:t>e</w:t>
      </w:r>
      <w:r w:rsidRPr="00BC4FE1">
        <w:rPr>
          <w:rFonts w:ascii="Times New Roman" w:eastAsia="Times New Roman" w:hAnsi="Times New Roman" w:cs="Times New Roman"/>
          <w:lang w:val="sk"/>
        </w:rPr>
        <w:t>j hmotnosti a deň počas 7 po sebe nasledujúcich dní.</w:t>
      </w:r>
    </w:p>
    <w:p w:rsidR="00BC4FE1" w:rsidRPr="00BC4FE1" w:rsidRDefault="00BC4FE1" w:rsidP="00BC4FE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Pri príprave medikovaného krmiva sa musí brať do úvahy denná spotreba krmiva, ktorá závisí od klinického stavu a od živej hmotnosti liečených zvierat. Presné množstvo lieku, ktoré sa má pridať do krmiva, by sa preto malo vypočítať podľa nasledujúceho vzorca, aby sa zabezpečilo predtým uvedené dávkovanie: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tbl>
      <w:tblPr>
        <w:tblW w:w="886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260"/>
        <w:gridCol w:w="2127"/>
        <w:gridCol w:w="3649"/>
      </w:tblGrid>
      <w:tr w:rsidR="00BC4FE1" w:rsidRPr="00BC4FE1" w:rsidTr="00D64F8F">
        <w:trPr>
          <w:cantSplit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28,6 mg veterinárneho lieku na kg živej hmotnosti a deň</w:t>
            </w: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Priemerná kura</w:t>
            </w: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živá hmotnosť (kg)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= mg veterinárneho lieku na kg krmiva</w:t>
            </w: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C4FE1" w:rsidRPr="00BC4FE1" w:rsidTr="00D64F8F">
        <w:trPr>
          <w:cantSplit/>
        </w:trPr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Priemerný denný príjem krmiva (kg/zviera)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Tento veterinárny liek sa nesmie miešať s pitnou vodou ani tekutým krmivom.</w:t>
      </w:r>
    </w:p>
    <w:p w:rsidR="00BC4FE1" w:rsidRPr="00BC4FE1" w:rsidRDefault="00BC4FE1" w:rsidP="00BC4FE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Nestriekajte ho na granule ani zrno.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Ak sa majú zvieratá liečiť kolektívne, a nie individuálne, ošípané a kurčatá by sa mali zoskupiť podľa živej hmotnosti a podľa nej dostávať vhodné dávky, aby sa zabránilo poddávkovaniu alebo predávkovaniu.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Pred liečbou ani po nej nie je potrebná osobitná kontrola stravovania.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Liek sa nesmie používať v inej dávke, ako je predpísaná, a po dlhšiu dobu.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Veterinárny liek sa môže aplikovať do granulovaného krmiva pripraveného s vodnou parou pri teplote maximálne 85 °C.</w:t>
      </w:r>
    </w:p>
    <w:p w:rsidR="00BC4FE1" w:rsidRPr="00BC4FE1" w:rsidRDefault="00BC4FE1" w:rsidP="00BC4F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bCs/>
          <w:lang w:val="en-GB"/>
        </w:rPr>
      </w:pPr>
    </w:p>
    <w:p w:rsid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k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4.10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Predávkovanie (príznaky, núdzové postupy, antidotá), ak sú potrebné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 xml:space="preserve">U ošípaných 5 mg flubendazolu/kg živej hmotnosti alebo vyššia koncentrácia môže spôsobiť miernu hnačku (riedke výkaly). 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U kurčiat má flubendazol nízku akútnu orálnu toxicitu a je cieľovým druhom dobre tolerovaný.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4.11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Ochranné lehoty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 xml:space="preserve">Domáca ošípaná: </w:t>
      </w:r>
      <w:r w:rsidRPr="00BC4FE1">
        <w:rPr>
          <w:rFonts w:ascii="Times New Roman" w:eastAsia="Times New Roman" w:hAnsi="Times New Roman" w:cs="Times New Roman"/>
          <w:lang w:val="sk"/>
        </w:rPr>
        <w:t>Mäso a vnútornosti: 5 dní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 xml:space="preserve">Kura domáca: </w:t>
      </w:r>
      <w:r w:rsidRPr="00BC4FE1">
        <w:rPr>
          <w:rFonts w:ascii="Times New Roman" w:eastAsia="Times New Roman" w:hAnsi="Times New Roman" w:cs="Times New Roman"/>
          <w:lang w:val="sk"/>
        </w:rPr>
        <w:t>Mäso a vnútornosti: 3 dni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Vajcia: 0 dní.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5.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FARMAKOLOGICKÉ VLASTNOSTI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Farmakoterapeutická skupina: Benzimidazoly a pridružené látky; flubendazol.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ATCvet kód: QP52AC12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5.1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Farmakodynamické vlastnosti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lastRenderedPageBreak/>
        <w:t>Flubendazol je syntetické antihelmintikum z halogénovanej skupiny benzimidazolových karbamátov, ktoré účinkuje tak, že inhibuje mikrotubulárne usporiadanie v absorpčných bunkách nematód (hlístovcov). Benzimidazoly postupne vyčerpávajú energetické rezervy a inhibujú vylučovanie odpadových produktov a ochranných faktorov z buniek parazitov. Inhibícia bunkového transportu a energetického metabolizmu sú dôsledky depolymerizácie mikrotubúl.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Flubendazol pôsobí tak, že sa viaže na tubulín, dimérny podjednotkový proteín mikrotubúl.  Inhibuje mikrotubulárne usporiadanie v absorpčných bunkách, t. j. v črevných bunkách nematód.  To sa prejavuje miznutím cytoplazmatických mikrotubúl, akumuláciou sekrečných granúl v cytoplazme v dôsledku blokovania ich transportu, čo vedie k narušeniu povrchu bunkovej membrány a zníženému tráveniu a absorpcii živín.  Nezvratná lytická degenerácia bunky v dôsledku akumulácie sekrečných látok (hydrolytických a proteolytických enzýmov) vedie k smrti parazita.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 xml:space="preserve">Tieto zmeny sú relatívne rýchle a dochádza k nim predovšetkým v organelách, ktoré sa priamo podieľajú na sekrečných a absorpčných funkciách buniek.  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Na rozdiel od toho v bunkách hostiteľských zvierat k týmto zmenám nedochádza.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k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5.2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Farmakokinetické vlastnosti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Flubendazol sa vstrebáva z gastrointestinálneho traktu len veľmi slabo. To je vidieť aj z vysokej fekálnej exkrécie nezmeneného pôvodného lieku. Veľmi malá časť, ktorá sa absorbuje, sa následne rozsiahle metabolizuje v pečeni, čo zahŕňa hydrolýzu a redukciu. Produkty biotransformácie sa konjugujú s glukuronidmi alebo sulfátovými konjugátmi a vylučujú sa v malom množstve v žlči a moči. Vylučovanie močom je relatívne nízke a pozostáva takmer výlučne z metabolitov, iba s malým množstvom nezmenenej zlúčeniny.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U ošípaných sa najvyššie hladiny neabsorbovaného množstva v tkanivách namerajú v pečeni a obličkách. Polčas flubendazolu v tkanivách je 1 až 2 dni. U kurčiat je polčas flubendazolu v plazme a tkanivách 1 až 4 dni.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6.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FARMACEUTICKÉ ÚDAJE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6.1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Zoznam pomocných látok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Monohydrát laktózy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Oxid titaničitý (E171)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Laurylsulfát sodný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6.2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Závažné inkompatibility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V prípade absencie štúdií kompatibility sa tento veterinárny liek nesmie miešať s inými veterinárnymi liekmi.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6.3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Čas použiteľnosti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 xml:space="preserve">Čas použiteľnosti veterinárneho lieku zabaleného v neporušenom </w:t>
      </w:r>
      <w:r>
        <w:rPr>
          <w:rFonts w:ascii="Times New Roman" w:eastAsia="Times New Roman" w:hAnsi="Times New Roman" w:cs="Times New Roman"/>
          <w:lang w:val="sk"/>
        </w:rPr>
        <w:t>obale</w:t>
      </w:r>
      <w:r w:rsidRPr="00BC4FE1">
        <w:rPr>
          <w:rFonts w:ascii="Times New Roman" w:eastAsia="Times New Roman" w:hAnsi="Times New Roman" w:cs="Times New Roman"/>
          <w:lang w:val="sk"/>
        </w:rPr>
        <w:t>: 4 roky.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Čas použiteľnosti po prvom otvorení vnútorného obalu: 42 dní.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Čas použiteľnosti po zamiešaní do granulovaného krmiva: 3 mesiace.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k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6.4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Osobitné bezpečnostné opatrenia na uchovávanie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tabs>
          <w:tab w:val="left" w:pos="567"/>
        </w:tabs>
        <w:autoSpaceDE w:val="0"/>
        <w:autoSpaceDN w:val="0"/>
        <w:spacing w:after="0" w:line="260" w:lineRule="exact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Tento veterinárny liek nevyžaduje zvláštne podmienky uchovávania.</w:t>
      </w:r>
    </w:p>
    <w:p w:rsidR="00BC4FE1" w:rsidRPr="00BC4FE1" w:rsidRDefault="00BC4FE1" w:rsidP="00BC4FE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Neuchovávať v chladničke alebo mrazničke.</w:t>
      </w:r>
    </w:p>
    <w:p w:rsidR="00BC4FE1" w:rsidRPr="00BC4FE1" w:rsidRDefault="00BC4FE1" w:rsidP="00BC4FE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Otvorené vrecko skladujte pevne uzatvorené.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6.5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Charakter a zloženie vnútorného obalu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lastRenderedPageBreak/>
        <w:t>Trojvrstvové papierové vrecko s vnútornou vrstvou HDPE.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Veľkosť balenia: 12 kg premix na medikáciu krmiva.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6.6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Osobitné bezpečnostné opatrenia na zneškodňovanie nepoužitých veterinárnych liekov, prípadne odpadových materiálov vytvorených pri používaní týchto liekov.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Každý nepoužitý veterinárny liek alebo odpadové materiály z tohto veterinárneho lieku musia byť zlikvidované v súlade s miestnymi požiadavkami.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7.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DRŽITEĽ ROZHODNUTIA O REGISTRÁCII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ALPHA-VET Veterinary Ltd.</w:t>
      </w:r>
    </w:p>
    <w:p w:rsid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sk"/>
        </w:rPr>
      </w:pPr>
      <w:r w:rsidRPr="00BC4FE1">
        <w:rPr>
          <w:rFonts w:ascii="Times New Roman" w:eastAsia="Times New Roman" w:hAnsi="Times New Roman" w:cs="Times New Roman"/>
          <w:lang w:val="sk"/>
        </w:rPr>
        <w:t xml:space="preserve">1194 Budapešť, 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sk"/>
        </w:rPr>
      </w:pPr>
      <w:r w:rsidRPr="00BC4FE1">
        <w:rPr>
          <w:rFonts w:ascii="Times New Roman" w:eastAsia="Times New Roman" w:hAnsi="Times New Roman" w:cs="Times New Roman"/>
          <w:lang w:val="sk"/>
        </w:rPr>
        <w:t>Hofherr A. u. 42.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 xml:space="preserve">Maďarsko 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Telefónne číslo: +36/22-516-546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Číslo faxu (voliteľné): +36/22-516-546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 xml:space="preserve">E-mail: </w:t>
      </w:r>
      <w:hyperlink r:id="rId7" w:history="1">
        <w:r w:rsidRPr="00BC4FE1">
          <w:rPr>
            <w:rFonts w:ascii="Times New Roman" w:eastAsia="Times New Roman" w:hAnsi="Times New Roman" w:cs="Times New Roman"/>
            <w:color w:val="0000FF"/>
            <w:u w:val="single"/>
            <w:lang w:val="sk"/>
          </w:rPr>
          <w:t>alpha-vet@alpha-vet.hu</w:t>
        </w:r>
      </w:hyperlink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8.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REGISTRAČNÉ ČÍSLO</w:t>
      </w:r>
    </w:p>
    <w:p w:rsid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6E6464" w:rsidRPr="00BC4FE1" w:rsidRDefault="006E6464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lang w:val="en-GB"/>
        </w:rPr>
        <w:t>98/023/DC/20-S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9.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DÁTUM PRVEJ REGISTRÁCIE/PREDĹŽENIA REGISTRÁCIE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10.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DÁTUM REVÍZIE TEXTU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8000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ZÁKAZ PREDAJA, DODÁVOK A/ALEBO POUŽÍVANIA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Malo by sa zvážiť oficiálne usmernenie k zamiešavaniu medikovaných premixov do finálnych krmív.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br w:type="page"/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lastRenderedPageBreak/>
        <w:t>KOMBINOVANÉ OZNAČENIE A PÍSOMNÁ INFORMÁCIA PRE POUŽÍVATEĽOV:</w:t>
      </w:r>
    </w:p>
    <w:p w:rsidR="00BC4FE1" w:rsidRPr="00BC4FE1" w:rsidRDefault="00BC4FE1" w:rsidP="00BC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Alphafluben 50 mg/g premix na medikáciu krmiva pre ošípané a kurčatá</w:t>
      </w:r>
    </w:p>
    <w:p w:rsidR="00BC4FE1" w:rsidRPr="00BC4FE1" w:rsidRDefault="00BC4FE1" w:rsidP="00BC4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highlight w:val="lightGray"/>
          <w:lang w:val="sk"/>
        </w:rPr>
        <w:t>1.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NÁZOV A ADRESA DRŽITEĽA ROZHODNUTIA O REGISTRÁCII A DRŽITEĽA POVOLENIA NA VÝROBU ZODPOVEDNÉHO ZA UVOĽNENIE ŠARŽE, AK NIE SÚ IDENTICKÍ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sk"/>
        </w:rPr>
      </w:pPr>
      <w:r w:rsidRPr="00BC4FE1">
        <w:rPr>
          <w:rFonts w:ascii="Times New Roman" w:eastAsia="Times New Roman" w:hAnsi="Times New Roman" w:cs="Times New Roman"/>
          <w:u w:val="single"/>
          <w:lang w:val="sk"/>
        </w:rPr>
        <w:t>Držiteľ rozhodnutia o registrácii a výrobca</w:t>
      </w:r>
      <w:r w:rsidRPr="00BC4FE1">
        <w:rPr>
          <w:rFonts w:ascii="Times New Roman" w:eastAsia="Times New Roman" w:hAnsi="Times New Roman" w:cs="Times New Roman"/>
          <w:lang w:val="sk"/>
        </w:rPr>
        <w:t xml:space="preserve"> </w:t>
      </w:r>
      <w:r w:rsidRPr="00BC4FE1">
        <w:rPr>
          <w:rFonts w:ascii="Times New Roman" w:eastAsia="Times New Roman" w:hAnsi="Times New Roman" w:cs="Times New Roman"/>
          <w:u w:val="single"/>
          <w:lang w:val="sk"/>
        </w:rPr>
        <w:t>zodpovedný za uvoľnenie šarže</w:t>
      </w:r>
      <w:r w:rsidRPr="00BC4FE1">
        <w:rPr>
          <w:rFonts w:ascii="Times New Roman" w:eastAsia="Times New Roman" w:hAnsi="Times New Roman" w:cs="Times New Roman"/>
          <w:lang w:val="sk"/>
        </w:rPr>
        <w:t xml:space="preserve">: 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ALPHA-VET Veterinary Ltd., H-1194 Budape</w:t>
      </w:r>
      <w:r>
        <w:rPr>
          <w:rFonts w:ascii="Times New Roman" w:eastAsia="Times New Roman" w:hAnsi="Times New Roman" w:cs="Times New Roman"/>
          <w:lang w:val="sk"/>
        </w:rPr>
        <w:t>šť, Hofherr A. u. 42., Maďarsko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highlight w:val="lightGray"/>
          <w:lang w:val="sk"/>
        </w:rPr>
        <w:t>2.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NÁZOV VETERINÁRNEHO LIEKU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Alphafluben 50 mg/g premix na medikáciu krmiva pre ošípané a kurčatá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highlight w:val="lightGray"/>
          <w:lang w:val="sk"/>
        </w:rPr>
        <w:t>3.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OBSAH ÚČINNEJ LÁTKY(-OK) A INÝCH LÁTOK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 xml:space="preserve">Každý gram obsahuje: 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 xml:space="preserve">Účinná látka: 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 xml:space="preserve">Flubendazol </w:t>
      </w:r>
      <w:r w:rsidRPr="00BC4FE1">
        <w:rPr>
          <w:rFonts w:ascii="Times New Roman" w:eastAsia="Times New Roman" w:hAnsi="Times New Roman" w:cs="Times New Roman"/>
          <w:lang w:val="sk"/>
        </w:rPr>
        <w:tab/>
      </w:r>
      <w:r w:rsidRPr="00BC4FE1">
        <w:rPr>
          <w:rFonts w:ascii="Times New Roman" w:eastAsia="Times New Roman" w:hAnsi="Times New Roman" w:cs="Times New Roman"/>
          <w:lang w:val="sk"/>
        </w:rPr>
        <w:tab/>
      </w:r>
      <w:r w:rsidRPr="00BC4FE1">
        <w:rPr>
          <w:rFonts w:ascii="Times New Roman" w:eastAsia="Times New Roman" w:hAnsi="Times New Roman" w:cs="Times New Roman"/>
          <w:lang w:val="sk"/>
        </w:rPr>
        <w:tab/>
        <w:t>50 mg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Biely alebo béžovo biely prášok bez mechanických nečistôt, zrazenín alebo zhlukov.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highlight w:val="lightGray"/>
          <w:lang w:val="sk"/>
        </w:rPr>
        <w:t>4.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 xml:space="preserve"> 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LIEKOVÁ FORMA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Premix na medikáciu krmiva.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highlight w:val="lightGray"/>
          <w:lang w:val="sk"/>
        </w:rPr>
        <w:t>5.</w:t>
      </w:r>
      <w:r w:rsidRPr="00BC4FE1">
        <w:rPr>
          <w:rFonts w:ascii="Times New Roman" w:eastAsia="Times New Roman" w:hAnsi="Times New Roman" w:cs="Times New Roman"/>
          <w:lang w:val="sk"/>
        </w:rPr>
        <w:tab/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 xml:space="preserve"> VEĽKOSŤ BALENIA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12 kg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highlight w:val="lightGray"/>
          <w:lang w:val="sk"/>
        </w:rPr>
        <w:t>6.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INDIKÁCIA(-IE)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Na liečbu zamorenia spôsobeného zrelými aj nezrelými štádiami nasledujúcich nematód (hlístovcov):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u w:val="single"/>
          <w:lang w:val="sk"/>
        </w:rPr>
        <w:t>Domáca ošípaná:</w:t>
      </w:r>
      <w:r w:rsidRPr="00BC4FE1">
        <w:rPr>
          <w:rFonts w:ascii="Times New Roman" w:eastAsia="Times New Roman" w:hAnsi="Times New Roman" w:cs="Times New Roman"/>
          <w:lang w:val="sk"/>
        </w:rPr>
        <w:t xml:space="preserve"> </w:t>
      </w:r>
      <w:r w:rsidRPr="00BC4FE1">
        <w:rPr>
          <w:rFonts w:ascii="Times New Roman" w:eastAsia="Times New Roman" w:hAnsi="Times New Roman" w:cs="Times New Roman"/>
          <w:i/>
          <w:iCs/>
          <w:lang w:val="sk"/>
        </w:rPr>
        <w:t>Metastrongylus apri, Ascaris suum</w:t>
      </w:r>
      <w:r w:rsidRPr="00BC4FE1">
        <w:rPr>
          <w:rFonts w:ascii="Times New Roman" w:eastAsia="Times New Roman" w:hAnsi="Times New Roman" w:cs="Times New Roman"/>
          <w:lang w:val="sk"/>
        </w:rPr>
        <w:t xml:space="preserve">, </w:t>
      </w:r>
      <w:r w:rsidRPr="00BC4FE1">
        <w:rPr>
          <w:rFonts w:ascii="Times New Roman" w:eastAsia="Times New Roman" w:hAnsi="Times New Roman" w:cs="Times New Roman"/>
          <w:i/>
          <w:iCs/>
          <w:lang w:val="sk"/>
        </w:rPr>
        <w:t>Hyostrongylus rubidus</w:t>
      </w:r>
      <w:r w:rsidRPr="00BC4FE1">
        <w:rPr>
          <w:rFonts w:ascii="Times New Roman" w:eastAsia="Times New Roman" w:hAnsi="Times New Roman" w:cs="Times New Roman"/>
          <w:lang w:val="sk"/>
        </w:rPr>
        <w:t xml:space="preserve"> (červený žalúdkový červ), </w:t>
      </w:r>
      <w:r w:rsidRPr="00BC4FE1">
        <w:rPr>
          <w:rFonts w:ascii="Times New Roman" w:eastAsia="Times New Roman" w:hAnsi="Times New Roman" w:cs="Times New Roman"/>
          <w:i/>
          <w:iCs/>
          <w:lang w:val="sk"/>
        </w:rPr>
        <w:t>Oesophagostomum dentatum</w:t>
      </w:r>
      <w:r w:rsidRPr="00BC4FE1">
        <w:rPr>
          <w:rFonts w:ascii="Times New Roman" w:eastAsia="Times New Roman" w:hAnsi="Times New Roman" w:cs="Times New Roman"/>
          <w:lang w:val="sk"/>
        </w:rPr>
        <w:t xml:space="preserve">, </w:t>
      </w:r>
      <w:r w:rsidRPr="00BC4FE1">
        <w:rPr>
          <w:rFonts w:ascii="Times New Roman" w:eastAsia="Times New Roman" w:hAnsi="Times New Roman" w:cs="Times New Roman"/>
          <w:i/>
          <w:iCs/>
          <w:lang w:val="sk"/>
        </w:rPr>
        <w:t>Trichuris suis</w:t>
      </w:r>
      <w:r w:rsidRPr="00BC4FE1">
        <w:rPr>
          <w:rFonts w:ascii="Times New Roman" w:eastAsia="Times New Roman" w:hAnsi="Times New Roman" w:cs="Times New Roman"/>
          <w:lang w:val="sk"/>
        </w:rPr>
        <w:t xml:space="preserve"> a </w:t>
      </w:r>
      <w:r w:rsidRPr="00BC4FE1">
        <w:rPr>
          <w:rFonts w:ascii="Times New Roman" w:eastAsia="Times New Roman" w:hAnsi="Times New Roman" w:cs="Times New Roman"/>
          <w:i/>
          <w:iCs/>
          <w:lang w:val="sk"/>
        </w:rPr>
        <w:t>Strongyloides ransomi</w:t>
      </w:r>
      <w:r w:rsidRPr="00BC4FE1">
        <w:rPr>
          <w:rFonts w:ascii="Times New Roman" w:eastAsia="Times New Roman" w:hAnsi="Times New Roman" w:cs="Times New Roman"/>
          <w:lang w:val="sk"/>
        </w:rPr>
        <w:t xml:space="preserve"> (len dospelé formy).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u w:val="single"/>
          <w:lang w:val="sk"/>
        </w:rPr>
        <w:t>Kura domáca:</w:t>
      </w:r>
      <w:r w:rsidRPr="00BC4FE1">
        <w:rPr>
          <w:rFonts w:ascii="Times New Roman" w:eastAsia="Times New Roman" w:hAnsi="Times New Roman" w:cs="Times New Roman"/>
          <w:lang w:val="sk"/>
        </w:rPr>
        <w:t xml:space="preserve"> </w:t>
      </w:r>
      <w:r w:rsidRPr="00BC4FE1">
        <w:rPr>
          <w:rFonts w:ascii="Times New Roman" w:eastAsia="Times New Roman" w:hAnsi="Times New Roman" w:cs="Times New Roman"/>
          <w:i/>
          <w:iCs/>
          <w:lang w:val="sk"/>
        </w:rPr>
        <w:t>Ascaridia galli, Heterakis gallinarum, Capillaria spp</w:t>
      </w:r>
      <w:r w:rsidRPr="00BC4FE1">
        <w:rPr>
          <w:rFonts w:ascii="Times New Roman" w:eastAsia="Times New Roman" w:hAnsi="Times New Roman" w:cs="Times New Roman"/>
          <w:lang w:val="sk"/>
        </w:rPr>
        <w:t>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highlight w:val="lightGray"/>
          <w:lang w:val="sk"/>
        </w:rPr>
        <w:t>7.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KONTRAINDIKÁCIE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Nepoužívať u holubov a papagájov.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Nepoužívať v prípadoch precitlivenosti na účinnú látku alebo na niektorú z pomocných látok.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highlight w:val="lightGray"/>
          <w:lang w:val="sk"/>
        </w:rPr>
        <w:t>8.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NEŽIADUCE ÚČINKY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Žiadne známe pri terapeutickej dávke.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 xml:space="preserve">Ak zistíte akékoľvek nežiaduce účinky, aj tie, ktoré už nie sú uvedené v tejto písomnej informácii pre používateľov, alebo si myslíte, že liek je neúčinný, informujte vášho veterinárneho lekára. </w:t>
      </w:r>
    </w:p>
    <w:p w:rsidR="00BC4FE1" w:rsidRPr="00BC4FE1" w:rsidRDefault="00BC4FE1" w:rsidP="00BC4FE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en-GB"/>
        </w:rPr>
        <w:t>Prípadne nežiaduce účinky môžete nahlásiť národnej kompetentnej autorite {www.uskvbl.sk}.</w:t>
      </w:r>
    </w:p>
    <w:p w:rsidR="00BC4FE1" w:rsidRPr="00BC4FE1" w:rsidRDefault="00BC4FE1" w:rsidP="00BC4FE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val="sk"/>
        </w:rPr>
      </w:pPr>
    </w:p>
    <w:p w:rsidR="00BC4FE1" w:rsidRPr="00BC4FE1" w:rsidRDefault="00BC4FE1" w:rsidP="00BC4FE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highlight w:val="lightGray"/>
          <w:lang w:val="sk"/>
        </w:rPr>
        <w:t>9.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CIEĽOVÉ DRUHY ZVIERAT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Ošípané (ošípané na výkrm), kurčatá (brojlery).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highlight w:val="lightGray"/>
          <w:lang w:val="sk"/>
        </w:rPr>
        <w:t>10.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DÁVKOVANIE PRE KAŽDÝ DRUH, CESTA(-Y) A SPÔSOB PODANIA LIEKU</w:t>
      </w:r>
    </w:p>
    <w:p w:rsidR="00BC4FE1" w:rsidRPr="00BC4FE1" w:rsidRDefault="00BC4FE1" w:rsidP="00BC4FE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lastRenderedPageBreak/>
        <w:t>Perorálne podanie.  Iba na použitie v krmive.</w:t>
      </w:r>
    </w:p>
    <w:p w:rsidR="00BC4FE1" w:rsidRPr="00BC4FE1" w:rsidRDefault="00BC4FE1" w:rsidP="00BC4FE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Na zabezpečenie podania správnej dávky je potrebné stanoviť čo najpresnejšiu živú hmotnosť a skontrolovať presnosť dávkovacieho zariadenia.</w:t>
      </w:r>
    </w:p>
    <w:p w:rsidR="00BC4FE1" w:rsidRPr="00BC4FE1" w:rsidRDefault="00BC4FE1" w:rsidP="00BC4FE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Domáca ošípaná: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u w:val="single"/>
          <w:lang w:val="sk"/>
        </w:rPr>
        <w:t>Chovné zvieratá:</w:t>
      </w:r>
      <w:r w:rsidRPr="00BC4FE1">
        <w:rPr>
          <w:rFonts w:ascii="Times New Roman" w:eastAsia="Times New Roman" w:hAnsi="Times New Roman" w:cs="Times New Roman"/>
          <w:lang w:val="sk"/>
        </w:rPr>
        <w:t xml:space="preserve"> Štandardná odporúčaná celková dávka je 1 mg flubendazolu na kg živej hmotnosti a deň, čo predstavuje 1 gram Alphafluben 50 mg/g premix na medikáciu krmiva na každých 50 kg živej hmotnosti a deň počas 10 po sebe nasledujúcich dní.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u w:val="single"/>
          <w:lang w:val="sk"/>
        </w:rPr>
        <w:t>Odstavčatá a ošípané na výkrm:</w:t>
      </w:r>
      <w:r w:rsidRPr="00BC4FE1">
        <w:rPr>
          <w:rFonts w:ascii="Times New Roman" w:eastAsia="Times New Roman" w:hAnsi="Times New Roman" w:cs="Times New Roman"/>
          <w:lang w:val="sk"/>
        </w:rPr>
        <w:t xml:space="preserve"> Štandardná odporúčaná celková dávka je 1 mg flubendazolu na kg živej hmotnosti a deň, čo predstavuje 1 gram  Alphafluben 50 mg/g premix na medikáciu krmiva na každých 50 kg živej hmotnosti a deň počas 5 po sebe nasledujúcich dní. V prípade silného zamorenia tenkohlavcom </w:t>
      </w:r>
      <w:r w:rsidRPr="00BC4FE1">
        <w:rPr>
          <w:rFonts w:ascii="Times New Roman" w:eastAsia="Times New Roman" w:hAnsi="Times New Roman" w:cs="Times New Roman"/>
          <w:i/>
          <w:iCs/>
          <w:lang w:val="sk"/>
        </w:rPr>
        <w:t>(Trichuris)</w:t>
      </w:r>
      <w:r w:rsidRPr="00BC4FE1">
        <w:rPr>
          <w:rFonts w:ascii="Times New Roman" w:eastAsia="Times New Roman" w:hAnsi="Times New Roman" w:cs="Times New Roman"/>
          <w:lang w:val="sk"/>
        </w:rPr>
        <w:t xml:space="preserve"> trvá liečba 10 po sebe nasledujúcich dní.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Pri príprave medikovaného krmiva sa musí brať do úvahy denná spotreba krmiva, ktorá závisí od klinického stavu a od živej hmotnosti liečených zvierat. Presné množstvo produktu, ktoré sa má pridať do krmiva, by sa preto malo vypočítať podľa nasledujúceho vzorca, aby sa zabezpečilo predtým uvedené dávkovanie: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tbl>
      <w:tblPr>
        <w:tblW w:w="886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260"/>
        <w:gridCol w:w="2127"/>
        <w:gridCol w:w="3649"/>
      </w:tblGrid>
      <w:tr w:rsidR="00BC4FE1" w:rsidRPr="00BC4FE1" w:rsidTr="00D64F8F">
        <w:trPr>
          <w:cantSplit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C4FE1" w:rsidRPr="00BC4FE1" w:rsidRDefault="00BC4FE1" w:rsidP="00BC4FE1">
            <w:pPr>
              <w:tabs>
                <w:tab w:val="left" w:pos="567"/>
                <w:tab w:val="left" w:pos="603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20 mg veterinárneho lieku na kg živej hmotnosti a deň</w:t>
            </w: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Priemerná ošípaná</w:t>
            </w: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živá hmotnosť (kg)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= mg veterinárneho lieku na kg krmiva</w:t>
            </w: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C4FE1" w:rsidRPr="00BC4FE1" w:rsidTr="00D64F8F">
        <w:trPr>
          <w:cantSplit/>
        </w:trPr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Priemerný denný príjem krmiva (kg/zviera)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BC4FE1" w:rsidRPr="00BC4FE1" w:rsidRDefault="00BC4FE1" w:rsidP="00BC4FE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Cs/>
          <w:lang w:val="en-GB"/>
        </w:rPr>
      </w:pPr>
    </w:p>
    <w:p w:rsidR="00BC4FE1" w:rsidRPr="00BC4FE1" w:rsidRDefault="00BC4FE1" w:rsidP="00BC4FE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GB"/>
        </w:rPr>
      </w:pPr>
    </w:p>
    <w:p w:rsidR="00BC4FE1" w:rsidRPr="00BC4FE1" w:rsidRDefault="00BC4FE1" w:rsidP="00BC4FE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>Kura domáca:</w:t>
      </w:r>
      <w:r w:rsidRPr="00BC4FE1">
        <w:rPr>
          <w:rFonts w:ascii="Times New Roman" w:eastAsia="Times New Roman" w:hAnsi="Times New Roman" w:cs="Times New Roman"/>
          <w:lang w:val="sk"/>
        </w:rPr>
        <w:t xml:space="preserve"> </w:t>
      </w:r>
    </w:p>
    <w:p w:rsidR="00BC4FE1" w:rsidRPr="00BC4FE1" w:rsidRDefault="00BC4FE1" w:rsidP="00BC4FE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Štandardná odporúčaná celková dávka je 1,43 mg flubendazolu na kg živej hmotnosti a deň, čo zodpovedá 28,6 mg  Alphafluben 50 mg/g premix na medikáciu krmiva na každý kg živej hmotnosti a deň počas 7 po sebe nasledujúcich dní.</w:t>
      </w:r>
    </w:p>
    <w:p w:rsidR="00BC4FE1" w:rsidRPr="00BC4FE1" w:rsidRDefault="00BC4FE1" w:rsidP="00BC4FE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Pri príprave medikovaného krmiva sa musí brať do úvahy denná spotreba krmiva, ktorá závisí od klinického stavu a od živej hmotnosti liečených zvierat. Presné množstvo lieku, ktoré sa má pridať do krmiva, by sa preto malo vypočítať podľa nasledujúceho vzorca, aby sa zabezpečilo predtým uvedené dávkovanie: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tbl>
      <w:tblPr>
        <w:tblW w:w="8869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260"/>
        <w:gridCol w:w="2127"/>
        <w:gridCol w:w="3649"/>
      </w:tblGrid>
      <w:tr w:rsidR="00BC4FE1" w:rsidRPr="00BC4FE1" w:rsidTr="00D64F8F">
        <w:trPr>
          <w:cantSplit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28,6 mg veterinárneho lieku na kg živej hmotnosti a deň</w:t>
            </w: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Priemerná kura</w:t>
            </w: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živá hmotnosť (kg)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= mg veterinárneho lieku na kg krmiva</w:t>
            </w: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C4FE1" w:rsidRPr="00BC4FE1" w:rsidTr="00D64F8F">
        <w:trPr>
          <w:cantSplit/>
        </w:trPr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C4FE1" w:rsidRPr="00BC4FE1" w:rsidRDefault="00BC4FE1" w:rsidP="00BC4FE1">
            <w:pPr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C4FE1">
              <w:rPr>
                <w:rFonts w:ascii="Times New Roman" w:eastAsia="Times New Roman" w:hAnsi="Times New Roman" w:cs="Times New Roman"/>
                <w:lang w:val="sk"/>
              </w:rPr>
              <w:t>Priemerný denný príjem krmiva (kg/zviera)</w:t>
            </w:r>
          </w:p>
        </w:tc>
        <w:tc>
          <w:tcPr>
            <w:tcW w:w="3649" w:type="dxa"/>
            <w:tcBorders>
              <w:top w:val="nil"/>
              <w:left w:val="nil"/>
              <w:bottom w:val="nil"/>
              <w:right w:val="nil"/>
            </w:tcBorders>
          </w:tcPr>
          <w:p w:rsidR="00BC4FE1" w:rsidRPr="00BC4FE1" w:rsidRDefault="00BC4FE1" w:rsidP="00BC4FE1">
            <w:pPr>
              <w:widowControl w:val="0"/>
              <w:tabs>
                <w:tab w:val="left" w:pos="567"/>
              </w:tabs>
              <w:spacing w:after="0" w:line="260" w:lineRule="exact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Tento veterinárny liek sa nesmie miešať s pitnou vodou ani tekutým krmivom.</w:t>
      </w:r>
    </w:p>
    <w:p w:rsidR="00BC4FE1" w:rsidRPr="00BC4FE1" w:rsidRDefault="00BC4FE1" w:rsidP="00BC4FE1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Nestriekajte ho na granule ani zrno.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Ak sa majú zvieratá liečiť kolektívne, a nie individuálne, ošípané a kurčatá by sa mali zoskupiť podľa živej hmotnosti a podľa nej dostávať vhodné dávky, aby sa zabránilo poddávkovaniu alebo predávkovaniu.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Pred liečbou ani po nej nie je potrebná osobitná kontrola stravovania.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Liek sa nesmie používať v inej dávke, ako je predpísaná, a po dlhšiu dobu.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en-GB"/>
        </w:rPr>
      </w:pPr>
    </w:p>
    <w:p w:rsidR="00BC4FE1" w:rsidRPr="00BC4FE1" w:rsidRDefault="00BC4FE1" w:rsidP="00BC4FE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highlight w:val="lightGray"/>
          <w:lang w:val="sk"/>
        </w:rPr>
        <w:t>11.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POKYN O SPRÁVNOM PODANÍ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Veterinárny liek nepoužívajte, ak spozorujete viditeľné známky jeho poškodenia.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70C0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 xml:space="preserve">Veterinárny liek sa môže aplikovať do granulovaného krmiva pripraveného s vodnou parou pri teplote maximálne 85 °C. </w:t>
      </w:r>
    </w:p>
    <w:p w:rsidR="00BC4FE1" w:rsidRPr="00BC4FE1" w:rsidRDefault="00BC4FE1" w:rsidP="00BC4FE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</w:p>
    <w:p w:rsidR="00BC4FE1" w:rsidRPr="00BC4FE1" w:rsidRDefault="00BC4FE1" w:rsidP="00BC4FE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highlight w:val="lightGray"/>
          <w:lang w:val="sk"/>
        </w:rPr>
        <w:t>12.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OCHRANNÁ LEHOTA(-Y)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 xml:space="preserve">Domáca ošípaná: </w:t>
      </w:r>
      <w:r w:rsidRPr="00BC4FE1">
        <w:rPr>
          <w:rFonts w:ascii="Times New Roman" w:eastAsia="Times New Roman" w:hAnsi="Times New Roman" w:cs="Times New Roman"/>
          <w:lang w:val="sk"/>
        </w:rPr>
        <w:t>Mäso a vnútornosti: 5 dní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lang w:val="sk"/>
        </w:rPr>
        <w:t xml:space="preserve">Kura domáca: </w:t>
      </w:r>
      <w:r w:rsidRPr="00BC4FE1">
        <w:rPr>
          <w:rFonts w:ascii="Times New Roman" w:eastAsia="Times New Roman" w:hAnsi="Times New Roman" w:cs="Times New Roman"/>
          <w:lang w:val="sk"/>
        </w:rPr>
        <w:t>Mäso a vnútornosti: 3 dní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Vajcia: 0 dní.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val="en-GB"/>
        </w:rPr>
      </w:pPr>
    </w:p>
    <w:p w:rsidR="00BC4FE1" w:rsidRPr="00BC4FE1" w:rsidRDefault="00BC4FE1" w:rsidP="00BC4FE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highlight w:val="lightGray"/>
          <w:lang w:val="sk"/>
        </w:rPr>
        <w:t>13.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OSOBITNÉ BEZPEČNOSTNÉ OPATRENIA NA UCHOVÁVANIE</w:t>
      </w:r>
    </w:p>
    <w:p w:rsidR="00BC4FE1" w:rsidRPr="00BC4FE1" w:rsidRDefault="00BC4FE1" w:rsidP="00BC4FE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Uchovávať mimo dohľadu a dosahu detí.</w:t>
      </w:r>
    </w:p>
    <w:p w:rsidR="00BC4FE1" w:rsidRPr="00BC4FE1" w:rsidRDefault="00BC4FE1" w:rsidP="00BC4FE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Tento veterinárny liek nevyžaduje zvláštne podmienky uchovávania.</w:t>
      </w:r>
    </w:p>
    <w:p w:rsidR="00BC4FE1" w:rsidRPr="00BC4FE1" w:rsidRDefault="00BC4FE1" w:rsidP="00BC4FE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Neuchovávať v chladničke alebo mrazničke.</w:t>
      </w:r>
    </w:p>
    <w:p w:rsidR="00BC4FE1" w:rsidRPr="00BC4FE1" w:rsidRDefault="00BC4FE1" w:rsidP="00BC4FE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Nepoužívať tento veterinárny liek po dátume exspirácie uvedenom na obale po „EXP“. Dátum exspirácie sa vzťahuje na posledný deň v uvedenom mesiaci.</w:t>
      </w:r>
    </w:p>
    <w:p w:rsidR="00BC4FE1" w:rsidRPr="00BC4FE1" w:rsidRDefault="00BC4FE1" w:rsidP="00BC4FE1">
      <w:pPr>
        <w:tabs>
          <w:tab w:val="left" w:pos="567"/>
        </w:tabs>
        <w:spacing w:after="0" w:line="260" w:lineRule="exact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Otvorené vrecko skladujte pevne uzatvorené.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highlight w:val="lightGray"/>
          <w:lang w:val="sk"/>
        </w:rPr>
        <w:t>14.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OSOBITNÉ UPOZORNENIA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u w:val="single"/>
          <w:lang w:val="sk"/>
        </w:rPr>
        <w:t>Osobitné bezpečnostné opatrenia pre každý cieľový druh: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V prípade infekcie s klinickými príznakmi sa musia ošetriť všetky zvieratá, ktoré sú vo vzájomnom kontakte a musia sa prijať príslušné zoohygienické opatrenia.</w:t>
      </w:r>
    </w:p>
    <w:p w:rsidR="00BC4FE1" w:rsidRPr="00BC4FE1" w:rsidRDefault="00BC4FE1" w:rsidP="00BC4FE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Je potrebné vyhnúť sa týmto postupom, pretože zvyšujú riziko vzniku rezistencie a môžu v konečnom dôsledku viesť k neúčinnej liečbe:</w:t>
      </w:r>
    </w:p>
    <w:p w:rsidR="00BC4FE1" w:rsidRPr="00BC4FE1" w:rsidRDefault="00BC4FE1" w:rsidP="00BC4FE1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Príliš časté a opakované používanie antihelmintík tej istej triedy v priebehu dlhého obdobia.</w:t>
      </w:r>
    </w:p>
    <w:p w:rsidR="00BC4FE1" w:rsidRPr="00BC4FE1" w:rsidRDefault="00BC4FE1" w:rsidP="00BC4FE1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Poddávkovanie, ktoré môže vyplývať z hmotnosti, nesprávneho podávania lieku alebo z nedostatkov v kalibrácii dávkovacieho zariadenia (ak sa používa).</w:t>
      </w:r>
    </w:p>
    <w:p w:rsidR="00BC4FE1" w:rsidRPr="00BC4FE1" w:rsidRDefault="00BC4FE1" w:rsidP="00BC4F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 xml:space="preserve">Podozrivé klinické prípady rezistencie na antihelmintiká je potrebné ďalej skúmať pomocou vhodných testov (napr. test redukcie počtu vajíčok v truse). Ak výsledky testu (testov) naznačujú výraznú rezistenciu voči určitému antihelmintiku, mali by sa použiť antihelmintiká patriace do inej farmakologickej triedy, ktorá má iný mechanizmus účinku. </w:t>
      </w:r>
    </w:p>
    <w:p w:rsidR="00BC4FE1" w:rsidRPr="00BC4FE1" w:rsidRDefault="00BC4FE1" w:rsidP="00BC4F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Môže dôjsť k rozvoju odolnosti voči benzimidazolom (čo zahŕňa aj flubendazol) z dôvodu príliš častého a opakovaného používania antihelmintík tej istej triedy v priebehu dlhého obdobia. Používanie tohto lieku by preto malo vychádzať z miestnych (regionálnych, farmových) epidemiologických informácií o náchylnosti na háďatká a odporúčaní o tom, ako obmedziť ďalší výber v súvislosti s rezistenciou na antihelmintiká.</w:t>
      </w:r>
    </w:p>
    <w:p w:rsidR="00BC4FE1" w:rsidRPr="00BC4FE1" w:rsidRDefault="00BC4FE1" w:rsidP="00BC4FE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rPr>
          <w:rFonts w:ascii="Times New Roman" w:eastAsia="Times New Roman" w:hAnsi="Times New Roman" w:cs="Times New Roman"/>
          <w:u w:val="single"/>
          <w:lang w:val="en-GB"/>
        </w:rPr>
      </w:pPr>
      <w:r w:rsidRPr="00BC4FE1">
        <w:rPr>
          <w:rFonts w:ascii="Times New Roman" w:eastAsia="Times New Roman" w:hAnsi="Times New Roman" w:cs="Times New Roman"/>
          <w:u w:val="single"/>
          <w:lang w:val="sk"/>
        </w:rPr>
        <w:t>Osobitné bezpečnostné opatrenia na používanie u zvierat:</w:t>
      </w:r>
    </w:p>
    <w:p w:rsidR="00BC4FE1" w:rsidRPr="00BC4FE1" w:rsidRDefault="00BC4FE1" w:rsidP="00BC4FE1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Neuplatňuje sa.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u w:val="single"/>
          <w:lang w:val="sk"/>
        </w:rPr>
        <w:t>Osobitné bezpečnostné opatrenia, ktoré má urobiť osoba podávajúca liek zvieratám</w:t>
      </w:r>
      <w:r w:rsidRPr="00BC4FE1">
        <w:rPr>
          <w:rFonts w:ascii="Times New Roman" w:eastAsia="Times New Roman" w:hAnsi="Times New Roman" w:cs="Times New Roman"/>
          <w:lang w:val="sk"/>
        </w:rPr>
        <w:t>:</w:t>
      </w:r>
    </w:p>
    <w:p w:rsidR="00BC4FE1" w:rsidRPr="00BC4FE1" w:rsidRDefault="00BC4FE1" w:rsidP="00BC4F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Malo by sa zabrániť náhodnému požitiu ľuďmi. Pri kontakte s pokožkou môže spôsobiť senzibilizáciu. Môže spôsobiť podráždenie pokožky a očí. Zabráňte priamemu kontaktu s pokožkou. Ľudia so známou precitlivenosťou na flubendazol by sa mali vyhnúť kontaktu s týmto veterinárnym liekom.</w:t>
      </w:r>
    </w:p>
    <w:p w:rsidR="00BC4FE1" w:rsidRPr="00BC4FE1" w:rsidRDefault="00BC4FE1" w:rsidP="00BC4F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Pri manipulácii s veterinárnym liekom používajte osobné ochranné pomôcky skladajúce sa z ochranného odevu a nepriepustných rukavíc. Po kontakte s pokožkou umyte postihnuté časti. Ak dôjde k náhodnému kontaktu s očami, okamžite ich dôkladne vypláchnite vodou. Ak operácia zahŕňa potenciálne vystavenie prachu, použite jednorazový filter na pol</w:t>
      </w:r>
      <w:r>
        <w:rPr>
          <w:rFonts w:ascii="Times New Roman" w:eastAsia="Times New Roman" w:hAnsi="Times New Roman" w:cs="Times New Roman"/>
          <w:lang w:val="sk"/>
        </w:rPr>
        <w:t>o</w:t>
      </w:r>
      <w:r w:rsidRPr="00BC4FE1">
        <w:rPr>
          <w:rFonts w:ascii="Times New Roman" w:eastAsia="Times New Roman" w:hAnsi="Times New Roman" w:cs="Times New Roman"/>
          <w:lang w:val="sk"/>
        </w:rPr>
        <w:t>masku (respirátor), ktorý zodpovedá európskej norme EN 149, alebo respirátor na opakované použitie podľa európskej normy EN 140 vybavený filtrom podľa normy EN 143.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Ak sa po podaní lieku objavia alergické príznaky, napríklad kožná vyrážka, okamžite vyhľadajte lekársku pomoc a zdravotníkom ukážte písomnú informáciu pre používateľov. Opuch tváre, pier, viečok a sťažené dýchanie sú už vážne príznaky, ktoré vyžadujú okamžitú lekársku pomoc. Pri manipulácii s liekom nejedzte, nepite a nefajčite. Po použití produktu alebo medikovaného krmiva si dôkladne umyte ruky mydlom a vodou.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u w:val="single"/>
          <w:lang w:val="sk"/>
        </w:rPr>
        <w:t>Gravidita:</w:t>
      </w:r>
      <w:r w:rsidRPr="00BC4FE1">
        <w:rPr>
          <w:rFonts w:ascii="Times New Roman" w:eastAsia="Times New Roman" w:hAnsi="Times New Roman" w:cs="Times New Roman"/>
          <w:lang w:val="sk"/>
        </w:rPr>
        <w:t xml:space="preserve"> 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Môže sa používať počas gravidity.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en-GB"/>
        </w:rPr>
      </w:pPr>
      <w:r w:rsidRPr="00BC4FE1">
        <w:rPr>
          <w:rFonts w:ascii="Times New Roman" w:eastAsia="Times New Roman" w:hAnsi="Times New Roman" w:cs="Times New Roman"/>
          <w:u w:val="single"/>
          <w:lang w:val="sk"/>
        </w:rPr>
        <w:t>Znáška: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Môže sa používať počas znášky.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Flubendazol nemá vplyv na liahnivosť vajec.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en-GB"/>
        </w:rPr>
      </w:pPr>
      <w:r w:rsidRPr="00BC4FE1">
        <w:rPr>
          <w:rFonts w:ascii="Times New Roman" w:eastAsia="Times New Roman" w:hAnsi="Times New Roman" w:cs="Times New Roman"/>
          <w:u w:val="single"/>
          <w:lang w:val="sk"/>
        </w:rPr>
        <w:t>Liekové interakcie a iné formy vzájomného pôsobenia: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 xml:space="preserve">Nie sú dostupné údaje. 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u w:val="single"/>
          <w:lang w:val="sk"/>
        </w:rPr>
        <w:t>Predávkovanie (príznaky, núdzové postupy, antidotá)</w:t>
      </w:r>
      <w:r w:rsidRPr="00BC4FE1">
        <w:rPr>
          <w:rFonts w:ascii="Times New Roman" w:eastAsia="Times New Roman" w:hAnsi="Times New Roman" w:cs="Times New Roman"/>
          <w:lang w:val="sk"/>
        </w:rPr>
        <w:t>: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U ošípaných 5 mg flubendazolu/kg živej hmotnosti alebo vyššia koncentrácia môže spôsobiť miernu hnačku (riedke výkaly). U kurčiat má flubendazol nízku akútnu orálnu toxicitu a je cieľovým druhom dobre tolerovaný.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u w:val="single"/>
          <w:lang w:val="sk"/>
        </w:rPr>
        <w:t>Inkompatibility</w:t>
      </w:r>
      <w:r w:rsidRPr="00BC4FE1">
        <w:rPr>
          <w:rFonts w:ascii="Times New Roman" w:eastAsia="Times New Roman" w:hAnsi="Times New Roman" w:cs="Times New Roman"/>
          <w:lang w:val="sk"/>
        </w:rPr>
        <w:t>: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V prípade absencie štúdií kompatibility sa tento veterinárny liek nesmie miešať s inými veterinárnymi liekmi.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val="en-GB"/>
        </w:rPr>
      </w:pPr>
    </w:p>
    <w:p w:rsidR="00BC4FE1" w:rsidRPr="00BC4FE1" w:rsidRDefault="00BC4FE1" w:rsidP="00BC4FE1">
      <w:pPr>
        <w:keepNext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highlight w:val="lightGray"/>
          <w:lang w:val="sk"/>
        </w:rPr>
        <w:t>15.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OSOBITNÉ BEZPEČNOSTNÉ OPATRENIA NA ZNEŠKODNENIE NEPOUŽITÉHO LIEKU(-OV) ALEBO ODPADOVÉHO MATERIÁLU, V PRÍPADE POTREBY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Požiadajte svojho veterinárneho lekára, aby vám poskytol informácie o likvidácii liečiv, ktoré už nepotrebujete. Tieto opatrenia slúžia na ochranu životného prostredia. Lieky sa nesmú likvidovať v odpadovej vode alebo s domovým odpadom.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highlight w:val="lightGray"/>
          <w:lang w:val="sk"/>
        </w:rPr>
        <w:t>16.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DÁTUM POSLEDNÉHO SCHVÁLENIA OZNAČENIA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highlight w:val="lightGray"/>
          <w:lang w:val="sk"/>
        </w:rPr>
        <w:t>17.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ĎALŠIE INFORMÁCIE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Nádoba: Trojvrstvové papierové vrecko s vnútornou vrstvou HDPE.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Veľkosť balenia: 12 kg premix na medikáciu krmiva.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Malo by sa zvážiť oficiálne usmernenie k zamiešavaniu medikovaných premixov do finálnych krmív.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Ak potrebujete akúkoľvek informáciu o tomto veterinárnom lieku, kontaktujte miestneho zástupcu držiteľa rozhodnutia o registrácii.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highlight w:val="lightGray"/>
          <w:lang w:val="sk"/>
        </w:rPr>
        <w:t>18.</w:t>
      </w:r>
      <w:r w:rsidRPr="00BC4FE1">
        <w:rPr>
          <w:rFonts w:ascii="Times New Roman" w:eastAsia="Times New Roman" w:hAnsi="Times New Roman" w:cs="Times New Roman"/>
          <w:lang w:val="sk"/>
        </w:rPr>
        <w:t xml:space="preserve"> </w:t>
      </w:r>
      <w:r w:rsidRPr="00BC4FE1">
        <w:rPr>
          <w:rFonts w:ascii="Times New Roman" w:eastAsia="Times New Roman" w:hAnsi="Times New Roman" w:cs="Times New Roman"/>
          <w:lang w:val="sk"/>
        </w:rPr>
        <w:tab/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>OZNAČENIE „LEN PRE ZVIERATÁ“ A PODMIENKY ALEBO OBMEDZENIA TÝKAJÚCE SA DODÁVKY A POUŽITIA, AK SA UPLATŇUJÚ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Len pre zvieratá. Výdaj lieku je viazaný na veterinárny predpis.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highlight w:val="lightGray"/>
          <w:lang w:val="sk"/>
        </w:rPr>
        <w:t>19.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OZNAČENIE „UCHOVÁVAŤ MIMO DOHĽADU A DOSAHU DETÍ“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Uchovávať mimo dohľadu a dosahu detí.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highlight w:val="lightGray"/>
          <w:lang w:val="sk"/>
        </w:rPr>
        <w:t>20.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DÁTUM EXSPIRÁCIE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EXP {mesiac/rok}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Čas použiteľnosti po prvom otvorení vnútorného obalu:  42 dní.</w:t>
      </w:r>
    </w:p>
    <w:p w:rsid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sk"/>
        </w:rPr>
      </w:pPr>
      <w:r w:rsidRPr="00BC4FE1">
        <w:rPr>
          <w:rFonts w:ascii="Times New Roman" w:eastAsia="Times New Roman" w:hAnsi="Times New Roman" w:cs="Times New Roman"/>
          <w:lang w:val="sk"/>
        </w:rPr>
        <w:t>Čas použiteľnosti po zamiešaní do granulovaného krmiva:  3 mesiace.</w:t>
      </w:r>
    </w:p>
    <w:p w:rsidR="006E6464" w:rsidRDefault="006E6464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sk"/>
        </w:rPr>
      </w:pPr>
    </w:p>
    <w:p w:rsidR="006E6464" w:rsidRPr="00BC4FE1" w:rsidRDefault="006E6464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bookmarkStart w:id="0" w:name="_GoBack"/>
      <w:bookmarkEnd w:id="0"/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 xml:space="preserve"> </w:t>
      </w:r>
    </w:p>
    <w:p w:rsid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k"/>
        </w:rPr>
      </w:pPr>
      <w:r w:rsidRPr="00BC4FE1">
        <w:rPr>
          <w:rFonts w:ascii="Times New Roman" w:eastAsia="Times New Roman" w:hAnsi="Times New Roman" w:cs="Times New Roman"/>
          <w:b/>
          <w:bCs/>
          <w:highlight w:val="lightGray"/>
          <w:lang w:val="sk"/>
        </w:rPr>
        <w:lastRenderedPageBreak/>
        <w:t>21.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 xml:space="preserve">REGISTRAČNÉ ČÍSLO </w:t>
      </w:r>
    </w:p>
    <w:p w:rsidR="006E6464" w:rsidRDefault="006E6464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sk"/>
        </w:rPr>
      </w:pPr>
    </w:p>
    <w:p w:rsidR="00BC4FE1" w:rsidRPr="00BC4FE1" w:rsidRDefault="006E6464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  <w:r w:rsidRPr="006E6464">
        <w:rPr>
          <w:rFonts w:ascii="Times New Roman" w:eastAsia="Times New Roman" w:hAnsi="Times New Roman" w:cs="Times New Roman"/>
          <w:bCs/>
          <w:lang w:val="sk"/>
        </w:rPr>
        <w:t>98/023/DC/20-S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BC4FE1">
        <w:rPr>
          <w:rFonts w:ascii="Times New Roman" w:eastAsia="Times New Roman" w:hAnsi="Times New Roman" w:cs="Times New Roman"/>
          <w:b/>
          <w:bCs/>
          <w:highlight w:val="lightGray"/>
          <w:lang w:val="sk"/>
        </w:rPr>
        <w:t>22.</w:t>
      </w:r>
      <w:r w:rsidRPr="00BC4FE1">
        <w:rPr>
          <w:rFonts w:ascii="Times New Roman" w:eastAsia="Times New Roman" w:hAnsi="Times New Roman" w:cs="Times New Roman"/>
          <w:b/>
          <w:bCs/>
          <w:lang w:val="sk"/>
        </w:rPr>
        <w:tab/>
        <w:t>ČÍSLO VÝROBNEJ ŠARŽE</w:t>
      </w: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BC4FE1" w:rsidRPr="00BC4FE1" w:rsidRDefault="00BC4FE1" w:rsidP="00BC4F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BC4FE1">
        <w:rPr>
          <w:rFonts w:ascii="Times New Roman" w:eastAsia="Times New Roman" w:hAnsi="Times New Roman" w:cs="Times New Roman"/>
          <w:lang w:val="sk"/>
        </w:rPr>
        <w:t>Šarža {číslo}</w:t>
      </w:r>
    </w:p>
    <w:p w:rsidR="00163EC9" w:rsidRDefault="00163EC9"/>
    <w:sectPr w:rsidR="00163EC9" w:rsidSect="007F2F03">
      <w:footerReference w:type="default" r:id="rId8"/>
      <w:footerReference w:type="first" r:id="rId9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E6464">
      <w:pPr>
        <w:spacing w:after="0" w:line="240" w:lineRule="auto"/>
      </w:pPr>
      <w:r>
        <w:separator/>
      </w:r>
    </w:p>
  </w:endnote>
  <w:endnote w:type="continuationSeparator" w:id="0">
    <w:p w:rsidR="00000000" w:rsidRDefault="006E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8F" w:rsidRPr="00B94A1B" w:rsidRDefault="00616525">
    <w:pPr>
      <w:pStyle w:val="Pta"/>
      <w:tabs>
        <w:tab w:val="right" w:pos="8931"/>
      </w:tabs>
      <w:jc w:val="center"/>
      <w:rPr>
        <w:rFonts w:ascii="Times New Roman" w:hAnsi="Times New Roman"/>
      </w:rPr>
    </w:pPr>
    <w:r>
      <w:rPr>
        <w:rFonts w:ascii="Times New Roman" w:hAnsi="Times New Roman"/>
        <w:lang w:val="sk"/>
      </w:rPr>
      <w:fldChar w:fldCharType="begin"/>
    </w:r>
    <w:r>
      <w:rPr>
        <w:rFonts w:ascii="Times New Roman" w:hAnsi="Times New Roman"/>
        <w:lang w:val="sk"/>
      </w:rPr>
      <w:instrText xml:space="preserve"> PAGE  \* MERGEFORMAT </w:instrText>
    </w:r>
    <w:r>
      <w:rPr>
        <w:rFonts w:ascii="Times New Roman" w:hAnsi="Times New Roman"/>
        <w:lang w:val="sk"/>
      </w:rPr>
      <w:fldChar w:fldCharType="separate"/>
    </w:r>
    <w:r w:rsidR="006E6464">
      <w:rPr>
        <w:rFonts w:ascii="Times New Roman" w:hAnsi="Times New Roman"/>
        <w:noProof/>
        <w:lang w:val="sk"/>
      </w:rPr>
      <w:t>10</w:t>
    </w:r>
    <w:r>
      <w:rPr>
        <w:rFonts w:ascii="Times New Roman" w:hAnsi="Times New Roman"/>
        <w:lang w:val="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08F" w:rsidRDefault="00616525">
    <w:pPr>
      <w:pStyle w:val="Pta"/>
      <w:tabs>
        <w:tab w:val="right" w:pos="8931"/>
      </w:tabs>
      <w:jc w:val="center"/>
      <w:rPr>
        <w:rFonts w:ascii="Times New Roman" w:hAnsi="Times New Roman"/>
      </w:rPr>
    </w:pPr>
    <w:r>
      <w:rPr>
        <w:lang w:val="sk"/>
      </w:rPr>
      <w:fldChar w:fldCharType="begin"/>
    </w:r>
    <w:r>
      <w:rPr>
        <w:lang w:val="sk"/>
      </w:rPr>
      <w:instrText xml:space="preserve"> PAGE  \* MERGEFORMAT </w:instrText>
    </w:r>
    <w:r>
      <w:rPr>
        <w:lang w:val="sk"/>
      </w:rPr>
      <w:fldChar w:fldCharType="separate"/>
    </w:r>
    <w:r>
      <w:rPr>
        <w:noProof/>
        <w:lang w:val="sk"/>
      </w:rPr>
      <w:t>2</w:t>
    </w:r>
    <w:r>
      <w:rPr>
        <w:lang w:val="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E6464">
      <w:pPr>
        <w:spacing w:after="0" w:line="240" w:lineRule="auto"/>
      </w:pPr>
      <w:r>
        <w:separator/>
      </w:r>
    </w:p>
  </w:footnote>
  <w:footnote w:type="continuationSeparator" w:id="0">
    <w:p w:rsidR="00000000" w:rsidRDefault="006E6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12FE1"/>
    <w:multiLevelType w:val="hybridMultilevel"/>
    <w:tmpl w:val="BFAE2330"/>
    <w:lvl w:ilvl="0" w:tplc="45AC6B02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E1"/>
    <w:rsid w:val="00163EC9"/>
    <w:rsid w:val="00616525"/>
    <w:rsid w:val="006E6464"/>
    <w:rsid w:val="009C1ACB"/>
    <w:rsid w:val="00BC4FE1"/>
    <w:rsid w:val="00C6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9A8D"/>
  <w15:docId w15:val="{F3B95AD9-9D7E-41C4-BED7-6C070078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BC4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C4FE1"/>
  </w:style>
  <w:style w:type="paragraph" w:styleId="Textbubliny">
    <w:name w:val="Balloon Text"/>
    <w:basedOn w:val="Normlny"/>
    <w:link w:val="TextbublinyChar"/>
    <w:uiPriority w:val="99"/>
    <w:semiHidden/>
    <w:unhideWhenUsed/>
    <w:rsid w:val="006E6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6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pha-vet@alpha-v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3086</Words>
  <Characters>17592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20637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ZF</cp:lastModifiedBy>
  <cp:revision>4</cp:revision>
  <cp:lastPrinted>2020-05-18T08:59:00Z</cp:lastPrinted>
  <dcterms:created xsi:type="dcterms:W3CDTF">2020-05-12T08:18:00Z</dcterms:created>
  <dcterms:modified xsi:type="dcterms:W3CDTF">2020-05-18T09:01:00Z</dcterms:modified>
</cp:coreProperties>
</file>